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INVOICE</w:t>
      </w:r>
    </w:p>
    <w:p>
      <w:r>
        <w:rPr>
          <w:b/>
          <w:bCs/>
          <w:color w:val="DC2626"/>
        </w:rPr>
        <w:t xml:space="preserve">SAMPLE — FOR ILLUSTRATION ONLY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900"/>
        <w:gridCol w:w="4900"/>
      </w:tblGrid>
      <w:tr>
        <w:trPr>
          <w:tblHeader/>
        </w:trPr>
        <w:tc>
          <w:tcPr>
            <w:tcW w:type="dxa" w:w="49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49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Bill To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FLOW SYNC PM</w:t>
            </w:r>
          </w:p>
          <w:p>
            <w:pPr>
              <w:spacing w:after="0"/>
            </w:pPr>
            <w:r>
              <w:t xml:space="preserve">Registered Merchant No. 1552654-0010</w:t>
            </w:r>
          </w:p>
          <w:p>
            <w:pPr>
              <w:spacing w:after="0"/>
            </w:pPr>
            <w:r>
              <w:t xml:space="preserve">NAICS 54151 · Puerto Rico, USA</w:t>
            </w:r>
          </w:p>
          <w:p>
            <w:pPr>
              <w:spacing w:after="0"/>
            </w:pPr>
            <w:r>
              <w:t xml:space="preserve">billing@flowsyncpm.com · flowsyncpm.com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[Customer Legal Name]</w:t>
            </w:r>
          </w:p>
          <w:p>
            <w:pPr>
              <w:spacing w:after="0"/>
            </w:pPr>
            <w:r>
              <w:t xml:space="preserve">[Billing address]</w:t>
            </w:r>
          </w:p>
          <w:p>
            <w:pPr>
              <w:spacing w:after="0"/>
            </w:pPr>
            <w:r>
              <w:t xml:space="preserve">[Accounts Payable contact]</w:t>
            </w:r>
          </w:p>
          <w:p>
            <w:pPr>
              <w:spacing w:after="0"/>
            </w:pPr>
            <w:r>
              <w:t xml:space="preserve">[PO number, if applicable]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type="dxa" w:w="245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Invoice No.</w:t>
            </w:r>
          </w:p>
        </w:tc>
        <w:tc>
          <w:tcPr>
            <w:tcW w:type="dxa" w:w="245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245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Terms</w:t>
            </w:r>
          </w:p>
        </w:tc>
        <w:tc>
          <w:tcPr>
            <w:tcW w:type="dxa" w:w="245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rPr>
          <w:tblHeader w:val="false"/>
        </w:trPr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FSPM-2026-0001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July 19, 2026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NET-30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August 18, 2026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5400"/>
        <w:gridCol w:w="900"/>
        <w:gridCol w:w="1700"/>
        <w:gridCol w:w="1800"/>
      </w:tblGrid>
      <w:tr>
        <w:trPr>
          <w:tblHeader/>
        </w:trPr>
        <w:tc>
          <w:tcPr>
            <w:tcW w:type="dxa" w:w="54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7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8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(USD)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FlowSync PM Enterprise subscription — annual (Jul 2026 – Jun 2027), [N] management-role users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$[X,XXX].00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$[X,XXX].00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Contributor bundles (10 users each) — annual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[N]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$[XXX].00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$[XXX].00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Enterprise onboarding: workspace configuration, role design, first plan import (one-time)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$[XXX].00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$[XXX].00</w:t>
            </w:r>
          </w:p>
        </w:tc>
      </w:tr>
    </w:tbl>
    <w:p>
      <w:r>
        <w:t xml:space="preserve"/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5400"/>
        <w:gridCol w:w="1700"/>
        <w:gridCol w:w="1000"/>
        <w:gridCol w:w="1700"/>
      </w:tblGrid>
      <w:tr>
        <w:trPr>
          <w:tblHeader/>
        </w:trPr>
        <w:tc>
          <w:tcPr>
            <w:tcW w:type="dxa" w:w="54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  <w:tc>
          <w:tcPr>
            <w:tcW w:type="dxa" w:w="10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Tax*</w:t>
            </w:r>
          </w:p>
        </w:tc>
        <w:tc>
          <w:tcPr>
            <w:tcW w:type="dxa" w:w="17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Due (USD)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$[X,XXX].00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$[XX].00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$[X,XXX].00</w:t>
            </w:r>
          </w:p>
        </w:tc>
      </w:tr>
    </w:tbl>
    <w:p>
      <w:r>
        <w:rPr>
          <w:i/>
          <w:iCs/>
          <w:color w:val="64748B"/>
          <w:sz w:val="18"/>
          <w:szCs w:val="18"/>
        </w:rPr>
        <w:t xml:space="preserve">* Puerto Rico sales and use tax (IVU) applied where required by law.</w:t>
      </w:r>
    </w:p>
    <w:p>
      <w:pPr>
        <w:pStyle w:val="Heading2"/>
      </w:pPr>
      <w:r>
        <w:t xml:space="preserve">Payment</w:t>
      </w:r>
    </w:p>
    <w:p>
      <w:pPr>
        <w:pStyle w:val="ListParagraph"/>
        <w:numPr>
          <w:ilvl w:val="0"/>
          <w:numId w:val="2"/>
        </w:numPr>
      </w:pPr>
      <w:r>
        <w:t xml:space="preserve">ACH / bank transfer: remittance details provided upon contract signature.</w:t>
      </w:r>
    </w:p>
    <w:p>
      <w:pPr>
        <w:pStyle w:val="ListParagraph"/>
        <w:numPr>
          <w:ilvl w:val="0"/>
          <w:numId w:val="2"/>
        </w:numPr>
      </w:pPr>
      <w:r>
        <w:t xml:space="preserve">Please reference the invoice number on all payments.</w:t>
      </w:r>
    </w:p>
    <w:p>
      <w:pPr>
        <w:pStyle w:val="ListParagraph"/>
        <w:numPr>
          <w:ilvl w:val="0"/>
          <w:numId w:val="2"/>
        </w:numPr>
      </w:pPr>
      <w:r>
        <w:t xml:space="preserve">Questions: billing@flowsyncpm.com</w:t>
      </w:r>
    </w:p>
    <w:p>
      <w:pPr>
        <w:spacing w:before="200"/>
      </w:pPr>
      <w:r>
        <w:rPr>
          <w:i/>
          <w:iCs/>
          <w:color w:val="64748B"/>
          <w:sz w:val="18"/>
          <w:szCs w:val="18"/>
        </w:rPr>
        <w:t xml:space="preserve">Payment terms NET-30 from invoice date. Late balances may accrue interest as permitted by the Master Subscription Agreement. This sample is provided for procurement evaluation; a real invoice will reflect the executed order form.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FLOW SYNC PM · flowsyncpm.com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FlowSync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47857"/>
      <w:sz w:val="56"/>
      <w:szCs w:val="56"/>
    </w:rPr>
  </w:style>
  <w:style w:type="paragraph" w:styleId="Subtitle">
    <w:name w:val="Subtitle"/>
    <w:basedOn w:val="Normal"/>
    <w:pPr>
      <w:spacing w:after="300"/>
    </w:pPr>
    <w:rPr>
      <w:rFonts w:ascii="Calibri" w:cs="Calibri" w:eastAsia="Calibri" w:hAnsi="Calibri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47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2026-07-19T23:17:42.220Z</dcterms:created>
  <dcterms:modified xsi:type="dcterms:W3CDTF">2026-07-19T23:17:42.220Z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