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Acuerdo Maestro de Suscripción</w:t>
      </w:r>
    </w:p>
    <w:p>
      <w:pPr>
        <w:pStyle w:val="Subtitle"/>
      </w:pPr>
      <w:r>
        <w:t xml:space="preserve">Acuerdo entre empresas (B2B) — BORRADOR de plantilla · Agosto 2026</w:t>
      </w:r>
    </w:p>
    <w:p>
      <w:r>
        <w:rPr>
          <w:b/>
          <w:bCs/>
        </w:rPr>
        <w:t xml:space="preserve">FLOW SYNC PM</w:t>
      </w:r>
      <w:r>
        <w:t xml:space="preserve"> · Registered Merchant No. 1552654-0010 · flowsyncpm.com</w:t>
      </w:r>
    </w:p>
    <w:p>
      <w:r>
        <w:rPr>
          <w:b/>
          <w:bCs/>
          <w:color w:val="DC2626"/>
        </w:rPr>
        <w:t xml:space="preserve">BORRADOR — Haga revisar este acuerdo por un abogado licenciado antes de firmarlo. Esta plantilla se provee con fines de negociación y no constituye asesoría legal. Traducción de cortesía: en caso de conflicto, la versión en inglés prevalece.</w:t>
      </w:r>
    </w:p>
    <w:p>
      <w:pPr>
        <w:pBdr>
          <w:bottom w:val="single" w:color="059669" w:sz="6" w:space="4"/>
        </w:pBdr>
        <w:spacing w:after="300"/>
      </w:pPr>
    </w:p>
    <w:p>
      <w:r>
        <w:t xml:space="preserve">Este Acuerdo Maestro de Suscripción (el "Acuerdo") se celebra entre </w:t>
      </w:r>
      <w:r>
        <w:rPr>
          <w:b/>
          <w:bCs/>
        </w:rPr>
        <w:t xml:space="preserve">FLOW SYNC PM</w:t>
      </w:r>
      <w:r>
        <w:t xml:space="preserve">, comerciante registrado en Puerto Rico (Registro Núm. 1552654-0010) (el "Proveedor"), y el cliente identificado en el Formulario de Orden aplicable (el "Cliente"). Rige el acceso del Cliente a la plataforma de software como servicio FlowSync PM (el "Servicio").</w:t>
      </w:r>
    </w:p>
    <w:p>
      <w:pPr>
        <w:pStyle w:val="Heading1"/>
      </w:pPr>
      <w:r>
        <w:t xml:space="preserve">1. Definiciones</w:t>
      </w:r>
    </w:p>
    <w:p>
      <w:pPr>
        <w:pStyle w:val="ListParagraph"/>
        <w:numPr>
          <w:ilvl w:val="0"/>
          <w:numId w:val="2"/>
        </w:numPr>
      </w:pPr>
      <w:r>
        <w:rPr>
          <w:b/>
          <w:bCs/>
        </w:rPr>
        <w:t xml:space="preserve">"Formulario de Orden" </w:t>
      </w:r>
      <w:r>
        <w:t xml:space="preserve">significa un documento de orden ejecutado mutuamente que hace referencia a este Acuerdo y especifica plan, asientos, tarifas y término.</w:t>
      </w:r>
    </w:p>
    <w:p>
      <w:pPr>
        <w:pStyle w:val="ListParagraph"/>
        <w:numPr>
          <w:ilvl w:val="0"/>
          <w:numId w:val="2"/>
        </w:numPr>
      </w:pPr>
      <w:r>
        <w:rPr>
          <w:b/>
          <w:bCs/>
        </w:rPr>
        <w:t xml:space="preserve">"Datos del Cliente" </w:t>
      </w:r>
      <w:r>
        <w:t xml:space="preserve">significa los datos enviados al Servicio por el Cliente o en su nombre.</w:t>
      </w:r>
    </w:p>
    <w:p>
      <w:pPr>
        <w:pStyle w:val="ListParagraph"/>
        <w:numPr>
          <w:ilvl w:val="0"/>
          <w:numId w:val="2"/>
        </w:numPr>
      </w:pPr>
      <w:r>
        <w:rPr>
          <w:b/>
          <w:bCs/>
        </w:rPr>
        <w:t xml:space="preserve">"Usuarios" </w:t>
      </w:r>
      <w:r>
        <w:t xml:space="preserve">significa las personas autorizadas por el Cliente para usar el Servicio bajo su suscripción.</w:t>
      </w:r>
    </w:p>
    <w:p>
      <w:pPr>
        <w:pStyle w:val="ListParagraph"/>
        <w:numPr>
          <w:ilvl w:val="0"/>
          <w:numId w:val="2"/>
        </w:numPr>
      </w:pPr>
      <w:r>
        <w:rPr>
          <w:b/>
          <w:bCs/>
        </w:rPr>
        <w:t xml:space="preserve">"Documentación" </w:t>
      </w:r>
      <w:r>
        <w:t xml:space="preserve">significa las guías de usuario y políticas del Proveedor para el Servicio, según se actualicen.</w:t>
      </w:r>
    </w:p>
    <w:p>
      <w:pPr>
        <w:pStyle w:val="Heading1"/>
      </w:pPr>
      <w:r>
        <w:t xml:space="preserve">2. El Servicio</w:t>
      </w:r>
    </w:p>
    <w:p>
      <w:pPr>
        <w:pStyle w:val="ListParagraph"/>
        <w:numPr>
          <w:ilvl w:val="0"/>
          <w:numId w:val="2"/>
        </w:numPr>
      </w:pPr>
      <w:r>
        <w:t xml:space="preserve">2.1 Prestación. El Proveedor pondrá el Servicio a disposición del Cliente durante el término de suscripción conforme al Formulario de Orden y este Acuerdo.</w:t>
      </w:r>
    </w:p>
    <w:p>
      <w:pPr>
        <w:pStyle w:val="ListParagraph"/>
        <w:numPr>
          <w:ilvl w:val="0"/>
          <w:numId w:val="2"/>
        </w:numPr>
      </w:pPr>
      <w:r>
        <w:t xml:space="preserve">2.2 Soporte y disponibilidad. El Proveedor brindará soporte y mantendrá metas de disponibilidad según las Políticas de Servicio de FlowSync PM, incorporadas por referencia. Los SLAs específicos de Enterprise, si los hay, se indican en el Formulario de Orden.</w:t>
      </w:r>
    </w:p>
    <w:p>
      <w:pPr>
        <w:pStyle w:val="ListParagraph"/>
        <w:numPr>
          <w:ilvl w:val="0"/>
          <w:numId w:val="2"/>
        </w:numPr>
      </w:pPr>
      <w:r>
        <w:t xml:space="preserve">2.3 Cambios. El Proveedor puede mejorar o modificar el Servicio, siempre que ningún cambio degrade materialmente la funcionalidad central durante un término pagado.</w:t>
      </w:r>
    </w:p>
    <w:p>
      <w:pPr>
        <w:pStyle w:val="Heading1"/>
      </w:pPr>
      <w:r>
        <w:t xml:space="preserve">3. Responsabilidades del Cliente</w:t>
      </w:r>
    </w:p>
    <w:p>
      <w:pPr>
        <w:pStyle w:val="ListParagraph"/>
        <w:numPr>
          <w:ilvl w:val="0"/>
          <w:numId w:val="2"/>
        </w:numPr>
      </w:pPr>
      <w:r>
        <w:t xml:space="preserve">3.1 El Cliente es responsable del cumplimiento de sus Usuarios, de la exactitud de los Datos del Cliente y de resguardar sus credenciales.</w:t>
      </w:r>
    </w:p>
    <w:p>
      <w:pPr>
        <w:pStyle w:val="ListParagraph"/>
        <w:numPr>
          <w:ilvl w:val="0"/>
          <w:numId w:val="2"/>
        </w:numPr>
      </w:pPr>
      <w:r>
        <w:t xml:space="preserve">3.2 Uso aceptable. El Cliente no: (a) revenderá ni sublicenciará el Servicio; (b) hará ingeniería inversa; (c) lo usará para construir un producto competidor; (d) cargará contenido ilícito o infractor; ni (e) interferirá con la seguridad u operación del Servicio.</w:t>
      </w:r>
    </w:p>
    <w:p>
      <w:pPr>
        <w:pStyle w:val="ListParagraph"/>
        <w:numPr>
          <w:ilvl w:val="0"/>
          <w:numId w:val="2"/>
        </w:numPr>
      </w:pPr>
      <w:r>
        <w:rPr>
          <w:b/>
          <w:bCs/>
        </w:rPr>
        <w:t xml:space="preserve">3.3 Sin PHI. </w:t>
      </w:r>
      <w:r>
        <w:t xml:space="preserve">El Servicio es una plataforma de gestión de proyectos y no está destinado al almacenamiento o procesamiento de Información de Salud Protegida (PHI) según HIPAA. El Cliente no cargará PHI al Servicio. Cualquier Acuerdo de Socio Comercial (BAA) de HIPAA está disponible únicamente para clientes Enterprise, previa evaluación del Proveedor y ejecución mutua, y ninguna obligación de ese tipo existe sin dicho acuerdo ejecutado.</w:t>
      </w:r>
    </w:p>
    <w:p>
      <w:pPr>
        <w:pStyle w:val="Heading1"/>
      </w:pPr>
      <w:r>
        <w:t xml:space="preserve">4. Tarifas y pago</w:t>
      </w:r>
    </w:p>
    <w:p>
      <w:pPr>
        <w:pStyle w:val="ListParagraph"/>
        <w:numPr>
          <w:ilvl w:val="0"/>
          <w:numId w:val="2"/>
        </w:numPr>
      </w:pPr>
      <w:r>
        <w:t xml:space="preserve">4.1 Las tarifas constan en el Formulario de Orden. Salvo indicación en contrario, las tarifas Enterprise se facturan anualmente por adelantado, pagaderas NET-30 en dólares de EE. UU.</w:t>
      </w:r>
    </w:p>
    <w:p>
      <w:pPr>
        <w:pStyle w:val="ListParagraph"/>
        <w:numPr>
          <w:ilvl w:val="0"/>
          <w:numId w:val="2"/>
        </w:numPr>
      </w:pPr>
      <w:r>
        <w:t xml:space="preserve">4.2 Los montos vencidos pueden acumular intereses del 1% mensual o el máximo permitido por ley, lo que sea menor.</w:t>
      </w:r>
    </w:p>
    <w:p>
      <w:pPr>
        <w:pStyle w:val="ListParagraph"/>
        <w:numPr>
          <w:ilvl w:val="0"/>
          <w:numId w:val="2"/>
        </w:numPr>
      </w:pPr>
      <w:r>
        <w:t xml:space="preserve">4.3 Las tarifas excluyen impuestos; el Cliente es responsable de los impuestos aplicables (excluyendo los impuestos sobre ingresos del Proveedor), incluido el IVU de Puerto Rico cuando aplique.</w:t>
      </w:r>
    </w:p>
    <w:p>
      <w:pPr>
        <w:pStyle w:val="ListParagraph"/>
        <w:numPr>
          <w:ilvl w:val="0"/>
          <w:numId w:val="2"/>
        </w:numPr>
      </w:pPr>
      <w:r>
        <w:t xml:space="preserve">4.4 Cambios de asientos. Los asientos añadidos se prorratean por el resto del término; las reducciones surten efecto en la renovación.</w:t>
      </w:r>
    </w:p>
    <w:p>
      <w:pPr>
        <w:pStyle w:val="Heading1"/>
      </w:pPr>
      <w:r>
        <w:t xml:space="preserve">5. Término y terminación</w:t>
      </w:r>
    </w:p>
    <w:p>
      <w:pPr>
        <w:pStyle w:val="ListParagraph"/>
        <w:numPr>
          <w:ilvl w:val="0"/>
          <w:numId w:val="2"/>
        </w:numPr>
      </w:pPr>
      <w:r>
        <w:t xml:space="preserve">5.1 Este Acuerdo rige desde la fecha efectiva del primer Formulario de Orden y continúa mientras alguno esté activo. Las suscripciones se renuevan por términos sucesivos salvo aviso de no renovación con 30 días.</w:t>
      </w:r>
    </w:p>
    <w:p>
      <w:pPr>
        <w:pStyle w:val="ListParagraph"/>
        <w:numPr>
          <w:ilvl w:val="0"/>
          <w:numId w:val="2"/>
        </w:numPr>
      </w:pPr>
      <w:r>
        <w:t xml:space="preserve">5.2 Cualquiera de las partes puede terminar por incumplimiento material no subsanado dentro de 30 días del aviso escrito.</w:t>
      </w:r>
    </w:p>
    <w:p>
      <w:pPr>
        <w:pStyle w:val="ListParagraph"/>
        <w:numPr>
          <w:ilvl w:val="0"/>
          <w:numId w:val="2"/>
        </w:numPr>
      </w:pPr>
      <w:r>
        <w:t xml:space="preserve">5.3 Efecto. Al terminar, cesa el acceso del Cliente. El Cliente puede solicitar una exportación de sus Datos dentro de 30 días de la terminación; el Proveedor eliminará los Datos del Cliente dentro de los 90 días siguientes, según las Políticas de Servicio.</w:t>
      </w:r>
    </w:p>
    <w:p>
      <w:pPr>
        <w:pStyle w:val="Heading1"/>
      </w:pPr>
      <w:r>
        <w:t xml:space="preserve">6. Datos del Cliente y privacidad</w:t>
      </w:r>
    </w:p>
    <w:p>
      <w:pPr>
        <w:pStyle w:val="ListParagraph"/>
        <w:numPr>
          <w:ilvl w:val="0"/>
          <w:numId w:val="2"/>
        </w:numPr>
      </w:pPr>
      <w:r>
        <w:t xml:space="preserve">6.1 Propiedad. El Cliente conserva todos los derechos sobre sus Datos. El Proveedor recibe una licencia limitada para alojarlos y procesarlos únicamente para prestar el Servicio.</w:t>
      </w:r>
    </w:p>
    <w:p>
      <w:pPr>
        <w:pStyle w:val="ListParagraph"/>
        <w:numPr>
          <w:ilvl w:val="0"/>
          <w:numId w:val="2"/>
        </w:numPr>
      </w:pPr>
      <w:r>
        <w:t xml:space="preserve">6.2 Protección de datos. El Proveedor mantiene salvaguardas administrativas, técnicas y organizativas según el documento de Información Comercial y Seguridad, incluyendo cifrado en tránsito y en reposo, control de acceso por roles y bitácora de auditoría.</w:t>
      </w:r>
    </w:p>
    <w:p>
      <w:pPr>
        <w:pStyle w:val="ListParagraph"/>
        <w:numPr>
          <w:ilvl w:val="0"/>
          <w:numId w:val="2"/>
        </w:numPr>
      </w:pPr>
      <w:r>
        <w:t xml:space="preserve">6.3 DPA. Las partes pueden ejecutar un Anexo de Procesamiento de Datos, que al ejecutarse queda incorporado a este Acuerdo.</w:t>
      </w:r>
    </w:p>
    <w:p>
      <w:pPr>
        <w:pStyle w:val="ListParagraph"/>
        <w:numPr>
          <w:ilvl w:val="0"/>
          <w:numId w:val="2"/>
        </w:numPr>
      </w:pPr>
      <w:r>
        <w:t xml:space="preserve">6.4 Subprocesadores. El Cliente autoriza los subprocesadores listados en el documento de Información Comercial y Seguridad; el Proveedor sigue siendo responsable de su desempeño.</w:t>
      </w:r>
    </w:p>
    <w:p>
      <w:pPr>
        <w:pStyle w:val="ListParagraph"/>
        <w:numPr>
          <w:ilvl w:val="0"/>
          <w:numId w:val="2"/>
        </w:numPr>
      </w:pPr>
      <w:r>
        <w:rPr>
          <w:b/>
        </w:rPr>
        <w:t xml:space="preserve">6.5 Procesamiento con IA.</w:t>
      </w:r>
      <w:r>
        <w:t xml:space="preserve"> El Servicio incluye funciones de IA asistivas procesadas del lado del servidor mediante Anthropic (Claude API). Los Datos del Cliente enviados a funciones de IA no se usan para entrenar modelos. El Cliente puede desactivar todas las funciones de IA de su workspace dentro del Servicio (aplicación del lado del servidor, con registro de auditoría de IA). El subprocesamiento de IA queda cubierto por el DPA una vez suscrito.</w:t>
      </w:r>
    </w:p>
    <w:p>
      <w:pPr>
        <w:pStyle w:val="Heading1"/>
      </w:pPr>
      <w:r>
        <w:t xml:space="preserve">7. Confidencialidad</w:t>
      </w:r>
    </w:p>
    <w:p>
      <w:pPr>
        <w:pStyle w:val="ListParagraph"/>
        <w:numPr>
          <w:ilvl w:val="0"/>
          <w:numId w:val="2"/>
        </w:numPr>
      </w:pPr>
      <w:r>
        <w:t xml:space="preserve">Cada parte protegerá la información no pública de la otra con al menos cuidado razonable, la usará solo para cumplir este Acuerdo y la divulgará únicamente a personal y asesores sujetos a confidencialidad. Esta sección no aplica a información pública, desarrollada independientemente o recibida legítimamente de un tercero. Se permiten divulgaciones exigidas por ley con aviso oportuno cuando sea lícito.</w:t>
      </w:r>
    </w:p>
    <w:p>
      <w:pPr>
        <w:pStyle w:val="Heading1"/>
      </w:pPr>
      <w:r>
        <w:t xml:space="preserve">8. Propiedad intelectual</w:t>
      </w:r>
    </w:p>
    <w:p>
      <w:pPr>
        <w:pStyle w:val="ListParagraph"/>
        <w:numPr>
          <w:ilvl w:val="0"/>
          <w:numId w:val="2"/>
        </w:numPr>
      </w:pPr>
      <w:r>
        <w:t xml:space="preserve">El Proveedor conserva todos los derechos sobre el Servicio, la Documentación y todas las mejoras. No se otorgan derechos salvo los expresamente indicados. El Cliente puede dar retroalimentación, que el Proveedor puede usar sin restricción.</w:t>
      </w:r>
    </w:p>
    <w:p>
      <w:pPr>
        <w:pStyle w:val="Heading1"/>
      </w:pPr>
      <w:r>
        <w:t xml:space="preserve">9. Garantías y renuncia</w:t>
      </w:r>
    </w:p>
    <w:p>
      <w:pPr>
        <w:pStyle w:val="ListParagraph"/>
        <w:numPr>
          <w:ilvl w:val="0"/>
          <w:numId w:val="2"/>
        </w:numPr>
      </w:pPr>
      <w:r>
        <w:t xml:space="preserve">9.1 Cada parte garantiza tener autoridad para celebrar este Acuerdo.</w:t>
      </w:r>
    </w:p>
    <w:p>
      <w:pPr>
        <w:pStyle w:val="ListParagraph"/>
        <w:numPr>
          <w:ilvl w:val="0"/>
          <w:numId w:val="2"/>
        </w:numPr>
      </w:pPr>
      <w:r>
        <w:t xml:space="preserve">9.2 El Proveedor garantiza que el Servicio funcionará materialmente según la Documentación.</w:t>
      </w:r>
    </w:p>
    <w:p>
      <w:pPr>
        <w:pStyle w:val="ListParagraph"/>
        <w:numPr>
          <w:ilvl w:val="0"/>
          <w:numId w:val="2"/>
        </w:numPr>
      </w:pPr>
      <w:r>
        <w:rPr>
          <w:sz w:val="20"/>
          <w:szCs w:val="20"/>
        </w:rPr>
        <w:t xml:space="preserve">9.3 SALVO LO EXPRESAMENTE INDICADO, EL SERVICIO SE PROVEE "TAL CUAL" Y EL PROVEEDOR RENUNCIA A TODA OTRA GARANTÍA, EXPRESA O IMPLÍCITA, INCLUYENDO COMERCIABILIDAD, IDONEIDAD PARA UN PROPÓSITO PARTICULAR Y NO INFRACCIÓN.</w:t>
      </w:r>
    </w:p>
    <w:p>
      <w:pPr>
        <w:pStyle w:val="Heading1"/>
      </w:pPr>
      <w:r>
        <w:t xml:space="preserve">10. Limitación de responsabilidad</w:t>
      </w:r>
    </w:p>
    <w:p>
      <w:pPr>
        <w:pStyle w:val="ListParagraph"/>
        <w:numPr>
          <w:ilvl w:val="0"/>
          <w:numId w:val="2"/>
        </w:numPr>
      </w:pPr>
      <w:r>
        <w:rPr>
          <w:sz w:val="20"/>
          <w:szCs w:val="20"/>
        </w:rPr>
        <w:t xml:space="preserve">NINGUNA PARTE SERÁ RESPONSABLE POR DAÑOS INDIRECTOS, INCIDENTALES, ESPECIALES O CONSECUENTES, NI POR PÉRDIDA DE GANANCIAS O DATOS. LA RESPONSABILIDAD TOTAL DE CADA PARTE BAJO ESTE ACUERDO SE LIMITA A LAS TARIFAS PAGADAS O PAGADERAS POR EL CLIENTE EN LOS 12 MESES ANTERIORES AL RECLAMO. ESTOS LÍMITES NO APLICAN A LAS OBLIGACIONES DE PAGO DEL CLIENTE, A INCUMPLIMIENTOS DE CONFIDENCIALIDAD NI A LA INFRACCIÓN DE PROPIEDAD INTELECTUAL DE LA OTRA PARTE.</w:t>
      </w:r>
    </w:p>
    <w:p>
      <w:pPr>
        <w:pStyle w:val="Heading1"/>
      </w:pPr>
      <w:r>
        <w:t xml:space="preserve">11. Indemnización</w:t>
      </w:r>
    </w:p>
    <w:p>
      <w:pPr>
        <w:pStyle w:val="ListParagraph"/>
        <w:numPr>
          <w:ilvl w:val="0"/>
          <w:numId w:val="2"/>
        </w:numPr>
      </w:pPr>
      <w:r>
        <w:t xml:space="preserve">11.1 El Proveedor defenderá al Cliente frente a reclamos de terceros de que el Servicio infringe un derecho de propiedad intelectual de EE. UU., y pagará los daños finalmente adjudicados, siempre que el Cliente notifique con prontitud y ceda el control de la defensa.</w:t>
      </w:r>
    </w:p>
    <w:p>
      <w:pPr>
        <w:pStyle w:val="ListParagraph"/>
        <w:numPr>
          <w:ilvl w:val="0"/>
          <w:numId w:val="2"/>
        </w:numPr>
      </w:pPr>
      <w:r>
        <w:t xml:space="preserve">11.2 El Cliente defenderá al Proveedor frente a reclamos de terceros derivados de los Datos del Cliente o del uso ilícito del Servicio, bajo el mismo procedimiento.</w:t>
      </w:r>
    </w:p>
    <w:p>
      <w:pPr>
        <w:pStyle w:val="Heading1"/>
      </w:pPr>
      <w:r>
        <w:t xml:space="preserve">12. Disposiciones generales</w:t>
      </w:r>
    </w:p>
    <w:p>
      <w:pPr>
        <w:pStyle w:val="ListParagraph"/>
        <w:numPr>
          <w:ilvl w:val="0"/>
          <w:numId w:val="2"/>
        </w:numPr>
      </w:pPr>
      <w:r>
        <w:t xml:space="preserve">12.1 Ley aplicable: el Estado Libre Asociado de Puerto Rico, sin atender a conflictos de leyes; foro exclusivo en los tribunales de Puerto Rico.</w:t>
      </w:r>
    </w:p>
    <w:p>
      <w:pPr>
        <w:pStyle w:val="ListParagraph"/>
        <w:numPr>
          <w:ilvl w:val="0"/>
          <w:numId w:val="2"/>
        </w:numPr>
      </w:pPr>
      <w:r>
        <w:t xml:space="preserve">12.2 Cesión: ninguna parte puede ceder sin consentimiento, salvo a un sucesor por fusión o venta de sustancialmente todos los activos.</w:t>
      </w:r>
    </w:p>
    <w:p>
      <w:pPr>
        <w:pStyle w:val="ListParagraph"/>
        <w:numPr>
          <w:ilvl w:val="0"/>
          <w:numId w:val="2"/>
        </w:numPr>
      </w:pPr>
      <w:r>
        <w:t xml:space="preserve">12.3 Fuerza mayor: ninguna parte responde por demoras causadas por eventos fuera de su control razonable.</w:t>
      </w:r>
    </w:p>
    <w:p>
      <w:pPr>
        <w:pStyle w:val="ListParagraph"/>
        <w:numPr>
          <w:ilvl w:val="0"/>
          <w:numId w:val="2"/>
        </w:numPr>
      </w:pPr>
      <w:r>
        <w:t xml:space="preserve">12.4 Avisos: los avisos legales al Proveedor se envían a legal@flowsyncpm.com; al Cliente, al contacto del Formulario de Orden.</w:t>
      </w:r>
    </w:p>
    <w:p>
      <w:pPr>
        <w:pStyle w:val="ListParagraph"/>
        <w:numPr>
          <w:ilvl w:val="0"/>
          <w:numId w:val="2"/>
        </w:numPr>
      </w:pPr>
      <w:r>
        <w:t xml:space="preserve">12.5 Acuerdo íntegro: este Acuerdo más los Formularios de Orden y las políticas incorporadas constituyen el acuerdo completo y sustituyen conversaciones previas. Las enmiendas deben ser escritas y firmadas. En caso de conflicto, los términos del Formulario de Orden prevalecen sobre este Acuerdo, y la versión en inglés del Acuerdo prevalece sobre esta traducción.</w:t>
      </w:r>
    </w:p>
    <w:p>
      <w:pPr>
        <w:pStyle w:val="Heading1"/>
      </w:pPr>
      <w:r>
        <w:t xml:space="preserve">Firmas</w:t>
      </w:r>
    </w:p>
    <w:tbl>
      <w:tblPr>
        <w:tblW w:type="dxa" w:w="9800"/>
        <w:tblBorders>
          <w:top w:val="single" w:color="CBD5E1" w:sz="4"/>
          <w:left w:val="single" w:color="CBD5E1" w:sz="4"/>
          <w:bottom w:val="single" w:color="CBD5E1" w:sz="4"/>
          <w:right w:val="single" w:color="CBD5E1" w:sz="4"/>
          <w:insideH w:val="single" w:color="CBD5E1" w:sz="4"/>
          <w:insideV w:val="single" w:color="CBD5E1" w:sz="4"/>
        </w:tblBorders>
      </w:tblPr>
      <w:tblGrid>
        <w:gridCol w:w="4900"/>
        <w:gridCol w:w="4900"/>
      </w:tblGrid>
      <w:tr>
        <w:trPr>
          <w:tblHeader/>
        </w:trPr>
        <w:tc>
          <w:tcPr>
            <w:tcW w:type="dxa" w:w="4900"/>
            <w:shd w:fill="047857" w:val="clear"/>
            <w:tcMar>
              <w:top w:type="dxa" w:w="80"/>
              <w:left w:type="dxa" w:w="120"/>
              <w:bottom w:type="dxa" w:w="80"/>
              <w:right w:type="dxa" w:w="120"/>
            </w:tcMar>
          </w:tcPr>
          <w:p>
            <w:pPr>
              <w:spacing w:after="0"/>
            </w:pPr>
            <w:r>
              <w:rPr>
                <w:b/>
                <w:bCs/>
                <w:color w:val="FFFFFF"/>
                <w:sz w:val="20"/>
                <w:szCs w:val="20"/>
              </w:rPr>
              <w:t xml:space="preserve">FLOW SYNC PM (Proveedor)</w:t>
            </w:r>
          </w:p>
        </w:tc>
        <w:tc>
          <w:tcPr>
            <w:tcW w:type="dxa" w:w="4900"/>
            <w:shd w:fill="047857" w:val="clear"/>
            <w:tcMar>
              <w:top w:type="dxa" w:w="80"/>
              <w:left w:type="dxa" w:w="120"/>
              <w:bottom w:type="dxa" w:w="80"/>
              <w:right w:type="dxa" w:w="120"/>
            </w:tcMar>
          </w:tcPr>
          <w:p>
            <w:pPr>
              <w:spacing w:after="0"/>
            </w:pPr>
            <w:r>
              <w:rPr>
                <w:b/>
                <w:bCs/>
                <w:color w:val="FFFFFF"/>
                <w:sz w:val="20"/>
                <w:szCs w:val="20"/>
              </w:rPr>
              <w:t xml:space="preserve">[Nombre legal del Cliente]</w:t>
            </w:r>
          </w:p>
        </w:tc>
      </w:tr>
      <w:tr>
        <w:trPr>
          <w:tblHeader w:val="false"/>
        </w:trPr>
        <w:tc>
          <w:tcPr>
            <w:tcW w:type="dxa" w:w="4900"/>
            <w:tcMar>
              <w:top w:type="dxa" w:w="80"/>
              <w:left w:type="dxa" w:w="120"/>
              <w:bottom w:type="dxa" w:w="80"/>
              <w:right w:type="dxa" w:w="120"/>
            </w:tcMar>
          </w:tcPr>
          <w:p>
            <w:pPr>
              <w:spacing w:after="0"/>
            </w:pPr>
            <w:r>
              <w:rPr>
                <w:b w:val="false"/>
                <w:bCs w:val="false"/>
                <w:color w:val="1E293B"/>
                <w:sz w:val="20"/>
                <w:szCs w:val="20"/>
              </w:rPr>
              <w:t xml:space="preserve">Firma: ____________________________</w:t>
            </w:r>
          </w:p>
        </w:tc>
        <w:tc>
          <w:tcPr>
            <w:tcW w:type="dxa" w:w="4900"/>
            <w:tcMar>
              <w:top w:type="dxa" w:w="80"/>
              <w:left w:type="dxa" w:w="120"/>
              <w:bottom w:type="dxa" w:w="80"/>
              <w:right w:type="dxa" w:w="120"/>
            </w:tcMar>
          </w:tcPr>
          <w:p>
            <w:pPr>
              <w:spacing w:after="0"/>
            </w:pPr>
            <w:r>
              <w:rPr>
                <w:b w:val="false"/>
                <w:bCs w:val="false"/>
                <w:color w:val="1E293B"/>
                <w:sz w:val="20"/>
                <w:szCs w:val="20"/>
              </w:rPr>
              <w:t xml:space="preserve">Firma: ____________________________</w:t>
            </w:r>
          </w:p>
        </w:tc>
      </w:tr>
      <w:tr>
        <w:trPr>
          <w:tblHeader w:val="false"/>
        </w:trPr>
        <w:tc>
          <w:tcPr>
            <w:tcW w:type="dxa" w:w="4900"/>
            <w:tcMar>
              <w:top w:type="dxa" w:w="80"/>
              <w:left w:type="dxa" w:w="120"/>
              <w:bottom w:type="dxa" w:w="80"/>
              <w:right w:type="dxa" w:w="120"/>
            </w:tcMar>
          </w:tcPr>
          <w:p>
            <w:pPr>
              <w:spacing w:after="0"/>
            </w:pPr>
            <w:r>
              <w:rPr>
                <w:b w:val="false"/>
                <w:bCs w:val="false"/>
                <w:color w:val="1E293B"/>
                <w:sz w:val="20"/>
                <w:szCs w:val="20"/>
              </w:rPr>
              <w:t xml:space="preserve">Nombre: Juan C. Zayas</w:t>
            </w:r>
          </w:p>
        </w:tc>
        <w:tc>
          <w:tcPr>
            <w:tcW w:type="dxa" w:w="4900"/>
            <w:tcMar>
              <w:top w:type="dxa" w:w="80"/>
              <w:left w:type="dxa" w:w="120"/>
              <w:bottom w:type="dxa" w:w="80"/>
              <w:right w:type="dxa" w:w="120"/>
            </w:tcMar>
          </w:tcPr>
          <w:p>
            <w:pPr>
              <w:spacing w:after="0"/>
            </w:pPr>
            <w:r>
              <w:rPr>
                <w:b w:val="false"/>
                <w:bCs w:val="false"/>
                <w:color w:val="1E293B"/>
                <w:sz w:val="20"/>
                <w:szCs w:val="20"/>
              </w:rPr>
              <w:t xml:space="preserve">Nombre: _________________________________</w:t>
            </w:r>
          </w:p>
        </w:tc>
      </w:tr>
      <w:tr>
        <w:trPr>
          <w:tblHeader w:val="false"/>
        </w:trPr>
        <w:tc>
          <w:tcPr>
            <w:tcW w:type="dxa" w:w="4900"/>
            <w:tcMar>
              <w:top w:type="dxa" w:w="80"/>
              <w:left w:type="dxa" w:w="120"/>
              <w:bottom w:type="dxa" w:w="80"/>
              <w:right w:type="dxa" w:w="120"/>
            </w:tcMar>
          </w:tcPr>
          <w:p>
            <w:pPr>
              <w:spacing w:after="0"/>
            </w:pPr>
            <w:r>
              <w:rPr>
                <w:b w:val="false"/>
                <w:bCs w:val="false"/>
                <w:color w:val="1E293B"/>
                <w:sz w:val="20"/>
                <w:szCs w:val="20"/>
              </w:rPr>
              <w:t xml:space="preserve">Cargo: Fundador</w:t>
            </w:r>
          </w:p>
        </w:tc>
        <w:tc>
          <w:tcPr>
            <w:tcW w:type="dxa" w:w="4900"/>
            <w:tcMar>
              <w:top w:type="dxa" w:w="80"/>
              <w:left w:type="dxa" w:w="120"/>
              <w:bottom w:type="dxa" w:w="80"/>
              <w:right w:type="dxa" w:w="120"/>
            </w:tcMar>
          </w:tcPr>
          <w:p>
            <w:pPr>
              <w:spacing w:after="0"/>
            </w:pPr>
            <w:r>
              <w:rPr>
                <w:b w:val="false"/>
                <w:bCs w:val="false"/>
                <w:color w:val="1E293B"/>
                <w:sz w:val="20"/>
                <w:szCs w:val="20"/>
              </w:rPr>
              <w:t xml:space="preserve">Cargo: _________________________________</w:t>
            </w:r>
          </w:p>
        </w:tc>
      </w:tr>
      <w:tr>
        <w:trPr>
          <w:tblHeader w:val="false"/>
        </w:trPr>
        <w:tc>
          <w:tcPr>
            <w:tcW w:type="dxa" w:w="4900"/>
            <w:tcMar>
              <w:top w:type="dxa" w:w="80"/>
              <w:left w:type="dxa" w:w="120"/>
              <w:bottom w:type="dxa" w:w="80"/>
              <w:right w:type="dxa" w:w="120"/>
            </w:tcMar>
          </w:tcPr>
          <w:p>
            <w:pPr>
              <w:spacing w:after="0"/>
            </w:pPr>
            <w:r>
              <w:rPr>
                <w:b w:val="false"/>
                <w:bCs w:val="false"/>
                <w:color w:val="1E293B"/>
                <w:sz w:val="20"/>
                <w:szCs w:val="20"/>
              </w:rPr>
              <w:t xml:space="preserve">Fecha: _________________________________</w:t>
            </w:r>
          </w:p>
        </w:tc>
        <w:tc>
          <w:tcPr>
            <w:tcW w:type="dxa" w:w="4900"/>
            <w:tcMar>
              <w:top w:type="dxa" w:w="80"/>
              <w:left w:type="dxa" w:w="120"/>
              <w:bottom w:type="dxa" w:w="80"/>
              <w:right w:type="dxa" w:w="120"/>
            </w:tcMar>
          </w:tcPr>
          <w:p>
            <w:pPr>
              <w:spacing w:after="0"/>
            </w:pPr>
            <w:r>
              <w:rPr>
                <w:b w:val="false"/>
                <w:bCs w:val="false"/>
                <w:color w:val="1E293B"/>
                <w:sz w:val="20"/>
                <w:szCs w:val="20"/>
              </w:rPr>
              <w:t xml:space="preserve">Fecha: _________________________________</w:t>
            </w:r>
          </w:p>
        </w:tc>
      </w:tr>
    </w:tbl>
    <w:sectPr>
      <w:headerReference w:type="default" r:id="rId7"/>
      <w:footerReference w:type="default" r:id="rId8"/>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FLOW SYNC PM · flowsyncpm.com ·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18"/>
        <w:szCs w:val="18"/>
      </w:rPr>
      <w:t xml:space="preserve">FlowSync PM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047857"/>
      <w:sz w:val="56"/>
      <w:szCs w:val="56"/>
    </w:rPr>
  </w:style>
  <w:style w:type="paragraph" w:styleId="Subtitle">
    <w:name w:val="Subtitle"/>
    <w:basedOn w:val="Normal"/>
    <w:pPr>
      <w:spacing w:after="300"/>
    </w:pPr>
    <w:rPr>
      <w:rFonts w:ascii="Calibri" w:cs="Calibri" w:eastAsia="Calibri" w:hAnsi="Calibri"/>
      <w:color w:val="475569"/>
      <w:sz w:val="26"/>
      <w:szCs w:val="26"/>
    </w:rPr>
  </w:style>
  <w:style w:type="paragraph" w:styleId="Heading1">
    <w:name w:val="Heading 1"/>
    <w:basedOn w:val="Normal"/>
    <w:next w:val="Normal"/>
    <w:qFormat/>
    <w:pPr>
      <w:spacing w:after="140" w:before="320"/>
      <w:outlineLvl w:val="0"/>
    </w:pPr>
    <w:rPr>
      <w:rFonts w:ascii="Calibri" w:cs="Calibri" w:eastAsia="Calibri" w:hAnsi="Calibri"/>
      <w:b/>
      <w:bCs/>
      <w:color w:val="047857"/>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F172A"/>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2026-07-21T14:44:53.052Z</dcterms:created>
  <dcterms:modified xsi:type="dcterms:W3CDTF">2026-07-21T14:44:53.053Z</dcterms:modified>
</cp:coreProperties>
</file>

<file path=docProps/custom.xml><?xml version="1.0" encoding="utf-8"?>
<Properties xmlns="http://schemas.openxmlformats.org/officeDocument/2006/custom-properties" xmlns:vt="http://schemas.openxmlformats.org/officeDocument/2006/docPropsVTypes"/>
</file>