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Benchmark Competitivo</w:t>
      </w:r>
    </w:p>
    <w:p>
      <w:pPr>
        <w:pStyle w:val="Subtitle"/>
      </w:pPr>
      <w:r>
        <w:t xml:space="preserve">FlowSync PM frente al mercado — para presentaciones y evaluaciones · Agosto 2026</w:t>
      </w:r>
    </w:p>
    <w:p>
      <w:r>
        <w:rPr>
          <w:b/>
          <w:bCs/>
        </w:rPr>
        <w:t xml:space="preserve">FLOW SYNC PM</w:t>
      </w:r>
      <w:r>
        <w:t xml:space="preserve"> · Registered Merchant No. 1552654-0010 · flowsyncpm.com</w:t>
      </w:r>
    </w:p>
    <w:p>
      <w:pPr>
        <w:pBdr>
          <w:bottom w:val="single" w:color="059669" w:sz="6" w:space="4"/>
        </w:pBdr>
        <w:spacing w:after="300"/>
      </w:pPr>
    </w:p>
    <w:p>
      <w:pPr>
        <w:pStyle w:val="Heading1"/>
      </w:pPr>
      <w:r>
        <w:t xml:space="preserve">1. Propósito y método</w:t>
      </w:r>
    </w:p>
    <w:p>
      <w:r>
        <w:t xml:space="preserve">Este benchmark posiciona a FlowSync PM frente a las herramientas que las PMO evalúan con más frecuencia: Microsoft Project/Planner, Monday.com, Asana, Smartsheet, Wrike y ClickUp. Las calificaciones reflejan la capacidad "de fábrica" para una PMO orientada a gobernanza — no lo teóricamente posible con complementos, apps de marketplace o consultoría. ✔ = fortaleza nativa · ◐ = parcial / requiere complementos o niveles superiores · — = no ofrecido.</w:t>
      </w:r>
    </w:p>
    <w:p>
      <w:pPr>
        <w:pStyle w:val="Heading1"/>
      </w:pPr>
      <w:r>
        <w:t xml:space="preserve">2. Matriz de capacidades</w:t>
      </w:r>
    </w:p>
    <w:tbl>
      <w:tblPr>
        <w:tblW w:type="dxa" w:w="95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200"/>
        <w:gridCol w:w="900"/>
        <w:gridCol w:w="1150"/>
        <w:gridCol w:w="900"/>
        <w:gridCol w:w="800"/>
        <w:gridCol w:w="950"/>
        <w:gridCol w:w="800"/>
        <w:gridCol w:w="800"/>
      </w:tblGrid>
      <w:tr>
        <w:trPr>
          <w:tblHeader/>
        </w:trPr>
        <w:tc>
          <w:tcPr>
            <w:tcW w:type="dxa" w:w="32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Capacidad</w:t>
            </w:r>
          </w:p>
        </w:tc>
        <w:tc>
          <w:tcPr>
            <w:tcW w:type="dxa" w:w="9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FlowSync PM</w:t>
            </w:r>
          </w:p>
        </w:tc>
        <w:tc>
          <w:tcPr>
            <w:tcW w:type="dxa" w:w="115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MS Project / Planner</w:t>
            </w:r>
          </w:p>
        </w:tc>
        <w:tc>
          <w:tcPr>
            <w:tcW w:type="dxa" w:w="9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Monday.com</w:t>
            </w:r>
          </w:p>
        </w:tc>
        <w:tc>
          <w:tcPr>
            <w:tcW w:type="dxa" w:w="8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Asana</w:t>
            </w:r>
          </w:p>
        </w:tc>
        <w:tc>
          <w:tcPr>
            <w:tcW w:type="dxa" w:w="95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Smartsheet</w:t>
            </w:r>
          </w:p>
        </w:tc>
        <w:tc>
          <w:tcPr>
            <w:tcW w:type="dxa" w:w="8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Wrike</w:t>
            </w:r>
          </w:p>
        </w:tc>
        <w:tc>
          <w:tcPr>
            <w:tcW w:type="dxa" w:w="8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ClickUp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Gobernanza estándar de PM (fases, riesgos, issues, decisiones, aprobaciones)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Valor Ganado (PV/EV/AC, CPI/SPI) integrado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Importación con IA de un plan existente (Word/Excel/PDF → proyecto vivo)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OCR de documentos escaneados a datos del proyecto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Captura de correos y reuniones vinculada a proyectos (Smart Inbox M365)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Totalmente bilingüe EN/ES por usuario (interfaz + reportes)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Reportes ejecutivos PDF con un clic e historial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Jerarquía de portafolio y programas con visibilidad por rol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Mapa de calor de carga sobre esfuerzo restante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SSO empresarial (Entra ID) + 2FA + bitácora de auditoría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Gobernanza de IA: apagado de IA por workspace + registro de auditoría de IA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Precio amigable para colaboradores (asientos económicos para usuarios ocasionales)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Onboarding personal incluido en el nivel Enterprise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</w:tr>
    </w:tbl>
    <w:p>
      <w:r>
        <w:rPr>
          <w:i/>
          <w:iCs/>
          <w:color w:val="64748B"/>
          <w:sz w:val="18"/>
          <w:szCs w:val="18"/>
        </w:rPr>
        <w:t xml:space="preserve">Las capacidades de competidores se basan en información pública y pueden cambiar; verifique la documentación vigente del proveedor antes de citar detalles a un cliente.</w:t>
      </w:r>
    </w:p>
    <w:p>
      <w:pPr>
        <w:pStyle w:val="Heading1"/>
      </w:pPr>
      <w:r>
        <w:t xml:space="preserve">3. Dónde gana FlowSync PM</w:t>
      </w:r>
    </w:p>
    <w:p>
      <w:pPr>
        <w:pStyle w:val="Heading2"/>
      </w:pPr>
      <w:r>
        <w:t xml:space="preserve">3.1 La gobernanza es nativa, no ensamblada</w:t>
      </w:r>
    </w:p>
    <w:p>
      <w:r>
        <w:t xml:space="preserve">Las herramientas generales modelan tareas y tableros; la gobernanza estándar de PM (fases con criterios de salida, registros de riesgos con puntuación, bitácoras de decisiones, aprobaciones, solicitudes de cambio, lecciones aprendidas) debe ensamblarse con plantillas y automatizaciones — y cada workspace la ensambla distinto. En FlowSync PM son objetos de primera clase con acceso por rol, así el portafolio consolida de forma consistente.</w:t>
      </w:r>
    </w:p>
    <w:p>
      <w:pPr>
        <w:pStyle w:val="Heading2"/>
      </w:pPr>
      <w:r>
        <w:t xml:space="preserve">3.2 Valor Ganado que los ejecutivos pueden leer</w:t>
      </w:r>
    </w:p>
    <w:p>
      <w:r>
        <w:t xml:space="preserve">El EVM (PV, EV, AC, CPI, SPI) se calcula del plan y los costos reales y aterriza directamente en reportes ejecutivos de un clic. De las herramientas comparadas solo MS Project se acerca, y permanece dentro del cliente de cronogramas, no en un reporte ejecutivo compartible.</w:t>
      </w:r>
    </w:p>
    <w:p>
      <w:pPr>
        <w:pStyle w:val="Heading2"/>
      </w:pPr>
      <w:r>
        <w:t xml:space="preserve">3.3 El plan que ya tiene se convierte en el sistema de registro</w:t>
      </w:r>
    </w:p>
    <w:p>
      <w:r>
        <w:t xml:space="preserve">La mayor barrera de adopción de cualquier herramienta de PM es re-transcribir planes existentes. FlowSync PM importa planes en Word, Excel o PDF — incluyendo documentos escaneados vía OCR — y los convierte en tareas, riesgos, líneas de presupuesto y decisiones vivas en minutos. Ninguna herramienta comparada lo ofrece de forma nativa.</w:t>
      </w:r>
    </w:p>
    <w:p>
      <w:pPr>
        <w:pStyle w:val="Heading2"/>
      </w:pPr>
      <w:r>
        <w:t xml:space="preserve">3.4 El trabajo llega por correo y reuniones — y se captura</w:t>
      </w:r>
    </w:p>
    <w:p>
      <w:r>
        <w:t xml:space="preserve">El Smart Inbox de Microsoft 365 detecta correos y reuniones relacionados con proyectos desde la cuenta del propio usuario y los aplica al proyecto correspondiente como notas y minutas, que luego alimentan los reportes de estado generados con IA. Los competidores ofrecen plugins de correo-a-tarea; ninguno cierra el ciclo hasta minutas gobernadas y reportes ejecutivos.</w:t>
      </w:r>
    </w:p>
    <w:p>
      <w:pPr>
        <w:pStyle w:val="Heading2"/>
      </w:pPr>
      <w:r>
        <w:t xml:space="preserve">3.5 Verdaderamente bilingüe</w:t>
      </w:r>
    </w:p>
    <w:p>
      <w:r>
        <w:t xml:space="preserve">Toda la interfaz y los reportes generados funcionan en inglés o español por usuario — crítico para organizaciones en Puerto Rico y América Latina donde el equipo trabaja en español pero los stakeholders o auditores esperan artefactos en inglés (o viceversa). Los competidores traducen menús; los reportes y artefactos de gobernanza suelen quedarse en inglés.</w:t>
      </w:r>
    </w:p>
    <w:p>
      <w:pPr>
        <w:pStyle w:val="Heading2"/>
      </w:pPr>
      <w:r>
        <w:t xml:space="preserve">3.6 Un modelo de precios hecho para cómo se dotan las PMO</w:t>
      </w:r>
    </w:p>
    <w:p>
      <w:r>
        <w:t xml:space="preserve">Business a $39 por usuario con rol de gestión más $20 por paquete de diez colaboradores refleja la realidad: pocas personas dirigen el trabajo, muchas lo tocan. Los competidores por asiento cobran precio completo al colaborador ocasional — por eso la adopción se estanca en el borde del equipo.</w:t>
      </w:r>
    </w:p>
    <w:p>
      <w:pPr>
        <w:pStyle w:val="Heading1"/>
      </w:pPr>
      <w:r>
        <w:t xml:space="preserve">4. Dónde ganan los competidores (visión honesta)</w:t>
      </w:r>
    </w:p>
    <w:p>
      <w:pPr>
        <w:pStyle w:val="ListParagraph"/>
        <w:numPr>
          <w:ilvl w:val="0"/>
          <w:numId w:val="2"/>
        </w:numPr>
      </w:pPr>
      <w:r>
        <w:t xml:space="preserve">Amplitud de ecosistema: Monday, Asana, ClickUp y Wrike ofrecen marketplaces e integraciones más grandes.</w:t>
      </w:r>
    </w:p>
    <w:p>
      <w:pPr>
        <w:pStyle w:val="ListParagraph"/>
        <w:numPr>
          <w:ilvl w:val="0"/>
          <w:numId w:val="2"/>
        </w:numPr>
      </w:pPr>
      <w:r>
        <w:t xml:space="preserve">Casos no-PM: como plataformas generales, sirven flujos de marketing, RR. HH. y afines a CRM que FlowSync PM no persigue.</w:t>
      </w:r>
    </w:p>
    <w:p>
      <w:pPr>
        <w:pStyle w:val="ListParagraph"/>
        <w:numPr>
          <w:ilvl w:val="0"/>
          <w:numId w:val="2"/>
        </w:numPr>
      </w:pPr>
      <w:r>
        <w:t xml:space="preserve">Profundidad de cronogramas: MS Project sigue siendo el motor de ruta crítica más profundo para necesidades CPM de grado construcción.</w:t>
      </w:r>
    </w:p>
    <w:p>
      <w:pPr>
        <w:pStyle w:val="ListParagraph"/>
        <w:numPr>
          <w:ilvl w:val="0"/>
          <w:numId w:val="2"/>
        </w:numPr>
      </w:pPr>
      <w:r>
        <w:t xml:space="preserve">Trayectoria de marca: las seis son marcas establecidas con largas referencias enterprise; FlowSync PM compite por enfoque, ajuste de capacidades y onboarding personal.</w:t>
      </w:r>
    </w:p>
    <w:p>
      <w:r>
        <w:t xml:space="preserve">Plantear estos puntos usted mismo construye credibilidad — la respuesta es siempre la misma: esas fortalezas sirven a la gestión de trabajo general; el comprador aquí es una PMO.</w:t>
      </w:r>
    </w:p>
    <w:p>
      <w:pPr>
        <w:pStyle w:val="Heading1"/>
      </w:pPr>
      <w:r>
        <w:t xml:space="preserve">5. Contexto de precios</w:t>
      </w:r>
    </w:p>
    <w:tbl>
      <w:tblPr>
        <w:tblW w:type="dxa" w:w="98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4400"/>
        <w:gridCol w:w="3200"/>
      </w:tblGrid>
      <w:tr>
        <w:trPr>
          <w:tblHeader/>
        </w:trPr>
        <w:tc>
          <w:tcPr>
            <w:tcW w:type="dxa" w:w="22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4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Modelo (indicativo)</w:t>
            </w:r>
          </w:p>
        </w:tc>
        <w:tc>
          <w:tcPr>
            <w:tcW w:type="dxa" w:w="32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 de ajuste PMO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FlowSync PM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Prueba gratis 2 meses · Starter $19/usuario · Business $39/rol pago + $20 por 10 colaboradores · Enterprise a la medida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Los paquetes de colaboradores mantienen asequible la adopción de todo el equipo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MS Project / Planner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Planes por usuario dentro de Microsoft 365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Cronogramas fuertes; gobernanza y reportes se ensamblan aparte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Monday / Asana / Smartsheet / Wrike / ClickUp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Niveles por asiento; funciones clave de PM (portafolio, carga, SSO) suelen requerir niveles superiores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Asientos a precio completo para colaboradores ocasionales; gobernanza vía plantillas</w:t>
            </w:r>
          </w:p>
        </w:tc>
      </w:tr>
    </w:tbl>
    <w:p>
      <w:r>
        <w:rPr>
          <w:i/>
          <w:iCs/>
          <w:color w:val="64748B"/>
          <w:sz w:val="18"/>
          <w:szCs w:val="18"/>
        </w:rPr>
        <w:t xml:space="preserve">Los precios de competidores cambian con frecuencia y varían por nivel y región — trate lo anterior como estructura, no como cotización, y verifique los precios publicados vigentes antes de conversar con clientes.</w:t>
      </w:r>
    </w:p>
    <w:p>
      <w:pPr>
        <w:pStyle w:val="Heading1"/>
      </w:pPr>
      <w:r>
        <w:t xml:space="preserve">6. Posicionamiento resumen</w:t>
      </w:r>
    </w:p>
    <w:p>
      <w:r>
        <w:rPr>
          <w:b/>
          <w:bCs/>
        </w:rPr>
        <w:t xml:space="preserve">En una línea: </w:t>
      </w:r>
      <w:r>
        <w:t xml:space="preserve">"Las herramientas generales le hacen construir una PMO con tableros; FlowSync PM entrega la PMO — gobernanza, valor ganado, reportes bilingües — e importa los planes que usted ya tiene."</w:t>
      </w:r>
    </w:p>
    <w:p>
      <w:r>
        <w:rPr>
          <w:b/>
          <w:bCs/>
        </w:rPr>
        <w:t xml:space="preserve">Puntos de prueba de la demo, en orden: </w:t>
      </w:r>
      <w:r>
        <w:t xml:space="preserve">(1) importar un plan real en minutos, (2) OCR de una cotización escaneada, (3) captura de correo/reunión en el Smart Inbox, (4) reporte ejecutivo de un clic con EVM.</w:t>
      </w:r>
    </w:p>
    <w:sectPr>
      <w:headerReference w:type="default" r:id="rId7"/>
      <w:footerReference w:type="default" r:id="rId8"/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FLOW SYNC PM · flowsyncpm.com ·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59669"/>
        <w:sz w:val="18"/>
        <w:szCs w:val="18"/>
      </w:rPr>
      <w:t xml:space="preserve">FlowSync PM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047857"/>
      <w:sz w:val="56"/>
      <w:szCs w:val="56"/>
    </w:rPr>
  </w:style>
  <w:style w:type="paragraph" w:styleId="Subtitle">
    <w:name w:val="Subtitle"/>
    <w:basedOn w:val="Normal"/>
    <w:pPr>
      <w:spacing w:after="300"/>
    </w:pPr>
    <w:rPr>
      <w:rFonts w:ascii="Calibri" w:cs="Calibri" w:eastAsia="Calibri" w:hAnsi="Calibri"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478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2026-07-21T14:53:00.318Z</dcterms:created>
  <dcterms:modified xsi:type="dcterms:W3CDTF">2026-07-21T14:53:00.318Z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