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Business Information &amp; Security Overview</w:t>
      </w:r>
    </w:p>
    <w:p>
      <w:pPr>
        <w:pStyle w:val="Subtitle"/>
      </w:pPr>
      <w:r>
        <w:t xml:space="preserve">For customer procurement, IT, and compliance review · August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1. Company Information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Legal / trade name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FLOW SYNC PM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Merchant registration (Puerto Rico)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No. 1552654-0010 (renews Sep 30, 2027)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NAICS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54151 — Computer Systems Design and Related Services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FlowSync PM — bilingual (EN/ES) enterprise PMO SaaS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Website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https://flowsyncpm.com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sales@flowsyncpm.com · support@flowsyncpm.com · legal@flowsyncpm.com · billing@flowsyncpm.com</w:t>
            </w:r>
          </w:p>
        </w:tc>
      </w:tr>
    </w:tbl>
    <w:p>
      <w:pPr>
        <w:pStyle w:val="Heading1"/>
      </w:pPr>
      <w:r>
        <w:t xml:space="preserve">2. Hosting &amp;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hosting: </w:t>
      </w:r>
      <w:r>
        <w:t xml:space="preserve">Vercel (globally distributed edge network; production deployments with automatic rollback capability).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Managed PostgreSQL on Supabase, hosted in AWS region us-east-1 (N. Virginia, USA). Customer data does not leave the United States.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storage: </w:t>
      </w:r>
      <w:r>
        <w:t xml:space="preserve">Supabase Storage (AWS us-east-1), access-controlled per workspace.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Backups: </w:t>
      </w:r>
      <w:r>
        <w:t xml:space="preserve">Automated daily database backups managed by the database provider, with point-in-time restore capability at the platform level.</w:t>
      </w:r>
    </w:p>
    <w:p>
      <w:pPr>
        <w:pStyle w:val="Heading1"/>
      </w:pPr>
      <w:r>
        <w:t xml:space="preserve">3. Security Controls</w:t>
      </w:r>
    </w:p>
    <w:p>
      <w:pPr>
        <w:pStyle w:val="Heading2"/>
      </w:pPr>
      <w:r>
        <w:t xml:space="preserve">3.1 Encryption</w:t>
      </w:r>
    </w:p>
    <w:p>
      <w:pPr>
        <w:pStyle w:val="ListParagraph"/>
        <w:numPr>
          <w:ilvl w:val="0"/>
          <w:numId w:val="2"/>
        </w:numPr>
      </w:pPr>
      <w:r>
        <w:t xml:space="preserve">All traffic encrypted in transit via TLS (HTTPS enforced across the application and APIs).</w:t>
      </w:r>
    </w:p>
    <w:p>
      <w:pPr>
        <w:pStyle w:val="ListParagraph"/>
        <w:numPr>
          <w:ilvl w:val="0"/>
          <w:numId w:val="2"/>
        </w:numPr>
      </w:pPr>
      <w:r>
        <w:t xml:space="preserve">Data encrypted at rest at the storage layer (AES-256, managed by AWS/Supabase).</w:t>
      </w:r>
    </w:p>
    <w:p>
      <w:pPr>
        <w:pStyle w:val="ListParagraph"/>
        <w:numPr>
          <w:ilvl w:val="0"/>
          <w:numId w:val="2"/>
        </w:numPr>
      </w:pPr>
      <w:r>
        <w:t xml:space="preserve">Passwords stored as salted hashes; password-reset tokens are SHA-256 hashed, single-use, and expire after 1 hour.</w:t>
      </w:r>
    </w:p>
    <w:p>
      <w:pPr>
        <w:pStyle w:val="Heading2"/>
      </w:pPr>
      <w:r>
        <w:t xml:space="preserve">3.2 Authentication</w:t>
      </w:r>
    </w:p>
    <w:p>
      <w:pPr>
        <w:pStyle w:val="ListParagraph"/>
        <w:numPr>
          <w:ilvl w:val="0"/>
          <w:numId w:val="2"/>
        </w:numPr>
      </w:pPr>
      <w:r>
        <w:t xml:space="preserve">Email/password, Google, and Microsoft Entra ID (Azure AD) sign-in supported.</w:t>
      </w:r>
    </w:p>
    <w:p>
      <w:pPr>
        <w:pStyle w:val="ListParagraph"/>
        <w:numPr>
          <w:ilvl w:val="0"/>
          <w:numId w:val="2"/>
        </w:numPr>
      </w:pPr>
      <w:r>
        <w:t xml:space="preserve">Two-factor authentication (TOTP) available to all accounts.</w:t>
      </w:r>
    </w:p>
    <w:p>
      <w:pPr>
        <w:pStyle w:val="ListParagraph"/>
        <w:numPr>
          <w:ilvl w:val="0"/>
          <w:numId w:val="2"/>
        </w:numPr>
      </w:pPr>
      <w:r>
        <w:t xml:space="preserve">Enterprise single sign-on via Microsoft Entra ID — see the companion "Entra ID / Active Directory" one-pager.</w:t>
      </w:r>
    </w:p>
    <w:p>
      <w:pPr>
        <w:pStyle w:val="Heading2"/>
      </w:pPr>
      <w:r>
        <w:t xml:space="preserve">3.3 Authorization (RBAC)</w:t>
      </w:r>
    </w:p>
    <w:p>
      <w:pPr>
        <w:pStyle w:val="ListParagraph"/>
        <w:numPr>
          <w:ilvl w:val="0"/>
          <w:numId w:val="2"/>
        </w:numPr>
      </w:pPr>
      <w:r>
        <w:t xml:space="preserve">Workspace-level roles: Owner, Admin, PM, Member, Viewer, Client, PMO Director, Program Manager, Executive.</w:t>
      </w:r>
    </w:p>
    <w:p>
      <w:pPr>
        <w:pStyle w:val="ListParagraph"/>
        <w:numPr>
          <w:ilvl w:val="0"/>
          <w:numId w:val="2"/>
        </w:numPr>
      </w:pPr>
      <w:r>
        <w:t xml:space="preserve">Project-level roles including Sponsor, Stakeholder, PMO, Team Member, Product Owner, Business Analyst, Tech Lead, Scrum Master, Client, and Auditor — each with scoped permissions.</w:t>
      </w:r>
    </w:p>
    <w:p>
      <w:pPr>
        <w:pStyle w:val="ListParagraph"/>
        <w:numPr>
          <w:ilvl w:val="0"/>
          <w:numId w:val="2"/>
        </w:numPr>
      </w:pPr>
      <w:r>
        <w:t xml:space="preserve">Workspace membership is validated in the session token on every workspace switch, preventing cross-tenant access.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governance:</w:t>
      </w:r>
      <w:r>
        <w:t xml:space="preserve"> workspace administrators can disable all AI features for their workspace (Settings → Security → AI governance); the switch is enforced server-side across every AI endpoint. AI runs exclusively through the Anthropic API (Claude), server-side, and customer data is not used to train models. See the companion AI Responsibility Statement.</w:t>
      </w:r>
    </w:p>
    <w:p>
      <w:pPr>
        <w:pStyle w:val="Heading2"/>
      </w:pPr>
      <w:r>
        <w:t xml:space="preserve">3.4 Auditability</w:t>
      </w:r>
    </w:p>
    <w:p>
      <w:pPr>
        <w:pStyle w:val="ListParagraph"/>
        <w:numPr>
          <w:ilvl w:val="0"/>
          <w:numId w:val="2"/>
        </w:numPr>
      </w:pPr>
      <w:r>
        <w:t xml:space="preserve">Workspace-level audit log records user actions (who, what, when).</w:t>
      </w:r>
    </w:p>
    <w:p>
      <w:pPr>
        <w:pStyle w:val="ListParagraph"/>
        <w:numPr>
          <w:ilvl w:val="0"/>
          <w:numId w:val="2"/>
        </w:numPr>
      </w:pPr>
      <w:r>
        <w:t xml:space="preserve">Report history preserves each generated executive report.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audit log:</w:t>
      </w:r>
      <w:r>
        <w:t xml:space="preserve"> every AI invocation — and every AI call blocked by workspace policy — is recorded with timestamp, feature, and user, viewable by workspace administrators.</w:t>
      </w:r>
    </w:p>
    <w:p>
      <w:pPr>
        <w:pStyle w:val="Heading1"/>
      </w:pPr>
      <w:r>
        <w:t xml:space="preserve">4. Data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 isolation: </w:t>
      </w:r>
      <w:r>
        <w:t xml:space="preserve">All records are scoped to a workspace; queries are workspace-filtered at the application layer.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export: </w:t>
      </w:r>
      <w:r>
        <w:t xml:space="preserve">Customers may request an export of their workspace data; Enterprise agreements can define export format and cadence.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retention: </w:t>
      </w:r>
      <w:r>
        <w:t xml:space="preserve">Data is retained for the life of the subscription; deletion upon termination is described in the Service Policies document.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PHI / regulated health data: </w:t>
      </w:r>
      <w:r>
        <w:t xml:space="preserve">FlowSync PM is a project management platform and is not intended for the storage of Protected Health Information (PHI). Customers should not upload PHI. A HIPAA Business Associate Agreement pathway is available for Enterprise customers upon review only.</w:t>
      </w:r>
    </w:p>
    <w:p>
      <w:pPr>
        <w:pStyle w:val="Heading1"/>
      </w:pPr>
      <w:r>
        <w:t xml:space="preserve">5. Subprocessors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5000"/>
        <w:gridCol w:w="2400"/>
      </w:tblGrid>
      <w:tr>
        <w:trPr>
          <w:tblHeader/>
        </w:trPr>
        <w:tc>
          <w:tcPr>
            <w:tcW w:type="dxa" w:w="2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50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Anthropic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processing (Claude API); no model training on customer data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Application hosting &amp; delivery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USA (global edge)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Supabase (AWS)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Database &amp; file storage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AWS us-east-1, USA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Payment processing (card data never touches FlowSync servers)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Transactional email delivery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Zoho Mail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Company email (support/sales correspondence)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USA</w:t>
            </w:r>
          </w:p>
        </w:tc>
      </w:tr>
    </w:tbl>
    <w:p>
      <w:pPr>
        <w:pStyle w:val="Heading1"/>
      </w:pPr>
      <w:r>
        <w:t xml:space="preserve">6. Availability &amp; Support</w:t>
      </w:r>
    </w:p>
    <w:p>
      <w:pPr>
        <w:pStyle w:val="ListParagraph"/>
        <w:numPr>
          <w:ilvl w:val="0"/>
          <w:numId w:val="2"/>
        </w:numPr>
      </w:pPr>
      <w:r>
        <w:t xml:space="preserve">Uptime target, support hours, and response times by plan are defined in the FlowSync PM Service Policies document.</w:t>
      </w:r>
    </w:p>
    <w:p>
      <w:pPr>
        <w:pStyle w:val="ListParagraph"/>
        <w:numPr>
          <w:ilvl w:val="0"/>
          <w:numId w:val="2"/>
        </w:numPr>
      </w:pPr>
      <w:r>
        <w:t xml:space="preserve">Status and incident communications are sent to workspace administrators by email.</w:t>
      </w:r>
    </w:p>
    <w:p>
      <w:pPr>
        <w:spacing w:before="300"/>
      </w:pPr>
      <w:r>
        <w:rPr>
          <w:b/>
          <w:bCs/>
        </w:rPr>
        <w:t xml:space="preserve">Questions? </w:t>
      </w:r>
      <w:r>
        <w:t xml:space="preserve">security and compliance inquiries: legal@flowsyncpm.com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2026-07-19T23:17:04.932Z</dcterms:created>
  <dcterms:modified xsi:type="dcterms:W3CDTF">2026-07-19T23:17:04.940Z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