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Competitive Benchmark</w:t>
      </w:r>
    </w:p>
    <w:p>
      <w:pPr>
        <w:pStyle w:val="Subtitle"/>
      </w:pPr>
      <w:r>
        <w:t xml:space="preserve">FlowSync PM vs. the market — for presentations &amp; evaluations · August 2026</w:t>
      </w:r>
    </w:p>
    <w:p>
      <w:r>
        <w:rPr>
          <w:b/>
          <w:bCs/>
        </w:rPr>
        <w:t xml:space="preserve">FLOW SYNC PM</w:t>
      </w:r>
      <w:r>
        <w:t xml:space="preserve"> · Registered Merchant No. 1552654-0010 · flowsyncpm.com</w:t>
      </w:r>
    </w:p>
    <w:p>
      <w:pPr>
        <w:pBdr>
          <w:bottom w:val="single" w:color="059669" w:sz="6" w:space="4"/>
        </w:pBdr>
        <w:spacing w:after="300"/>
      </w:pPr>
    </w:p>
    <w:p>
      <w:pPr>
        <w:pStyle w:val="Heading1"/>
      </w:pPr>
      <w:r>
        <w:t xml:space="preserve">1. Purpose &amp; method</w:t>
      </w:r>
    </w:p>
    <w:p>
      <w:r>
        <w:t xml:space="preserve">This benchmark positions FlowSync PM against the tools most often shortlisted by PMOs: Microsoft Project/Planner, Monday.com, Asana, Smartsheet, Wrike, and ClickUp. Ratings reflect out-of-the-box capability for a governance-driven PMO — not what is theoretically possible with add-ons, marketplace apps, or consulting. ✔ = native strength · ◐ = partial / requires add-ons or higher tiers · — = not offered.</w:t>
      </w:r>
    </w:p>
    <w:p>
      <w:pPr>
        <w:pStyle w:val="Heading1"/>
      </w:pPr>
      <w:r>
        <w:t xml:space="preserve">2. Capability matrix</w:t>
      </w:r>
    </w:p>
    <w:tbl>
      <w:tblPr>
        <w:tblW w:type="dxa" w:w="95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200"/>
        <w:gridCol w:w="900"/>
        <w:gridCol w:w="1150"/>
        <w:gridCol w:w="900"/>
        <w:gridCol w:w="800"/>
        <w:gridCol w:w="950"/>
        <w:gridCol w:w="800"/>
        <w:gridCol w:w="800"/>
      </w:tblGrid>
      <w:tr>
        <w:trPr>
          <w:tblHeader/>
        </w:trPr>
        <w:tc>
          <w:tcPr>
            <w:tcW w:type="dxa" w:w="32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9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FlowSync PM</w:t>
            </w:r>
          </w:p>
        </w:tc>
        <w:tc>
          <w:tcPr>
            <w:tcW w:type="dxa" w:w="115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MS Project / Planner</w:t>
            </w:r>
          </w:p>
        </w:tc>
        <w:tc>
          <w:tcPr>
            <w:tcW w:type="dxa" w:w="9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Monday.com</w:t>
            </w:r>
          </w:p>
        </w:tc>
        <w:tc>
          <w:tcPr>
            <w:tcW w:type="dxa" w:w="8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Asana</w:t>
            </w:r>
          </w:p>
        </w:tc>
        <w:tc>
          <w:tcPr>
            <w:tcW w:type="dxa" w:w="95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Smartsheet</w:t>
            </w:r>
          </w:p>
        </w:tc>
        <w:tc>
          <w:tcPr>
            <w:tcW w:type="dxa" w:w="8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Wrike</w:t>
            </w:r>
          </w:p>
        </w:tc>
        <w:tc>
          <w:tcPr>
            <w:tcW w:type="dxa" w:w="8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ClickUp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PM-standard governance (phases, risks, issues, decisions, approvals)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Earned Value Management (PV/EV/AC, CPI/SPI) built in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import of an existing plan (Word/Excel/PDF → live project)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OCR of scanned documents into project data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Email &amp; meeting intake matched to projects (M365 Smart Inbox)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Fully bilingual EN/ES per user (UI + reports)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One-click executive PDF reports with report history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Portfolio &amp; program hierarchy with role-scoped visibility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Workload heat map on remaining effort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Enterprise SSO (Entra ID) + 2FA + audit log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AI governance: workspace AI kill switch + per-workspace AI audit log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Contributor-friendly pricing (cheap seats for occasional users)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Personal onboarding included at Enterprise tier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✔</w:t>
            </w:r>
          </w:p>
        </w:tc>
        <w:tc>
          <w:tcPr>
            <w:tcW w:type="dxa" w:w="1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◐</w:t>
            </w:r>
          </w:p>
        </w:tc>
      </w:tr>
    </w:tbl>
    <w:p>
      <w:r>
        <w:rPr>
          <w:i/>
          <w:iCs/>
          <w:color w:val="64748B"/>
          <w:sz w:val="18"/>
          <w:szCs w:val="18"/>
        </w:rPr>
        <w:t xml:space="preserve">Competitor capabilities are based on publicly available product information and may change; verify current vendor documentation before quoting specifics to a customer.</w:t>
      </w:r>
    </w:p>
    <w:p>
      <w:pPr>
        <w:pStyle w:val="Heading1"/>
      </w:pPr>
      <w:r>
        <w:t xml:space="preserve">3. Where FlowSync PM wins</w:t>
      </w:r>
    </w:p>
    <w:p>
      <w:pPr>
        <w:pStyle w:val="Heading2"/>
      </w:pPr>
      <w:r>
        <w:t xml:space="preserve">3.1 Governance is native, not assembled</w:t>
      </w:r>
    </w:p>
    <w:p>
      <w:r>
        <w:t xml:space="preserve">General work-management tools model tasks and boards; PM-standard governance (phases with exit criteria, risk registers with scoring, decision logs, approvals, change requests, lessons learned) must be assembled from templates and automations — and every workspace assembles it differently. In FlowSync PM these are first-class objects with role-based access, so a portfolio rolls up consistently.</w:t>
      </w:r>
    </w:p>
    <w:p>
      <w:pPr>
        <w:pStyle w:val="Heading2"/>
      </w:pPr>
      <w:r>
        <w:t xml:space="preserve">3.2 Earned Value the executives can read</w:t>
      </w:r>
    </w:p>
    <w:p>
      <w:r>
        <w:t xml:space="preserve">EVM (PV, EV, AC, CPI, SPI) is computed from the plan and actuals and lands directly in one-click executive reports. Among the compared tools only MS Project approaches this, and it stays inside the scheduling client rather than a shareable executive report.</w:t>
      </w:r>
    </w:p>
    <w:p>
      <w:pPr>
        <w:pStyle w:val="Heading2"/>
      </w:pPr>
      <w:r>
        <w:t xml:space="preserve">3.3 The plan you already have becomes the system of record</w:t>
      </w:r>
    </w:p>
    <w:p>
      <w:r>
        <w:t xml:space="preserve">The single biggest adoption barrier for any PM tool is retyping existing plans. FlowSync PM imports Word, Excel, or PDF plans — including scanned documents via OCR — and turns them into live tasks, risks, budget lines, and decisions in minutes. No compared tool offers this as a native capability.</w:t>
      </w:r>
    </w:p>
    <w:p>
      <w:pPr>
        <w:pStyle w:val="Heading2"/>
      </w:pPr>
      <w:r>
        <w:t xml:space="preserve">3.4 Work arrives by email and meetings — and gets captured</w:t>
      </w:r>
    </w:p>
    <w:p>
      <w:r>
        <w:t xml:space="preserve">The Microsoft 365 Smart Inbox detects project-related emails and meetings from a user’s own account and applies them to the matched project as notes and minutes, which then feed AI-generated status reports. Competitors offer email-to-task plugins; none close the loop into governed minutes and executive reporting.</w:t>
      </w:r>
    </w:p>
    <w:p>
      <w:pPr>
        <w:pStyle w:val="Heading2"/>
      </w:pPr>
      <w:r>
        <w:t xml:space="preserve">3.5 Truly bilingual</w:t>
      </w:r>
    </w:p>
    <w:p>
      <w:r>
        <w:t xml:space="preserve">The full interface and generated reports run in English or Spanish per user — critical for organizations in Puerto Rico and Latin America where the team works in Spanish but stakeholders or auditors expect English artifacts (or vice versa). Competitors localize menus; report output and governance artifacts typically remain English-first.</w:t>
      </w:r>
    </w:p>
    <w:p>
      <w:pPr>
        <w:pStyle w:val="Heading2"/>
      </w:pPr>
      <w:r>
        <w:t xml:space="preserve">3.6 A pricing model built for how PMOs actually staff</w:t>
      </w:r>
    </w:p>
    <w:p>
      <w:r>
        <w:t xml:space="preserve">Business at $39 per management-role user plus $20 per bundle of ten contributors reflects reality: a few people drive the work, many people touch it. Per-seat competitors charge full price for the occasional contributor, which is why adoption stalls at the team boundary.</w:t>
      </w:r>
    </w:p>
    <w:p>
      <w:pPr>
        <w:pStyle w:val="Heading1"/>
      </w:pPr>
      <w:r>
        <w:t xml:space="preserve">4. Where competitors win (honest view)</w:t>
      </w:r>
    </w:p>
    <w:p>
      <w:pPr>
        <w:pStyle w:val="ListParagraph"/>
        <w:numPr>
          <w:ilvl w:val="0"/>
          <w:numId w:val="2"/>
        </w:numPr>
      </w:pPr>
      <w:r>
        <w:t xml:space="preserve">Ecosystem breadth: Monday, Asana, ClickUp, and Wrike offer larger app marketplaces and integrations catalogs.</w:t>
      </w:r>
    </w:p>
    <w:p>
      <w:pPr>
        <w:pStyle w:val="ListParagraph"/>
        <w:numPr>
          <w:ilvl w:val="0"/>
          <w:numId w:val="2"/>
        </w:numPr>
      </w:pPr>
      <w:r>
        <w:t xml:space="preserve">Non-PM use cases: as general work platforms, they serve marketing, HR, and CRM-adjacent workflows FlowSync PM does not target.</w:t>
      </w:r>
    </w:p>
    <w:p>
      <w:pPr>
        <w:pStyle w:val="ListParagraph"/>
        <w:numPr>
          <w:ilvl w:val="0"/>
          <w:numId w:val="2"/>
        </w:numPr>
      </w:pPr>
      <w:r>
        <w:t xml:space="preserve">Scheduling depth: MS Project remains the deepest critical-path scheduling engine for construction-grade CPM needs.</w:t>
      </w:r>
    </w:p>
    <w:p>
      <w:pPr>
        <w:pStyle w:val="ListParagraph"/>
        <w:numPr>
          <w:ilvl w:val="0"/>
          <w:numId w:val="2"/>
        </w:numPr>
      </w:pPr>
      <w:r>
        <w:t xml:space="preserve">Brand track record: all six are established brands with long enterprise references; FlowSync PM competes on focus, capability fit, and hands-on onboarding.</w:t>
      </w:r>
    </w:p>
    <w:p>
      <w:r>
        <w:t xml:space="preserve">Raising these points yourself builds credibility — the counter is always the same: those strengths serve general work management; the buyer here is a PMO.</w:t>
      </w:r>
    </w:p>
    <w:p>
      <w:pPr>
        <w:pStyle w:val="Heading1"/>
      </w:pPr>
      <w:r>
        <w:t xml:space="preserve">5. Pricing context</w:t>
      </w:r>
    </w:p>
    <w:tbl>
      <w:tblPr>
        <w:tblW w:type="dxa" w:w="980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200"/>
        <w:gridCol w:w="4400"/>
        <w:gridCol w:w="3200"/>
      </w:tblGrid>
      <w:tr>
        <w:trPr>
          <w:tblHeader/>
        </w:trPr>
        <w:tc>
          <w:tcPr>
            <w:tcW w:type="dxa" w:w="22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4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 (indicative)</w:t>
            </w:r>
          </w:p>
        </w:tc>
        <w:tc>
          <w:tcPr>
            <w:tcW w:type="dxa" w:w="3200"/>
            <w:shd w:fill="0478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PMO fit note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FlowSync PM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Trial free 2 mo · Starter $19/user · Business $39/paid role + $20 per 10 contributors · Enterprise custom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Contributor bundles keep whole-team adoption affordable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MS Project / Planner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Per-user plans tiered inside Microsoft 365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Strong scheduling; governance and reporting assembled separately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Monday.com / Asana / Smartsheet / Wrike / ClickUp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Per-seat tiers; key PM features (portfolio, workload, SSO) typically gated to upper tiers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Full-price seats for occasional contributors; governance via templates</w:t>
            </w:r>
          </w:p>
        </w:tc>
      </w:tr>
    </w:tbl>
    <w:p>
      <w:r>
        <w:rPr>
          <w:i/>
          <w:iCs/>
          <w:color w:val="64748B"/>
          <w:sz w:val="18"/>
          <w:szCs w:val="18"/>
        </w:rPr>
        <w:t xml:space="preserve">Competitor pricing changes frequently and varies by tier and region — treat the above as structure, not quotes, and verify current published pricing before customer conversations.</w:t>
      </w:r>
    </w:p>
    <w:p>
      <w:pPr>
        <w:pStyle w:val="Heading1"/>
      </w:pPr>
      <w:r>
        <w:t xml:space="preserve">6. Summary positioning</w:t>
      </w:r>
    </w:p>
    <w:p>
      <w:r>
        <w:rPr>
          <w:b/>
          <w:bCs/>
        </w:rPr>
        <w:t xml:space="preserve">One line: </w:t>
      </w:r>
      <w:r>
        <w:t xml:space="preserve">"General work tools make you build a PMO out of boards; FlowSync PM ships the PMO — governance, earned value, bilingual reporting — and imports the plans you already have."</w:t>
      </w:r>
    </w:p>
    <w:p>
      <w:r>
        <w:rPr>
          <w:b/>
          <w:bCs/>
        </w:rPr>
        <w:t xml:space="preserve">Demo proof points, in order: </w:t>
      </w:r>
      <w:r>
        <w:t xml:space="preserve">(1) import a real plan in minutes, (2) OCR a scanned vendor quote, (3) email/meeting Smart Inbox capture, (4) one-click executive report with EVM.</w:t>
      </w:r>
    </w:p>
    <w:sectPr>
      <w:headerReference w:type="default" r:id="rId7"/>
      <w:footerReference w:type="default" r:id="rId8"/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FLOW SYNC PM · flowsyncpm.com ·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18"/>
        <w:szCs w:val="18"/>
      </w:rPr>
      <w:t xml:space="preserve">FlowSync PM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47857"/>
      <w:sz w:val="56"/>
      <w:szCs w:val="56"/>
    </w:rPr>
  </w:style>
  <w:style w:type="paragraph" w:styleId="Subtitle">
    <w:name w:val="Subtitle"/>
    <w:basedOn w:val="Normal"/>
    <w:pPr>
      <w:spacing w:after="300"/>
    </w:pPr>
    <w:rPr>
      <w:rFonts w:ascii="Calibri" w:cs="Calibri" w:eastAsia="Calibri" w:hAnsi="Calibri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478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2026-07-21T14:52:59.955Z</dcterms:created>
  <dcterms:modified xsi:type="dcterms:W3CDTF">2026-07-21T14:52:59.979Z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