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120"/>
      </w:pPr>
      <w:r>
        <w:rPr>
          <w:b/>
          <w:bCs/>
          <w:color w:val="0D1B2A"/>
          <w:sz w:val="26"/>
          <w:szCs w:val="26"/>
        </w:rPr>
        <w:t xml:space="preserve">ANEXO DE PROCESAMIENTO DE DATOS (DPA)</w:t>
      </w:r>
    </w:p>
    <w:p>
      <w:pPr>
        <w:spacing w:after="110" w:line="264"/>
      </w:pPr>
      <w:r>
        <w:rPr>
          <w:color w:val="64748B"/>
          <w:sz w:val="17"/>
          <w:szCs w:val="17"/>
        </w:rPr>
        <w:t xml:space="preserve">FLOW SYNC PM · Registro de Comerciante Núm. 1552654-0010 · NAICS 54151 · Puerto Rico, EE. UU.</w:t>
      </w:r>
    </w:p>
    <w:p>
      <w:pPr>
        <w:spacing w:after="140"/>
      </w:pPr>
      <w:r>
        <w:rPr>
          <w:i/>
          <w:iCs/>
          <w:color w:val="64748B"/>
          <w:sz w:val="17"/>
          <w:szCs w:val="17"/>
        </w:rPr>
        <w:t xml:space="preserve">PLANTILLA — requiere revisión de asesor legal antes de firmarse. Los campos entre corchetes se completan por acuerdo.</w:t>
      </w:r>
    </w:p>
    <w:p>
      <w:pPr>
        <w:pStyle w:val="Heading2"/>
        <w:spacing w:after="90" w:before="220"/>
      </w:pPr>
      <w:r>
        <w:rPr>
          <w:b/>
          <w:bCs/>
          <w:color w:val="0D1B2A"/>
          <w:sz w:val="21"/>
          <w:szCs w:val="21"/>
        </w:rPr>
        <w:t xml:space="preserve">1. Partes y objeto</w:t>
      </w:r>
    </w:p>
    <w:p>
      <w:pPr>
        <w:spacing w:after="110" w:line="264"/>
      </w:pPr>
      <w:r>
        <w:rPr>
          <w:color w:val="0D1B2A"/>
          <w:sz w:val="19"/>
          <w:szCs w:val="19"/>
        </w:rPr>
        <w:t xml:space="preserve">Este Anexo de Procesamiento de Datos (“DPA”) forma parte del acuerdo de servicios entre FLOW SYNC PM (“el Procesador”) y [CLIENTE] (“el Responsable”), y regula el tratamiento de datos personales que el Procesador realiza por cuenta del Responsable al prestar la plataforma FlowSync PM.</w:t>
      </w:r>
    </w:p>
    <w:p>
      <w:pPr>
        <w:pStyle w:val="Heading2"/>
        <w:spacing w:after="90" w:before="220"/>
      </w:pPr>
      <w:r>
        <w:rPr>
          <w:b/>
          <w:bCs/>
          <w:color w:val="0D1B2A"/>
          <w:sz w:val="21"/>
          <w:szCs w:val="21"/>
        </w:rPr>
        <w:t xml:space="preserve">2. Alcance del tratamiento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Categorías de datos: datos de identificación y contacto de usuarios (nombre, correo), contenido de proyectos (tareas, documentos, presupuestos, riesgos, minutas) y metadatos de uso.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Finalidad: exclusivamente la prestación, soporte y mejora operativa del servicio contratado.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Duración: la vigencia del acuerdo principal más los períodos de retención de la sección 8.</w:t>
      </w:r>
    </w:p>
    <w:p>
      <w:pPr>
        <w:pStyle w:val="Heading2"/>
        <w:spacing w:after="90" w:before="220"/>
      </w:pPr>
      <w:r>
        <w:rPr>
          <w:b/>
          <w:bCs/>
          <w:color w:val="0D1B2A"/>
          <w:sz w:val="21"/>
          <w:szCs w:val="21"/>
        </w:rPr>
        <w:t xml:space="preserve">3. Obligaciones del Procesador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Tratar los datos únicamente bajo instrucciones documentadas del Responsable.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Garantizar confidencialidad del personal con acceso a los datos.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Aplicar medidas técnicas y organizativas: cifrado en tránsito (TLS) y en reposo, control de acceso por roles, autenticación de dos factores disponible, registros de auditoría.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Asistir al Responsable en la atención de derechos de los titulares (acceso, rectificación, supresión, portabilidad).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Notificar al Responsable sin dilación indebida, y a más tardar en [72] horas, tras tener conocimiento de una violación de seguridad de datos personales.</w:t>
      </w:r>
    </w:p>
    <w:p>
      <w:pPr>
        <w:pStyle w:val="Heading2"/>
        <w:spacing w:after="90" w:before="220"/>
      </w:pPr>
      <w:r>
        <w:rPr>
          <w:b/>
          <w:bCs/>
          <w:color w:val="0D1B2A"/>
          <w:sz w:val="21"/>
          <w:szCs w:val="21"/>
        </w:rPr>
        <w:t xml:space="preserve">4. Subprocesadores</w:t>
      </w:r>
    </w:p>
    <w:p>
      <w:pPr>
        <w:spacing w:after="110" w:line="264"/>
      </w:pPr>
      <w:r>
        <w:rPr>
          <w:color w:val="0D1B2A"/>
          <w:sz w:val="19"/>
          <w:szCs w:val="19"/>
        </w:rPr>
        <w:t xml:space="preserve">El Responsable autoriza los siguientes subprocesadores. El Procesador notificará cambios con [30] días de antelación, con derecho de objeción razonable: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Anthropic PBC — procesamiento de IA (Claude API), EE. UU.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Vercel Inc. — alojamiento de la aplicación, EE. UU.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Supabase / AWS — base de datos y almacenamiento (us-east-1), EE. UU.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Stripe, Inc. — procesamiento de pagos, EE. UU.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Zoho Corporation — correo transaccional corporativo</w:t>
      </w:r>
    </w:p>
    <w:p>
      <w:pPr>
        <w:pStyle w:val="Heading2"/>
        <w:spacing w:after="90" w:before="220"/>
      </w:pPr>
      <w:r>
        <w:rPr>
          <w:b/>
          <w:bCs/>
          <w:color w:val="0D1B2A"/>
          <w:sz w:val="21"/>
          <w:szCs w:val="21"/>
        </w:rPr>
        <w:t xml:space="preserve">5. Procesamiento con IA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Las funciones de IA son asistivas y con revisión humana; ninguna decisión automatizada produce efectos jurídicos sobre los titulares.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Los datos enviados a la API de Anthropic no se usan para entrenar modelos (política de la API comercial de Anthropic).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El Responsable puede desactivar todas las funciones de IA de su workspace (Configuración → Seguridad → Gobernanza de IA); la desactivación se aplica del lado del servidor y queda registrada.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Cada invocación de IA queda en un registro de auditoría accesible a los administradores del Responsable.</w:t>
      </w:r>
    </w:p>
    <w:p>
      <w:pPr>
        <w:pStyle w:val="Heading2"/>
        <w:spacing w:after="90" w:before="220"/>
      </w:pPr>
      <w:r>
        <w:rPr>
          <w:b/>
          <w:bCs/>
          <w:color w:val="0D1B2A"/>
          <w:sz w:val="21"/>
          <w:szCs w:val="21"/>
        </w:rPr>
        <w:t xml:space="preserve">6. Transferencias internacionales</w:t>
      </w:r>
    </w:p>
    <w:p>
      <w:pPr>
        <w:spacing w:after="110" w:line="264"/>
      </w:pPr>
      <w:r>
        <w:rPr>
          <w:color w:val="0D1B2A"/>
          <w:sz w:val="19"/>
          <w:szCs w:val="19"/>
        </w:rPr>
        <w:t xml:space="preserve">El tratamiento se realiza en Estados Unidos (Puerto Rico y us-east-1). Si el Responsable está sujeto a regímenes que exigen salvaguardas de transferencia (p. ej., cláusulas contractuales tipo), las partes las incorporarán como anexo.</w:t>
      </w:r>
    </w:p>
    <w:p>
      <w:pPr>
        <w:pStyle w:val="Heading2"/>
        <w:spacing w:after="90" w:before="220"/>
      </w:pPr>
      <w:r>
        <w:rPr>
          <w:b/>
          <w:bCs/>
          <w:color w:val="0D1B2A"/>
          <w:sz w:val="21"/>
          <w:szCs w:val="21"/>
        </w:rPr>
        <w:t xml:space="preserve">7. Auditoría</w:t>
      </w:r>
    </w:p>
    <w:p>
      <w:pPr>
        <w:spacing w:after="110" w:line="264"/>
      </w:pPr>
      <w:r>
        <w:rPr>
          <w:color w:val="0D1B2A"/>
          <w:sz w:val="19"/>
          <w:szCs w:val="19"/>
        </w:rPr>
        <w:t xml:space="preserve">El Procesador pondrá a disposición la información necesaria para demostrar cumplimiento y permitirá auditorías razonables del Responsable, con [15] días de aviso, máximo [1] vez al año salvo incidente.</w:t>
      </w:r>
    </w:p>
    <w:p>
      <w:pPr>
        <w:pStyle w:val="Heading2"/>
        <w:spacing w:after="90" w:before="220"/>
      </w:pPr>
      <w:r>
        <w:rPr>
          <w:b/>
          <w:bCs/>
          <w:color w:val="0D1B2A"/>
          <w:sz w:val="21"/>
          <w:szCs w:val="21"/>
        </w:rPr>
        <w:t xml:space="preserve">8. Devolución y supresión</w:t>
      </w:r>
    </w:p>
    <w:p>
      <w:pPr>
        <w:spacing w:after="110" w:line="264"/>
      </w:pPr>
      <w:r>
        <w:rPr>
          <w:color w:val="0D1B2A"/>
          <w:sz w:val="19"/>
          <w:szCs w:val="19"/>
        </w:rPr>
        <w:t xml:space="preserve">Al terminar el acuerdo, el Procesador devolverá o suprimirá los datos personales a elección del Responsable dentro de [30] días, salvo obligación legal de conservación. Las copias de respaldo se purgan en el ciclo normal, no mayor a [90] días.</w:t>
      </w:r>
    </w:p>
    <w:p>
      <w:pPr>
        <w:pStyle w:val="Heading2"/>
        <w:spacing w:after="90" w:before="220"/>
      </w:pPr>
      <w:r>
        <w:rPr>
          <w:b/>
          <w:bCs/>
          <w:color w:val="0D1B2A"/>
          <w:sz w:val="21"/>
          <w:szCs w:val="21"/>
        </w:rPr>
        <w:t xml:space="preserve">9. Firmas</w:t>
      </w:r>
    </w:p>
    <w:p>
      <w:pPr>
        <w:spacing w:after="110" w:line="264"/>
      </w:pPr>
      <w:r>
        <w:rPr>
          <w:color w:val="0D1B2A"/>
          <w:sz w:val="19"/>
          <w:szCs w:val="19"/>
        </w:rPr>
        <w:t xml:space="preserve">FLOW SYNC PM — Nombre: ______________________  Cargo: ____________  Fecha: __________</w:t>
      </w:r>
    </w:p>
    <w:p>
      <w:pPr>
        <w:spacing w:after="110" w:line="264"/>
      </w:pPr>
      <w:r>
        <w:rPr>
          <w:color w:val="0D1B2A"/>
          <w:sz w:val="19"/>
          <w:szCs w:val="19"/>
        </w:rPr>
        <w:t xml:space="preserve">[CLIENTE] — Nombre: ______________________  Cargo: ____________  Fecha: __________</w:t>
      </w:r>
    </w:p>
    <w:p>
      <w:r>
        <w:br w:type="page"/>
      </w:r>
    </w:p>
    <w:p>
      <w:pPr>
        <w:pStyle w:val="Heading1"/>
        <w:spacing w:after="140" w:before="120"/>
      </w:pPr>
      <w:r>
        <w:rPr>
          <w:b/>
          <w:bCs/>
          <w:color w:val="0D1B2A"/>
          <w:sz w:val="26"/>
          <w:szCs w:val="26"/>
        </w:rPr>
        <w:t xml:space="preserve">DATA PROCESSING ADDENDUM (DPA)</w:t>
      </w:r>
    </w:p>
    <w:p>
      <w:pPr>
        <w:spacing w:after="110" w:line="264"/>
      </w:pPr>
      <w:r>
        <w:rPr>
          <w:color w:val="64748B"/>
          <w:sz w:val="17"/>
          <w:szCs w:val="17"/>
        </w:rPr>
        <w:t xml:space="preserve">FLOW SYNC PM · Merchant Registration No. 1552654-0010 · NAICS 54151 · Puerto Rico, USA</w:t>
      </w:r>
    </w:p>
    <w:p>
      <w:pPr>
        <w:spacing w:after="140"/>
      </w:pPr>
      <w:r>
        <w:rPr>
          <w:i/>
          <w:iCs/>
          <w:color w:val="64748B"/>
          <w:sz w:val="17"/>
          <w:szCs w:val="17"/>
        </w:rPr>
        <w:t xml:space="preserve">TEMPLATE — requires review by legal counsel before execution. Bracketed fields are completed per agreement.</w:t>
      </w:r>
    </w:p>
    <w:p>
      <w:pPr>
        <w:pStyle w:val="Heading2"/>
        <w:spacing w:after="90" w:before="220"/>
      </w:pPr>
      <w:r>
        <w:rPr>
          <w:b/>
          <w:bCs/>
          <w:color w:val="0D1B2A"/>
          <w:sz w:val="21"/>
          <w:szCs w:val="21"/>
        </w:rPr>
        <w:t xml:space="preserve">1. Parties and purpose</w:t>
      </w:r>
    </w:p>
    <w:p>
      <w:pPr>
        <w:spacing w:after="110" w:line="264"/>
      </w:pPr>
      <w:r>
        <w:rPr>
          <w:color w:val="0D1B2A"/>
          <w:sz w:val="19"/>
          <w:szCs w:val="19"/>
        </w:rPr>
        <w:t xml:space="preserve">This Data Processing Addendum (“DPA”) forms part of the services agreement between FLOW SYNC PM (“Processor”) and [CUSTOMER] (“Controller”), and governs the processing of personal data performed by the Processor on behalf of the Controller in providing the FlowSync PM platform.</w:t>
      </w:r>
    </w:p>
    <w:p>
      <w:pPr>
        <w:pStyle w:val="Heading2"/>
        <w:spacing w:after="90" w:before="220"/>
      </w:pPr>
      <w:r>
        <w:rPr>
          <w:b/>
          <w:bCs/>
          <w:color w:val="0D1B2A"/>
          <w:sz w:val="21"/>
          <w:szCs w:val="21"/>
        </w:rPr>
        <w:t xml:space="preserve">2. Scope of processing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Data categories: user identification and contact data (name, email), project content (tasks, documents, budgets, risks, minutes), and usage metadata.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Purpose: exclusively the provision, support, and operational improvement of the contracted service.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Duration: the term of the main agreement plus the retention periods in Section 8.</w:t>
      </w:r>
    </w:p>
    <w:p>
      <w:pPr>
        <w:pStyle w:val="Heading2"/>
        <w:spacing w:after="90" w:before="220"/>
      </w:pPr>
      <w:r>
        <w:rPr>
          <w:b/>
          <w:bCs/>
          <w:color w:val="0D1B2A"/>
          <w:sz w:val="21"/>
          <w:szCs w:val="21"/>
        </w:rPr>
        <w:t xml:space="preserve">3. Processor obligations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Process data only on documented instructions from the Controller.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Ensure confidentiality of personnel with access to the data.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Apply technical and organizational measures: encryption in transit (TLS) and at rest, role-based access control, two-factor authentication available, audit logging.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Assist the Controller in handling data subject rights (access, rectification, erasure, portability).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Notify the Controller without undue delay, and no later than [72] hours, after becoming aware of a personal data breach.</w:t>
      </w:r>
    </w:p>
    <w:p>
      <w:pPr>
        <w:pStyle w:val="Heading2"/>
        <w:spacing w:after="90" w:before="220"/>
      </w:pPr>
      <w:r>
        <w:rPr>
          <w:b/>
          <w:bCs/>
          <w:color w:val="0D1B2A"/>
          <w:sz w:val="21"/>
          <w:szCs w:val="21"/>
        </w:rPr>
        <w:t xml:space="preserve">4. Sub-processors</w:t>
      </w:r>
    </w:p>
    <w:p>
      <w:pPr>
        <w:spacing w:after="110" w:line="264"/>
      </w:pPr>
      <w:r>
        <w:rPr>
          <w:color w:val="0D1B2A"/>
          <w:sz w:val="19"/>
          <w:szCs w:val="19"/>
        </w:rPr>
        <w:t xml:space="preserve">The Controller authorizes the following sub-processors. The Processor will give [30] days' notice of changes, with a reasonable right to object: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Anthropic PBC — AI processing (Claude API), USA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Vercel Inc. — application hosting, USA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Supabase / AWS — database and storage (us-east-1), USA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Stripe, Inc. — payment processing, USA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Zoho Corporation — corporate transactional email</w:t>
      </w:r>
    </w:p>
    <w:p>
      <w:pPr>
        <w:pStyle w:val="Heading2"/>
        <w:spacing w:after="90" w:before="220"/>
      </w:pPr>
      <w:r>
        <w:rPr>
          <w:b/>
          <w:bCs/>
          <w:color w:val="0D1B2A"/>
          <w:sz w:val="21"/>
          <w:szCs w:val="21"/>
        </w:rPr>
        <w:t xml:space="preserve">5. AI processing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AI features are assistive with human review; no automated decision produces legal effects on data subjects.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Data sent to the Anthropic API is not used to train models (Anthropic commercial API policy).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The Controller may disable all AI features for its workspace (Settings → Security → AI governance); the switch is enforced server-side and logged.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0D1B2A"/>
          <w:sz w:val="19"/>
          <w:szCs w:val="19"/>
        </w:rPr>
        <w:t xml:space="preserve">Every AI invocation is written to an audit log accessible to the Controller's administrators.</w:t>
      </w:r>
    </w:p>
    <w:p>
      <w:pPr>
        <w:pStyle w:val="Heading2"/>
        <w:spacing w:after="90" w:before="220"/>
      </w:pPr>
      <w:r>
        <w:rPr>
          <w:b/>
          <w:bCs/>
          <w:color w:val="0D1B2A"/>
          <w:sz w:val="21"/>
          <w:szCs w:val="21"/>
        </w:rPr>
        <w:t xml:space="preserve">6. International transfers</w:t>
      </w:r>
    </w:p>
    <w:p>
      <w:pPr>
        <w:spacing w:after="110" w:line="264"/>
      </w:pPr>
      <w:r>
        <w:rPr>
          <w:color w:val="0D1B2A"/>
          <w:sz w:val="19"/>
          <w:szCs w:val="19"/>
        </w:rPr>
        <w:t xml:space="preserve">Processing occurs in the United States (Puerto Rico and us-east-1). If the Controller is subject to regimes requiring transfer safeguards (e.g., standard contractual clauses), the parties will incorporate them as an annex.</w:t>
      </w:r>
    </w:p>
    <w:p>
      <w:pPr>
        <w:pStyle w:val="Heading2"/>
        <w:spacing w:after="90" w:before="220"/>
      </w:pPr>
      <w:r>
        <w:rPr>
          <w:b/>
          <w:bCs/>
          <w:color w:val="0D1B2A"/>
          <w:sz w:val="21"/>
          <w:szCs w:val="21"/>
        </w:rPr>
        <w:t xml:space="preserve">7. Audit</w:t>
      </w:r>
    </w:p>
    <w:p>
      <w:pPr>
        <w:spacing w:after="110" w:line="264"/>
      </w:pPr>
      <w:r>
        <w:rPr>
          <w:color w:val="0D1B2A"/>
          <w:sz w:val="19"/>
          <w:szCs w:val="19"/>
        </w:rPr>
        <w:t xml:space="preserve">The Processor will make available information necessary to demonstrate compliance and allow reasonable Controller audits, with [15] days' notice, at most [1] per year absent an incident.</w:t>
      </w:r>
    </w:p>
    <w:p>
      <w:pPr>
        <w:pStyle w:val="Heading2"/>
        <w:spacing w:after="90" w:before="220"/>
      </w:pPr>
      <w:r>
        <w:rPr>
          <w:b/>
          <w:bCs/>
          <w:color w:val="0D1B2A"/>
          <w:sz w:val="21"/>
          <w:szCs w:val="21"/>
        </w:rPr>
        <w:t xml:space="preserve">8. Return and deletion</w:t>
      </w:r>
    </w:p>
    <w:p>
      <w:pPr>
        <w:spacing w:after="110" w:line="264"/>
      </w:pPr>
      <w:r>
        <w:rPr>
          <w:color w:val="0D1B2A"/>
          <w:sz w:val="19"/>
          <w:szCs w:val="19"/>
        </w:rPr>
        <w:t xml:space="preserve">Upon termination, the Processor will return or delete personal data at the Controller's choice within [30] days, absent a legal retention obligation. Backups are purged in the normal cycle, not exceeding [90] days.</w:t>
      </w:r>
    </w:p>
    <w:p>
      <w:pPr>
        <w:pStyle w:val="Heading2"/>
        <w:spacing w:after="90" w:before="220"/>
      </w:pPr>
      <w:r>
        <w:rPr>
          <w:b/>
          <w:bCs/>
          <w:color w:val="0D1B2A"/>
          <w:sz w:val="21"/>
          <w:szCs w:val="21"/>
        </w:rPr>
        <w:t xml:space="preserve">9. Signatures</w:t>
      </w:r>
    </w:p>
    <w:p>
      <w:pPr>
        <w:spacing w:after="110" w:line="264"/>
      </w:pPr>
      <w:r>
        <w:rPr>
          <w:color w:val="0D1B2A"/>
          <w:sz w:val="19"/>
          <w:szCs w:val="19"/>
        </w:rPr>
        <w:t xml:space="preserve">FLOW SYNC PM — Name: ______________________  Title: ____________  Date: __________</w:t>
      </w:r>
    </w:p>
    <w:p>
      <w:pPr>
        <w:spacing w:after="110" w:line="264"/>
      </w:pPr>
      <w:r>
        <w:rPr>
          <w:color w:val="0D1B2A"/>
          <w:sz w:val="19"/>
          <w:szCs w:val="19"/>
        </w:rPr>
        <w:t xml:space="preserve">[CUSTOMER] — Name: ______________________  Title: ____________  Date: __________</w:t>
      </w:r>
    </w:p>
    <w:sectPr>
      <w:pgSz w:w="12240" w:h="15840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2026-08-11T15:51:56.357Z</dcterms:created>
  <dcterms:modified xsi:type="dcterms:W3CDTF">2026-08-11T15:51:56.370Z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