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Microsoft Entra ID / Active Directory</w:t>
      </w:r>
    </w:p>
    <w:p>
      <w:pPr>
        <w:pStyle w:val="Subtitle"/>
      </w:pPr>
      <w:r>
        <w:t xml:space="preserve">Inicio de sesión único para FlowSync PM — resumen para TI · Agosto 2026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pPr>
        <w:pBdr>
          <w:bottom w:val="single" w:color="059669" w:sz="6" w:space="4"/>
        </w:pBdr>
        <w:spacing w:after="300"/>
      </w:pPr>
    </w:p>
    <w:p>
      <w:pPr>
        <w:pStyle w:val="Heading1"/>
      </w:pPr>
      <w:r>
        <w:t xml:space="preserve">Lo que funciona hoy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SSO con Microsoft Entra ID (Azure AD). </w:t>
      </w:r>
      <w:r>
        <w:t xml:space="preserve">Sus usuarios inician sesión en FlowSync PM con sus cuentas de trabajo Microsoft existentes — sin contraseñas adicionales que administrar.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OpenID Connect estándar. </w:t>
      </w:r>
      <w:r>
        <w:t xml:space="preserve">FlowSync PM es una aplicación multitenant registrada en Entra usando OIDC; no se requiere infraestructura adicional de su lado.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Workspace </w:t>
      </w:r>
      <w:r>
        <w:t xml:space="preserve">también está soportado para organizaciones en Google.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2FA / Acceso Condicional. </w:t>
      </w:r>
      <w:r>
        <w:t xml:space="preserve">Como la autenticación ocurre en su tenant, sus políticas existentes de MFA y Acceso Condicional de Entra aplican automáticamente a FlowSync PM. Además, FlowSync PM ofrece 2FA nativo (TOTP) para cuentas sin SSO.</w:t>
      </w:r>
    </w:p>
    <w:p>
      <w:pPr>
        <w:pStyle w:val="Heading1"/>
      </w:pPr>
      <w:r>
        <w:t xml:space="preserve">Cómo se controla el acceso</w:t>
      </w:r>
    </w:p>
    <w:p>
      <w:pPr>
        <w:pStyle w:val="ListParagraph"/>
        <w:numPr>
          <w:ilvl w:val="0"/>
          <w:numId w:val="2"/>
        </w:numPr>
      </w:pPr>
      <w:r>
        <w:t xml:space="preserve">El inicio de sesión (autenticación) se delega a su directorio; la autorización permanece en FlowSync PM.</w:t>
      </w:r>
    </w:p>
    <w:p>
      <w:pPr>
        <w:pStyle w:val="ListParagraph"/>
        <w:numPr>
          <w:ilvl w:val="0"/>
          <w:numId w:val="2"/>
        </w:numPr>
      </w:pPr>
      <w:r>
        <w:t xml:space="preserve">Los administradores del workspace invitan usuarios y asignan roles de workspace (Admin, PM, Member, Viewer, Client, PMO Director, Program Manager, Executive); los roles de proyecto refinan el acceso por proyecto.</w:t>
      </w:r>
    </w:p>
    <w:p>
      <w:pPr>
        <w:pStyle w:val="ListParagraph"/>
        <w:numPr>
          <w:ilvl w:val="0"/>
          <w:numId w:val="2"/>
        </w:numPr>
      </w:pPr>
      <w:r>
        <w:t xml:space="preserve">Quitar un usuario de su directorio bloquea de inmediato nuevos inicios de sesión; un administrador del workspace elimina el asiento en FlowSync PM.</w:t>
      </w:r>
    </w:p>
    <w:p>
      <w:pPr>
        <w:pStyle w:val="Heading1"/>
      </w:pPr>
      <w:r>
        <w:t xml:space="preserve">Configuración de TI (una vez, ~10 minutos)</w:t>
      </w:r>
    </w:p>
    <w:p>
      <w:pPr>
        <w:pStyle w:val="ListParagraph"/>
        <w:numPr>
          <w:ilvl w:val="0"/>
          <w:numId w:val="2"/>
        </w:numPr>
      </w:pPr>
      <w:r>
        <w:t xml:space="preserve">1.  Un administrador de Microsoft 365 / Entra otorga consentimiento a la aplicación FlowSync PM en el primer inicio de sesión (o pre-consiente vía Aplicaciones Empresariales).</w:t>
      </w:r>
    </w:p>
    <w:p>
      <w:pPr>
        <w:pStyle w:val="ListParagraph"/>
        <w:numPr>
          <w:ilvl w:val="0"/>
          <w:numId w:val="2"/>
        </w:numPr>
      </w:pPr>
      <w:r>
        <w:t xml:space="preserve">2.  Los usuarios eligen "Iniciar sesión con Microsoft" en flowsyncpm.com.</w:t>
      </w:r>
    </w:p>
    <w:p>
      <w:pPr>
        <w:pStyle w:val="ListParagraph"/>
        <w:numPr>
          <w:ilvl w:val="0"/>
          <w:numId w:val="2"/>
        </w:numPr>
      </w:pPr>
      <w:r>
        <w:t xml:space="preserve">3.  Opcional: restrinja la asignación a grupos específicos vía Aplicaciones Empresariales → FlowSync PM → Usuarios y grupos.</w:t>
      </w:r>
    </w:p>
    <w:p>
      <w:pPr>
        <w:pStyle w:val="Heading1"/>
      </w:pPr>
      <w:r>
        <w:t xml:space="preserve">En hoja de ruta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Aprovisionamiento SCIM. </w:t>
      </w:r>
      <w:r>
        <w:t xml:space="preserve">La sincronización automatizada del ciclo de vida de usuarios desde Entra ID está en la hoja de ruta y se define por acuerdo Enterprise — si el aprovisionamiento por directorio es un requisito, dígalo y lo incluiremos con cronograma en su propuesta.</w:t>
      </w:r>
    </w:p>
    <w:p>
      <w:pPr>
        <w:pStyle w:val="Heading1"/>
      </w:pPr>
      <w:r>
        <w:t xml:space="preserve">Notas de seguridad</w:t>
      </w:r>
    </w:p>
    <w:p>
      <w:pPr>
        <w:pStyle w:val="ListParagraph"/>
        <w:numPr>
          <w:ilvl w:val="0"/>
          <w:numId w:val="2"/>
        </w:numPr>
      </w:pPr>
      <w:r>
        <w:t xml:space="preserve">FlowSync PM nunca ve ni almacena las contraseñas de directorio de sus usuarios.</w:t>
      </w:r>
    </w:p>
    <w:p>
      <w:pPr>
        <w:pStyle w:val="ListParagraph"/>
        <w:numPr>
          <w:ilvl w:val="0"/>
          <w:numId w:val="2"/>
        </w:numPr>
      </w:pPr>
      <w:r>
        <w:t xml:space="preserve">Los tokens se validan por sesión; la membresía del workspace se revalida en cada cambio de workspace.</w:t>
      </w:r>
    </w:p>
    <w:p>
      <w:pPr>
        <w:pStyle w:val="ListParagraph"/>
        <w:numPr>
          <w:ilvl w:val="0"/>
          <w:numId w:val="2"/>
        </w:numPr>
      </w:pPr>
      <w:r>
        <w:t xml:space="preserve">Detalles de cifrado, alojamiento (AWS us-east-1), RBAC y bitácora de auditoría: vea el documento de Información Comercial y Seguridad.</w:t>
      </w:r>
    </w:p>
    <w:p>
      <w:pPr>
        <w:spacing w:before="200"/>
      </w:pPr>
      <w:r>
        <w:rPr>
          <w:b/>
          <w:bCs/>
        </w:rPr>
        <w:t xml:space="preserve">Preguntas de TI: </w:t>
      </w:r>
      <w:r>
        <w:t xml:space="preserve">support@flowsyncpm.com · Alcance Enterprise: sales@flowsyncpm.com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2026-07-21T14:44:52.901Z</dcterms:created>
  <dcterms:modified xsi:type="dcterms:W3CDTF">2026-07-21T14:44:52.901Z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