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Microsoft Entra ID / Active Directory</w:t>
      </w:r>
    </w:p>
    <w:p>
      <w:pPr>
        <w:pStyle w:val="Subtitle"/>
      </w:pPr>
      <w:r>
        <w:t xml:space="preserve">Single sign-on for FlowSync PM — IT one-pager · August 2026</w:t>
      </w:r>
    </w:p>
    <w:p>
      <w:r>
        <w:rPr>
          <w:b/>
          <w:bCs/>
        </w:rPr>
        <w:t xml:space="preserve">FLOW SYNC PM</w:t>
      </w:r>
      <w:r>
        <w:t xml:space="preserve"> · Registered Merchant No. 1552654-0010 · flowsyncpm.com</w:t>
      </w:r>
    </w:p>
    <w:p>
      <w:pPr>
        <w:pBdr>
          <w:bottom w:val="single" w:color="059669" w:sz="6" w:space="4"/>
        </w:pBdr>
        <w:spacing w:after="300"/>
      </w:pPr>
    </w:p>
    <w:p>
      <w:pPr>
        <w:pStyle w:val="Heading1"/>
      </w:pPr>
      <w:r>
        <w:t xml:space="preserve">What works today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SSO sign-in with Microsoft Entra ID (Azure AD). </w:t>
      </w:r>
      <w:r>
        <w:t xml:space="preserve">Your users sign in to FlowSync PM with their existing Microsoft work accounts — no separate passwords to manage.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Standard OpenID Connect. </w:t>
      </w:r>
      <w:r>
        <w:t xml:space="preserve">FlowSync PM is a registered multitenant Entra application using OIDC; no custom infrastructure is required on your side.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Google Workspace </w:t>
      </w:r>
      <w:r>
        <w:t xml:space="preserve">sign-in is also supported for organizations on Google.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2FA / Conditional Access. </w:t>
      </w:r>
      <w:r>
        <w:t xml:space="preserve">Because authentication happens in your tenant, your existing Entra MFA and Conditional Access policies apply to FlowSync PM sign-ins automatically. FlowSync PM additionally offers native TOTP 2FA for non-SSO accounts.</w:t>
      </w:r>
    </w:p>
    <w:p>
      <w:pPr>
        <w:pStyle w:val="Heading1"/>
      </w:pPr>
      <w:r>
        <w:t xml:space="preserve">How access is controlled</w:t>
      </w:r>
    </w:p>
    <w:p>
      <w:pPr>
        <w:pStyle w:val="ListParagraph"/>
        <w:numPr>
          <w:ilvl w:val="0"/>
          <w:numId w:val="2"/>
        </w:numPr>
      </w:pPr>
      <w:r>
        <w:t xml:space="preserve">Sign-in (authentication) is delegated to your directory; authorization stays in FlowSync PM.</w:t>
      </w:r>
    </w:p>
    <w:p>
      <w:pPr>
        <w:pStyle w:val="ListParagraph"/>
        <w:numPr>
          <w:ilvl w:val="0"/>
          <w:numId w:val="2"/>
        </w:numPr>
      </w:pPr>
      <w:r>
        <w:t xml:space="preserve">Workspace admins invite users and assign workspace roles (Admin, PM, Member, Viewer, Client, PMO Director, Program Manager, Executive); project roles refine access per project.</w:t>
      </w:r>
    </w:p>
    <w:p>
      <w:pPr>
        <w:pStyle w:val="ListParagraph"/>
        <w:numPr>
          <w:ilvl w:val="0"/>
          <w:numId w:val="2"/>
        </w:numPr>
      </w:pPr>
      <w:r>
        <w:t xml:space="preserve">Removing a user from your directory blocks new sign-ins immediately; a workspace admin removes the seat in FlowSync PM.</w:t>
      </w:r>
    </w:p>
    <w:p>
      <w:pPr>
        <w:pStyle w:val="Heading1"/>
      </w:pPr>
      <w:r>
        <w:t xml:space="preserve">IT setup (one time, ~10 minutes)</w:t>
      </w:r>
    </w:p>
    <w:p>
      <w:pPr>
        <w:pStyle w:val="ListParagraph"/>
        <w:numPr>
          <w:ilvl w:val="0"/>
          <w:numId w:val="2"/>
        </w:numPr>
      </w:pPr>
      <w:r>
        <w:t xml:space="preserve">1.  A Microsoft 365 / Entra administrator grants consent to the FlowSync PM application on first sign-in (or pre-consents via Enterprise Applications).</w:t>
      </w:r>
    </w:p>
    <w:p>
      <w:pPr>
        <w:pStyle w:val="ListParagraph"/>
        <w:numPr>
          <w:ilvl w:val="0"/>
          <w:numId w:val="2"/>
        </w:numPr>
      </w:pPr>
      <w:r>
        <w:t xml:space="preserve">2.  Users choose "Sign in with Microsoft" at flowsyncpm.com.</w:t>
      </w:r>
    </w:p>
    <w:p>
      <w:pPr>
        <w:pStyle w:val="ListParagraph"/>
        <w:numPr>
          <w:ilvl w:val="0"/>
          <w:numId w:val="2"/>
        </w:numPr>
      </w:pPr>
      <w:r>
        <w:t xml:space="preserve">3.  Optional: restrict assignment to specific groups via Enterprise Applications → FlowSync PM → Users and groups.</w:t>
      </w:r>
    </w:p>
    <w:p>
      <w:pPr>
        <w:pStyle w:val="Heading1"/>
      </w:pPr>
      <w:r>
        <w:t xml:space="preserve">On the roadmap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SCIM provisioning/deprovisioning. </w:t>
      </w:r>
      <w:r>
        <w:t xml:space="preserve">Automated user lifecycle sync from Entra ID is on the roadmap and is scoped per Enterprise agreement — if directory-driven provisioning is a requirement, tell us and we will include the timeline in your proposal.</w:t>
      </w:r>
    </w:p>
    <w:p>
      <w:pPr>
        <w:pStyle w:val="Heading1"/>
      </w:pPr>
      <w:r>
        <w:t xml:space="preserve">Security notes</w:t>
      </w:r>
    </w:p>
    <w:p>
      <w:pPr>
        <w:pStyle w:val="ListParagraph"/>
        <w:numPr>
          <w:ilvl w:val="0"/>
          <w:numId w:val="2"/>
        </w:numPr>
      </w:pPr>
      <w:r>
        <w:t xml:space="preserve">FlowSync PM never sees or stores your users’ directory passwords.</w:t>
      </w:r>
    </w:p>
    <w:p>
      <w:pPr>
        <w:pStyle w:val="ListParagraph"/>
        <w:numPr>
          <w:ilvl w:val="0"/>
          <w:numId w:val="2"/>
        </w:numPr>
      </w:pPr>
      <w:r>
        <w:t xml:space="preserve">Tokens are validated per session; workspace membership is re-validated on every workspace switch.</w:t>
      </w:r>
    </w:p>
    <w:p>
      <w:pPr>
        <w:pStyle w:val="ListParagraph"/>
        <w:numPr>
          <w:ilvl w:val="0"/>
          <w:numId w:val="2"/>
        </w:numPr>
      </w:pPr>
      <w:r>
        <w:t xml:space="preserve">Details on encryption, hosting (AWS us-east-1), RBAC, and audit logging: see the Business Information &amp; Security Overview.</w:t>
      </w:r>
    </w:p>
    <w:p>
      <w:pPr>
        <w:spacing w:before="200"/>
      </w:pPr>
      <w:r>
        <w:rPr>
          <w:b/>
          <w:bCs/>
        </w:rPr>
        <w:t xml:space="preserve">IT questions: </w:t>
      </w:r>
      <w:r>
        <w:t xml:space="preserve">support@flowsyncpm.com · Enterprise scoping: sales@flowsyncpm.com</w:t>
      </w:r>
    </w:p>
    <w:sectPr>
      <w:headerReference w:type="default" r:id="rId7"/>
      <w:footerReference w:type="default" r:id="rId8"/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FLOW SYNC PM · flowsyncpm.com ·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059669"/>
        <w:sz w:val="18"/>
        <w:szCs w:val="18"/>
      </w:rPr>
      <w:t xml:space="preserve">FlowSync PM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047857"/>
      <w:sz w:val="56"/>
      <w:szCs w:val="56"/>
    </w:rPr>
  </w:style>
  <w:style w:type="paragraph" w:styleId="Subtitle">
    <w:name w:val="Subtitle"/>
    <w:basedOn w:val="Normal"/>
    <w:pPr>
      <w:spacing w:after="300"/>
    </w:pPr>
    <w:rPr>
      <w:rFonts w:ascii="Calibri" w:cs="Calibri" w:eastAsia="Calibri" w:hAnsi="Calibri"/>
      <w:color w:val="475569"/>
      <w:sz w:val="26"/>
      <w:szCs w:val="26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0478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F172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2026-07-19T23:17:06.065Z</dcterms:created>
  <dcterms:modified xsi:type="dcterms:W3CDTF">2026-07-19T23:17:06.065Z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