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Información Comercial y Seguridad</w:t>
      </w:r>
    </w:p>
    <w:p>
      <w:pPr>
        <w:pStyle w:val="Subtitle"/>
      </w:pPr>
      <w:r>
        <w:t xml:space="preserve">Para revisión de compras, TI y cumplimiento del cliente · Agosto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1. Información de la empresa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6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Nombre legal / comercial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FLOW SYNC PM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Registro de comerciante (Puerto Rico)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Núm. 1552654-0010 (renueva 30-sep-2027)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NAICS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54151 — Diseño de sistemas de computadora y servicios relacionados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Producto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FlowSync PM — SaaS de PMO empresarial bilingüe (EN/ES)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Sitio web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https://flowsyncpm.com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Contacto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sales@flowsyncpm.com · support@flowsyncpm.com · legal@flowsyncpm.com · billing@flowsyncpm.com</w:t>
            </w:r>
          </w:p>
        </w:tc>
      </w:tr>
    </w:tbl>
    <w:p>
      <w:pPr>
        <w:pStyle w:val="Heading1"/>
      </w:pPr>
      <w:r>
        <w:t xml:space="preserve">2. Alojamiento e infraestructura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Alojamiento de la aplicación: </w:t>
      </w:r>
      <w:r>
        <w:t xml:space="preserve">Vercel (red de borde distribuida globalmente; despliegues de producción con capacidad de reversión automática).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 datos: </w:t>
      </w:r>
      <w:r>
        <w:t xml:space="preserve">PostgreSQL gestionado en Supabase, alojado en la región AWS us-east-1 (N. Virginia, EE. UU.). Los datos del cliente no salen de los Estados Unidos.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Almacenamiento de archivos: </w:t>
      </w:r>
      <w:r>
        <w:t xml:space="preserve">Supabase Storage (AWS us-east-1), con control de acceso por workspace.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Respaldos: </w:t>
      </w:r>
      <w:r>
        <w:t xml:space="preserve">Respaldos diarios automatizados de la base de datos gestionados por el proveedor, con capacidad de restauración a un punto en el tiempo a nivel de plataforma.</w:t>
      </w:r>
    </w:p>
    <w:p>
      <w:pPr>
        <w:pStyle w:val="Heading1"/>
      </w:pPr>
      <w:r>
        <w:t xml:space="preserve">3. Controles de seguridad</w:t>
      </w:r>
    </w:p>
    <w:p>
      <w:pPr>
        <w:pStyle w:val="Heading2"/>
      </w:pPr>
      <w:r>
        <w:t xml:space="preserve">3.1 Cifrado</w:t>
      </w:r>
    </w:p>
    <w:p>
      <w:pPr>
        <w:pStyle w:val="ListParagraph"/>
        <w:numPr>
          <w:ilvl w:val="0"/>
          <w:numId w:val="2"/>
        </w:numPr>
      </w:pPr>
      <w:r>
        <w:t xml:space="preserve">Todo el tráfico cifrado en tránsito vía TLS (HTTPS obligatorio en la aplicación y las API).</w:t>
      </w:r>
    </w:p>
    <w:p>
      <w:pPr>
        <w:pStyle w:val="ListParagraph"/>
        <w:numPr>
          <w:ilvl w:val="0"/>
          <w:numId w:val="2"/>
        </w:numPr>
      </w:pPr>
      <w:r>
        <w:t xml:space="preserve">Datos cifrados en reposo en la capa de almacenamiento (AES-256, gestionado por AWS/Supabase).</w:t>
      </w:r>
    </w:p>
    <w:p>
      <w:pPr>
        <w:pStyle w:val="ListParagraph"/>
        <w:numPr>
          <w:ilvl w:val="0"/>
          <w:numId w:val="2"/>
        </w:numPr>
      </w:pPr>
      <w:r>
        <w:t xml:space="preserve">Contraseñas almacenadas como hashes con sal; los tokens de restablecimiento se almacenan con hash SHA-256, son de un solo uso y expiran en 1 hora.</w:t>
      </w:r>
    </w:p>
    <w:p>
      <w:pPr>
        <w:pStyle w:val="Heading2"/>
      </w:pPr>
      <w:r>
        <w:t xml:space="preserve">3.2 Autenticación</w:t>
      </w:r>
    </w:p>
    <w:p>
      <w:pPr>
        <w:pStyle w:val="ListParagraph"/>
        <w:numPr>
          <w:ilvl w:val="0"/>
          <w:numId w:val="2"/>
        </w:numPr>
      </w:pPr>
      <w:r>
        <w:t xml:space="preserve">Inicio de sesión con correo/contraseña, Google y Microsoft Entra ID (Azure AD).</w:t>
      </w:r>
    </w:p>
    <w:p>
      <w:pPr>
        <w:pStyle w:val="ListParagraph"/>
        <w:numPr>
          <w:ilvl w:val="0"/>
          <w:numId w:val="2"/>
        </w:numPr>
      </w:pPr>
      <w:r>
        <w:t xml:space="preserve">Autenticación de dos factores (TOTP) disponible para todas las cuentas.</w:t>
      </w:r>
    </w:p>
    <w:p>
      <w:pPr>
        <w:pStyle w:val="ListParagraph"/>
        <w:numPr>
          <w:ilvl w:val="0"/>
          <w:numId w:val="2"/>
        </w:numPr>
      </w:pPr>
      <w:r>
        <w:t xml:space="preserve">SSO empresarial vía Microsoft Entra ID — vea el documento complementario "Entra ID / Active Directory".</w:t>
      </w:r>
    </w:p>
    <w:p>
      <w:pPr>
        <w:pStyle w:val="Heading2"/>
      </w:pPr>
      <w:r>
        <w:t xml:space="preserve">3.3 Autorización (RBAC)</w:t>
      </w:r>
    </w:p>
    <w:p>
      <w:pPr>
        <w:pStyle w:val="ListParagraph"/>
        <w:numPr>
          <w:ilvl w:val="0"/>
          <w:numId w:val="2"/>
        </w:numPr>
      </w:pPr>
      <w:r>
        <w:t xml:space="preserve">Roles de workspace: Owner, Admin, PM, Member, Viewer, Client, PMO Director, Program Manager, Executive.</w:t>
      </w:r>
    </w:p>
    <w:p>
      <w:pPr>
        <w:pStyle w:val="ListParagraph"/>
        <w:numPr>
          <w:ilvl w:val="0"/>
          <w:numId w:val="2"/>
        </w:numPr>
      </w:pPr>
      <w:r>
        <w:t xml:space="preserve">Roles de proyecto que incluyen Sponsor, Stakeholder, PMO, Team Member, Product Owner, Business Analyst, Tech Lead, Scrum Master, Client y Auditor — cada uno con permisos delimitados.</w:t>
      </w:r>
    </w:p>
    <w:p>
      <w:pPr>
        <w:pStyle w:val="ListParagraph"/>
        <w:numPr>
          <w:ilvl w:val="0"/>
          <w:numId w:val="2"/>
        </w:numPr>
      </w:pPr>
      <w:r>
        <w:t xml:space="preserve">La membresía del workspace se valida en el token de sesión en cada cambio de workspace, evitando accesos entre organizaciones.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Gobernanza de IA:</w:t>
      </w:r>
      <w:r>
        <w:t xml:space="preserve"> los administradores del workspace pueden desactivar todas las funciones de IA de su workspace (Configuración → Seguridad → Gobernanza de IA); el apagado se aplica del lado del servidor en todos los endpoints de IA. La IA corre exclusivamente por la API de Anthropic (Claude), del lado del servidor, y los datos del cliente no se usan para entrenar modelos. Vea la Declaración de Responsabilidad de IA.</w:t>
      </w:r>
    </w:p>
    <w:p>
      <w:pPr>
        <w:pStyle w:val="Heading2"/>
      </w:pPr>
      <w:r>
        <w:t xml:space="preserve">3.4 Auditabilidad</w:t>
      </w:r>
    </w:p>
    <w:p>
      <w:pPr>
        <w:pStyle w:val="ListParagraph"/>
        <w:numPr>
          <w:ilvl w:val="0"/>
          <w:numId w:val="2"/>
        </w:numPr>
      </w:pPr>
      <w:r>
        <w:t xml:space="preserve">Bitácora de auditoría a nivel de workspace que registra acciones (quién, qué, cuándo).</w:t>
      </w:r>
    </w:p>
    <w:p>
      <w:pPr>
        <w:pStyle w:val="ListParagraph"/>
        <w:numPr>
          <w:ilvl w:val="0"/>
          <w:numId w:val="2"/>
        </w:numPr>
      </w:pPr>
      <w:r>
        <w:t xml:space="preserve">El historial de reportes conserva cada reporte ejecutivo generado.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Registro de auditoría de IA:</w:t>
      </w:r>
      <w:r>
        <w:t xml:space="preserve"> cada invocación de IA — y cada llamada bloqueada por política del workspace — queda registrada con fecha, función y usuario, visible para los administradores del workspace.</w:t>
      </w:r>
    </w:p>
    <w:p>
      <w:pPr>
        <w:pStyle w:val="Heading1"/>
      </w:pPr>
      <w:r>
        <w:t xml:space="preserve">4. Manejo de datos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Aislamiento por organización: </w:t>
      </w:r>
      <w:r>
        <w:t xml:space="preserve">todos los registros pertenecen a un workspace; las consultas se filtran por workspace en la capa de aplicación.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Exportación de datos: </w:t>
      </w:r>
      <w:r>
        <w:t xml:space="preserve">los clientes pueden solicitar una exportación de los datos de su workspace; los acuerdos Enterprise pueden definir formato y frecuencia.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Retención de datos: </w:t>
      </w:r>
      <w:r>
        <w:t xml:space="preserve">los datos se conservan durante la vida de la suscripción; la eliminación al terminar se describe en el documento de Políticas de Servicio.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PHI / datos de salud regulados: </w:t>
      </w:r>
      <w:r>
        <w:t xml:space="preserve">FlowSync PM es una plataforma de gestión de proyectos y no está destinada al almacenamiento de Información de Salud Protegida (PHI). Los clientes no deben cargar PHI. Un acuerdo BAA de HIPAA está disponible solo para clientes Enterprise, previa evaluación.</w:t>
      </w:r>
    </w:p>
    <w:p>
      <w:pPr>
        <w:pStyle w:val="Heading1"/>
      </w:pPr>
      <w:r>
        <w:t xml:space="preserve">5. Subprocesadores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5000"/>
        <w:gridCol w:w="2400"/>
      </w:tblGrid>
      <w:tr>
        <w:trPr>
          <w:tblHeader/>
        </w:trPr>
        <w:tc>
          <w:tcPr>
            <w:tcW w:type="dxa" w:w="2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50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Región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Anthropic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Procesamiento de IA (Claude API); sin entrenar modelos con datos del cliente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EE. UU.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Alojamiento y entrega de la aplicación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EE. UU. (borde global)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Supabase (AWS)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Base de datos y almacenamiento de archivos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AWS us-east-1, EE. UU.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Procesamiento de pagos (los datos de tarjeta nunca tocan los servidores de FlowSync)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EE. UU.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Entrega de correos transaccionales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EE. UU.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Zoho Mail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Correo corporativo (soporte/ventas)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EE. UU.</w:t>
            </w:r>
          </w:p>
        </w:tc>
      </w:tr>
    </w:tbl>
    <w:p>
      <w:pPr>
        <w:pStyle w:val="Heading1"/>
      </w:pPr>
      <w:r>
        <w:t xml:space="preserve">6. Disponibilidad y soporte</w:t>
      </w:r>
    </w:p>
    <w:p>
      <w:pPr>
        <w:pStyle w:val="ListParagraph"/>
        <w:numPr>
          <w:ilvl w:val="0"/>
          <w:numId w:val="2"/>
        </w:numPr>
      </w:pPr>
      <w:r>
        <w:t xml:space="preserve">La meta de disponibilidad, horarios de soporte y tiempos de respuesta por plan se definen en el documento de Políticas de Servicio de FlowSync PM.</w:t>
      </w:r>
    </w:p>
    <w:p>
      <w:pPr>
        <w:pStyle w:val="ListParagraph"/>
        <w:numPr>
          <w:ilvl w:val="0"/>
          <w:numId w:val="2"/>
        </w:numPr>
      </w:pPr>
      <w:r>
        <w:t xml:space="preserve">Las comunicaciones de estado e incidentes se envían por correo a los administradores del workspace.</w:t>
      </w:r>
    </w:p>
    <w:p>
      <w:pPr>
        <w:spacing w:before="300"/>
      </w:pPr>
      <w:r>
        <w:rPr>
          <w:b/>
          <w:bCs/>
        </w:rPr>
        <w:t xml:space="preserve">¿Preguntas? </w:t>
      </w:r>
      <w:r>
        <w:t xml:space="preserve">consultas de seguridad y cumplimiento: legal@flowsyncpm.com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2026-07-21T14:44:52.326Z</dcterms:created>
  <dcterms:modified xsi:type="dcterms:W3CDTF">2026-07-21T14:44:52.327Z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