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Master Subscription Agreement</w:t>
      </w:r>
    </w:p>
    <w:p>
      <w:pPr>
        <w:pStyle w:val="Subtitle"/>
      </w:pPr>
      <w:r>
        <w:t xml:space="preserve">Business-to-Business Agreement — DRAFT template · August 2026</w:t>
      </w:r>
    </w:p>
    <w:p>
      <w:r>
        <w:rPr>
          <w:b/>
          <w:bCs/>
        </w:rPr>
        <w:t xml:space="preserve">FLOW SYNC PM</w:t>
      </w:r>
      <w:r>
        <w:t xml:space="preserve"> · Registered Merchant No. 1552654-0010 · flowsyncpm.com</w:t>
      </w:r>
    </w:p>
    <w:p>
      <w:r>
        <w:rPr>
          <w:b/>
          <w:bCs/>
          <w:color w:val="DC2626"/>
        </w:rPr>
        <w:t xml:space="preserve">DRAFT — Have this agreement reviewed by a licensed attorney before execution. This template is provided for negotiation purposes and is not legal advice.</w:t>
      </w:r>
    </w:p>
    <w:p>
      <w:pPr>
        <w:pBdr>
          <w:bottom w:val="single" w:color="059669" w:sz="6" w:space="4"/>
        </w:pBdr>
        <w:spacing w:after="300"/>
      </w:pPr>
    </w:p>
    <w:p>
      <w:r>
        <w:t xml:space="preserve">This Master Subscription Agreement ("Agreement") is entered into between </w:t>
      </w:r>
      <w:r>
        <w:rPr>
          <w:b/>
          <w:bCs/>
        </w:rPr>
        <w:t xml:space="preserve">FLOW SYNC PM</w:t>
      </w:r>
      <w:r>
        <w:t xml:space="preserve">, a registered merchant in Puerto Rico (Registration No. 1552654-0010) ("Provider"), and the customer identified in the applicable Order Form ("Customer"). It governs Customer’s access to the FlowSync PM software-as-a-service platform (the "Service").</w:t>
      </w:r>
    </w:p>
    <w:p>
      <w:pPr>
        <w:pStyle w:val="Heading1"/>
      </w:pPr>
      <w:r>
        <w:t xml:space="preserve">1. Definitions</w:t>
      </w:r>
    </w:p>
    <w:p>
      <w:pPr>
        <w:pStyle w:val="ListParagraph"/>
        <w:numPr>
          <w:ilvl w:val="0"/>
          <w:numId w:val="2"/>
        </w:numPr>
      </w:pPr>
      <w:r>
        <w:rPr>
          <w:b/>
          <w:bCs/>
        </w:rPr>
        <w:t xml:space="preserve">"Order Form" </w:t>
      </w:r>
      <w:r>
        <w:t xml:space="preserve">means a mutually executed ordering document referencing this Agreement and specifying plan, seats, fees, and term.</w:t>
      </w:r>
    </w:p>
    <w:p>
      <w:pPr>
        <w:pStyle w:val="ListParagraph"/>
        <w:numPr>
          <w:ilvl w:val="0"/>
          <w:numId w:val="2"/>
        </w:numPr>
      </w:pPr>
      <w:r>
        <w:rPr>
          <w:b/>
          <w:bCs/>
        </w:rPr>
        <w:t xml:space="preserve">"Customer Data" </w:t>
      </w:r>
      <w:r>
        <w:t xml:space="preserve">means data submitted to the Service by or on behalf of Customer.</w:t>
      </w:r>
    </w:p>
    <w:p>
      <w:pPr>
        <w:pStyle w:val="ListParagraph"/>
        <w:numPr>
          <w:ilvl w:val="0"/>
          <w:numId w:val="2"/>
        </w:numPr>
      </w:pPr>
      <w:r>
        <w:rPr>
          <w:b/>
          <w:bCs/>
        </w:rPr>
        <w:t xml:space="preserve">"Users" </w:t>
      </w:r>
      <w:r>
        <w:t xml:space="preserve">means individuals authorized by Customer to use the Service under Customer’s subscription.</w:t>
      </w:r>
    </w:p>
    <w:p>
      <w:pPr>
        <w:pStyle w:val="ListParagraph"/>
        <w:numPr>
          <w:ilvl w:val="0"/>
          <w:numId w:val="2"/>
        </w:numPr>
      </w:pPr>
      <w:r>
        <w:rPr>
          <w:b/>
          <w:bCs/>
        </w:rPr>
        <w:t xml:space="preserve">"Documentation" </w:t>
      </w:r>
      <w:r>
        <w:t xml:space="preserve">means Provider’s user guides and policies for the Service, as updated from time to time.</w:t>
      </w:r>
    </w:p>
    <w:p>
      <w:pPr>
        <w:pStyle w:val="Heading1"/>
      </w:pPr>
      <w:r>
        <w:t xml:space="preserve">2. The Service</w:t>
      </w:r>
    </w:p>
    <w:p>
      <w:pPr>
        <w:pStyle w:val="ListParagraph"/>
        <w:numPr>
          <w:ilvl w:val="0"/>
          <w:numId w:val="2"/>
        </w:numPr>
      </w:pPr>
      <w:r>
        <w:t xml:space="preserve">2.1 Provision. Provider will make the Service available to Customer during the subscription term per the Order Form and this Agreement.</w:t>
      </w:r>
    </w:p>
    <w:p>
      <w:pPr>
        <w:pStyle w:val="ListParagraph"/>
        <w:numPr>
          <w:ilvl w:val="0"/>
          <w:numId w:val="2"/>
        </w:numPr>
      </w:pPr>
      <w:r>
        <w:t xml:space="preserve">2.2 Support &amp; availability. Provider will provide support and maintain availability targets as described in the FlowSync PM Service Policies, which are incorporated by reference. Enterprise-specific SLAs, if any, are stated in the Order Form.</w:t>
      </w:r>
    </w:p>
    <w:p>
      <w:pPr>
        <w:pStyle w:val="ListParagraph"/>
        <w:numPr>
          <w:ilvl w:val="0"/>
          <w:numId w:val="2"/>
        </w:numPr>
      </w:pPr>
      <w:r>
        <w:t xml:space="preserve">2.3 Changes. Provider may improve or modify the Service, provided no change materially degrades core functionality during a paid term.</w:t>
      </w:r>
    </w:p>
    <w:p>
      <w:pPr>
        <w:pStyle w:val="Heading1"/>
      </w:pPr>
      <w:r>
        <w:t xml:space="preserve">3. Customer Responsibilities</w:t>
      </w:r>
    </w:p>
    <w:p>
      <w:pPr>
        <w:pStyle w:val="ListParagraph"/>
        <w:numPr>
          <w:ilvl w:val="0"/>
          <w:numId w:val="2"/>
        </w:numPr>
      </w:pPr>
      <w:r>
        <w:t xml:space="preserve">3.1 Customer is responsible for Users’ compliance with this Agreement, the accuracy of Customer Data, and securing its account credentials.</w:t>
      </w:r>
    </w:p>
    <w:p>
      <w:pPr>
        <w:pStyle w:val="ListParagraph"/>
        <w:numPr>
          <w:ilvl w:val="0"/>
          <w:numId w:val="2"/>
        </w:numPr>
      </w:pPr>
      <w:r>
        <w:t xml:space="preserve">3.2 Acceptable use. Customer will not: (a) resell or sublicense the Service; (b) reverse engineer it; (c) use it to build a competing product; (d) upload unlawful or infringing content; or (e) interfere with the Service’s security or operation.</w:t>
      </w:r>
    </w:p>
    <w:p>
      <w:pPr>
        <w:pStyle w:val="ListParagraph"/>
        <w:numPr>
          <w:ilvl w:val="0"/>
          <w:numId w:val="2"/>
        </w:numPr>
      </w:pPr>
      <w:r>
        <w:rPr>
          <w:b/>
          <w:bCs/>
        </w:rPr>
        <w:t xml:space="preserve">3.3 No PHI. </w:t>
      </w:r>
      <w:r>
        <w:t xml:space="preserve">The Service is a project management platform and is not intended for the storage or processing of Protected Health Information (PHI) as defined under HIPAA. Customer shall not upload PHI to the Service. Any HIPAA Business Associate Agreement is available only for Enterprise customers, upon Provider review and mutual execution, and no such obligation exists absent that executed agreement.</w:t>
      </w:r>
    </w:p>
    <w:p>
      <w:pPr>
        <w:pStyle w:val="Heading1"/>
      </w:pPr>
      <w:r>
        <w:t xml:space="preserve">4. Fees &amp; Payment</w:t>
      </w:r>
    </w:p>
    <w:p>
      <w:pPr>
        <w:pStyle w:val="ListParagraph"/>
        <w:numPr>
          <w:ilvl w:val="0"/>
          <w:numId w:val="2"/>
        </w:numPr>
      </w:pPr>
      <w:r>
        <w:t xml:space="preserve">4.1 Fees are stated in the Order Form. Unless stated otherwise, Enterprise fees are invoiced annually in advance, payable NET-30 in U.S. dollars.</w:t>
      </w:r>
    </w:p>
    <w:p>
      <w:pPr>
        <w:pStyle w:val="ListParagraph"/>
        <w:numPr>
          <w:ilvl w:val="0"/>
          <w:numId w:val="2"/>
        </w:numPr>
      </w:pPr>
      <w:r>
        <w:t xml:space="preserve">4.2 Late amounts may accrue interest at 1% per month or the maximum permitted by law, whichever is lower.</w:t>
      </w:r>
    </w:p>
    <w:p>
      <w:pPr>
        <w:pStyle w:val="ListParagraph"/>
        <w:numPr>
          <w:ilvl w:val="0"/>
          <w:numId w:val="2"/>
        </w:numPr>
      </w:pPr>
      <w:r>
        <w:t xml:space="preserve">4.3 Fees are exclusive of taxes; Customer is responsible for applicable taxes (excluding Provider’s income taxes), including Puerto Rico IVU where applicable.</w:t>
      </w:r>
    </w:p>
    <w:p>
      <w:pPr>
        <w:pStyle w:val="ListParagraph"/>
        <w:numPr>
          <w:ilvl w:val="0"/>
          <w:numId w:val="2"/>
        </w:numPr>
      </w:pPr>
      <w:r>
        <w:t xml:space="preserve">4.4 Seat changes. Added seats are prorated for the remainder of the term; seat reductions take effect at renewal.</w:t>
      </w:r>
    </w:p>
    <w:p>
      <w:pPr>
        <w:pStyle w:val="Heading1"/>
      </w:pPr>
      <w:r>
        <w:t xml:space="preserve">5. Term &amp; Termination</w:t>
      </w:r>
    </w:p>
    <w:p>
      <w:pPr>
        <w:pStyle w:val="ListParagraph"/>
        <w:numPr>
          <w:ilvl w:val="0"/>
          <w:numId w:val="2"/>
        </w:numPr>
      </w:pPr>
      <w:r>
        <w:t xml:space="preserve">5.1 This Agreement runs from the effective date of the first Order Form and continues while any Order Form is active. Subscriptions renew for successive terms unless either party gives 30 days’ notice of non-renewal.</w:t>
      </w:r>
    </w:p>
    <w:p>
      <w:pPr>
        <w:pStyle w:val="ListParagraph"/>
        <w:numPr>
          <w:ilvl w:val="0"/>
          <w:numId w:val="2"/>
        </w:numPr>
      </w:pPr>
      <w:r>
        <w:t xml:space="preserve">5.2 Either party may terminate for material breach uncured within 30 days of written notice.</w:t>
      </w:r>
    </w:p>
    <w:p>
      <w:pPr>
        <w:pStyle w:val="ListParagraph"/>
        <w:numPr>
          <w:ilvl w:val="0"/>
          <w:numId w:val="2"/>
        </w:numPr>
      </w:pPr>
      <w:r>
        <w:t xml:space="preserve">5.3 Effect. Upon termination, Customer’s access ends. Customer may request an export of Customer Data within 30 days of termination; Provider will delete Customer Data within 90 days thereafter, per the Service Policies.</w:t>
      </w:r>
    </w:p>
    <w:p>
      <w:pPr>
        <w:pStyle w:val="Heading1"/>
      </w:pPr>
      <w:r>
        <w:t xml:space="preserve">6. Customer Data &amp; Privacy</w:t>
      </w:r>
    </w:p>
    <w:p>
      <w:pPr>
        <w:pStyle w:val="ListParagraph"/>
        <w:numPr>
          <w:ilvl w:val="0"/>
          <w:numId w:val="2"/>
        </w:numPr>
      </w:pPr>
      <w:r>
        <w:t xml:space="preserve">6.1 Ownership. Customer retains all rights in Customer Data. Provider receives a limited license to host and process Customer Data solely to provide the Service.</w:t>
      </w:r>
    </w:p>
    <w:p>
      <w:pPr>
        <w:pStyle w:val="ListParagraph"/>
        <w:numPr>
          <w:ilvl w:val="0"/>
          <w:numId w:val="2"/>
        </w:numPr>
      </w:pPr>
      <w:r>
        <w:t xml:space="preserve">6.2 Data protection. Provider maintains administrative, technical, and organizational safeguards as described in the Business Information &amp; Security Overview, including encryption in transit and at rest, role-based access control, and audit logging.</w:t>
      </w:r>
    </w:p>
    <w:p>
      <w:pPr>
        <w:pStyle w:val="ListParagraph"/>
        <w:numPr>
          <w:ilvl w:val="0"/>
          <w:numId w:val="2"/>
        </w:numPr>
      </w:pPr>
      <w:r>
        <w:t xml:space="preserve">6.3 DPA. The parties may execute a Data Processing Addendum, which upon execution is incorporated into this Agreement.</w:t>
      </w:r>
    </w:p>
    <w:p>
      <w:pPr>
        <w:pStyle w:val="ListParagraph"/>
        <w:numPr>
          <w:ilvl w:val="0"/>
          <w:numId w:val="2"/>
        </w:numPr>
      </w:pPr>
      <w:r>
        <w:t xml:space="preserve">6.4 Subprocessors. Customer authorizes the subprocessors listed in the Business Information &amp; Security Overview; Provider remains responsible for their performance.</w:t>
      </w:r>
    </w:p>
    <w:p>
      <w:pPr>
        <w:pStyle w:val="ListParagraph"/>
        <w:numPr>
          <w:ilvl w:val="0"/>
          <w:numId w:val="2"/>
        </w:numPr>
      </w:pPr>
      <w:r>
        <w:rPr>
          <w:b/>
        </w:rPr>
        <w:t xml:space="preserve">6.5 AI processing.</w:t>
      </w:r>
      <w:r>
        <w:t xml:space="preserve"> The Service includes assistive AI features processed server-side through Anthropic (Claude API). Customer Data submitted to AI features is not used to train models. Customer may disable all AI features for its workspace within the Service (enforced server-side and recorded in an AI audit log). AI sub-processing is covered by the DPA when executed.</w:t>
      </w:r>
    </w:p>
    <w:p>
      <w:pPr>
        <w:pStyle w:val="Heading1"/>
      </w:pPr>
      <w:r>
        <w:t xml:space="preserve">7. Confidentiality</w:t>
      </w:r>
    </w:p>
    <w:p>
      <w:pPr>
        <w:pStyle w:val="ListParagraph"/>
        <w:numPr>
          <w:ilvl w:val="0"/>
          <w:numId w:val="2"/>
        </w:numPr>
      </w:pPr>
      <w:r>
        <w:t xml:space="preserve">Each party will protect the other’s non-public information with at least reasonable care, use it only to perform under this Agreement, and disclose it only to personnel and advisors bound by confidentiality obligations. This section does not apply to information that is public, independently developed, or rightfully received from a third party. Compelled disclosures are permitted with prompt notice where lawful.</w:t>
      </w:r>
    </w:p>
    <w:p>
      <w:pPr>
        <w:pStyle w:val="Heading1"/>
      </w:pPr>
      <w:r>
        <w:t xml:space="preserve">8. Intellectual Property</w:t>
      </w:r>
    </w:p>
    <w:p>
      <w:pPr>
        <w:pStyle w:val="ListParagraph"/>
        <w:numPr>
          <w:ilvl w:val="0"/>
          <w:numId w:val="2"/>
        </w:numPr>
      </w:pPr>
      <w:r>
        <w:t xml:space="preserve">Provider retains all rights in the Service, Documentation, and all improvements. No rights are granted except as expressly stated. Customer may provide feedback, which Provider may use without restriction.</w:t>
      </w:r>
    </w:p>
    <w:p>
      <w:pPr>
        <w:pStyle w:val="Heading1"/>
      </w:pPr>
      <w:r>
        <w:t xml:space="preserve">9. Warranties &amp; Disclaimer</w:t>
      </w:r>
    </w:p>
    <w:p>
      <w:pPr>
        <w:pStyle w:val="ListParagraph"/>
        <w:numPr>
          <w:ilvl w:val="0"/>
          <w:numId w:val="2"/>
        </w:numPr>
      </w:pPr>
      <w:r>
        <w:t xml:space="preserve">9.1 Each party warrants it has the authority to enter into this Agreement.</w:t>
      </w:r>
    </w:p>
    <w:p>
      <w:pPr>
        <w:pStyle w:val="ListParagraph"/>
        <w:numPr>
          <w:ilvl w:val="0"/>
          <w:numId w:val="2"/>
        </w:numPr>
      </w:pPr>
      <w:r>
        <w:t xml:space="preserve">9.2 Provider warrants the Service will perform materially as described in the Documentation.</w:t>
      </w:r>
    </w:p>
    <w:p>
      <w:pPr>
        <w:pStyle w:val="ListParagraph"/>
        <w:numPr>
          <w:ilvl w:val="0"/>
          <w:numId w:val="2"/>
        </w:numPr>
      </w:pPr>
      <w:r>
        <w:rPr>
          <w:sz w:val="20"/>
          <w:szCs w:val="20"/>
        </w:rPr>
        <w:t xml:space="preserve">9.3 EXCEPT AS EXPRESSLY STATED, THE SERVICE IS PROVIDED "AS IS" AND PROVIDER DISCLAIMS ALL OTHER WARRANTIES, EXPRESS OR IMPLIED, INCLUDING MERCHANTABILITY, FITNESS FOR A PARTICULAR PURPOSE, AND NON-INFRINGEMENT.</w:t>
      </w:r>
    </w:p>
    <w:p>
      <w:pPr>
        <w:pStyle w:val="Heading1"/>
      </w:pPr>
      <w:r>
        <w:t xml:space="preserve">10. Limitation of Liability</w:t>
      </w:r>
    </w:p>
    <w:p>
      <w:pPr>
        <w:pStyle w:val="ListParagraph"/>
        <w:numPr>
          <w:ilvl w:val="0"/>
          <w:numId w:val="2"/>
        </w:numPr>
      </w:pPr>
      <w:r>
        <w:rPr>
          <w:sz w:val="20"/>
          <w:szCs w:val="20"/>
        </w:rPr>
        <w:t xml:space="preserve">NEITHER PARTY WILL BE LIABLE FOR INDIRECT, INCIDENTAL, SPECIAL, OR CONSEQUENTIAL DAMAGES, OR LOST PROFITS OR DATA. EACH PARTY’S TOTAL LIABILITY UNDER THIS AGREEMENT IS CAPPED AT THE FEES PAID OR PAYABLE BY CUSTOMER IN THE 12 MONTHS PRECEDING THE CLAIM. THESE LIMITS DO NOT APPLY TO CUSTOMER’S PAYMENT OBLIGATIONS, EITHER PARTY’S CONFIDENTIALITY BREACHES, OR A PARTY’S INFRINGEMENT OF THE OTHER’S INTELLECTUAL PROPERTY.</w:t>
      </w:r>
    </w:p>
    <w:p>
      <w:pPr>
        <w:pStyle w:val="Heading1"/>
      </w:pPr>
      <w:r>
        <w:t xml:space="preserve">11. Indemnification</w:t>
      </w:r>
    </w:p>
    <w:p>
      <w:pPr>
        <w:pStyle w:val="ListParagraph"/>
        <w:numPr>
          <w:ilvl w:val="0"/>
          <w:numId w:val="2"/>
        </w:numPr>
      </w:pPr>
      <w:r>
        <w:t xml:space="preserve">11.1 Provider will defend Customer against third-party claims that the Service infringes a U.S. intellectual property right, and pay resulting damages finally awarded, provided Customer promptly notifies Provider and grants control of the defense.</w:t>
      </w:r>
    </w:p>
    <w:p>
      <w:pPr>
        <w:pStyle w:val="ListParagraph"/>
        <w:numPr>
          <w:ilvl w:val="0"/>
          <w:numId w:val="2"/>
        </w:numPr>
      </w:pPr>
      <w:r>
        <w:t xml:space="preserve">11.2 Customer will defend Provider against third-party claims arising from Customer Data or Customer’s unlawful use of the Service, under the same procedure.</w:t>
      </w:r>
    </w:p>
    <w:p>
      <w:pPr>
        <w:pStyle w:val="Heading1"/>
      </w:pPr>
      <w:r>
        <w:t xml:space="preserve">12. General</w:t>
      </w:r>
    </w:p>
    <w:p>
      <w:pPr>
        <w:pStyle w:val="ListParagraph"/>
        <w:numPr>
          <w:ilvl w:val="0"/>
          <w:numId w:val="2"/>
        </w:numPr>
      </w:pPr>
      <w:r>
        <w:t xml:space="preserve">12.1 Governing law: the Commonwealth of Puerto Rico, without regard to conflicts of law; exclusive venue in the courts located in Puerto Rico.</w:t>
      </w:r>
    </w:p>
    <w:p>
      <w:pPr>
        <w:pStyle w:val="ListParagraph"/>
        <w:numPr>
          <w:ilvl w:val="0"/>
          <w:numId w:val="2"/>
        </w:numPr>
      </w:pPr>
      <w:r>
        <w:t xml:space="preserve">12.2 Assignment: neither party may assign without consent, except to a successor in a merger or sale of substantially all assets.</w:t>
      </w:r>
    </w:p>
    <w:p>
      <w:pPr>
        <w:pStyle w:val="ListParagraph"/>
        <w:numPr>
          <w:ilvl w:val="0"/>
          <w:numId w:val="2"/>
        </w:numPr>
      </w:pPr>
      <w:r>
        <w:t xml:space="preserve">12.3 Force majeure: neither party is liable for delays caused by events beyond reasonable control.</w:t>
      </w:r>
    </w:p>
    <w:p>
      <w:pPr>
        <w:pStyle w:val="ListParagraph"/>
        <w:numPr>
          <w:ilvl w:val="0"/>
          <w:numId w:val="2"/>
        </w:numPr>
      </w:pPr>
      <w:r>
        <w:t xml:space="preserve">12.4 Notices: legal notices to Provider go to legal@flowsyncpm.com; to Customer, to the contact on the Order Form.</w:t>
      </w:r>
    </w:p>
    <w:p>
      <w:pPr>
        <w:pStyle w:val="ListParagraph"/>
        <w:numPr>
          <w:ilvl w:val="0"/>
          <w:numId w:val="2"/>
        </w:numPr>
      </w:pPr>
      <w:r>
        <w:t xml:space="preserve">12.5 Entire agreement: this Agreement plus Order Forms and incorporated policies is the entire agreement and supersedes prior discussions. Amendments must be in writing and signed. Order Form terms control over this Agreement in case of conflict.</w:t>
      </w:r>
    </w:p>
    <w:p>
      <w:pPr>
        <w:pStyle w:val="Heading1"/>
      </w:pPr>
      <w:r>
        <w:t xml:space="preserve">Signatures</w:t>
      </w:r>
    </w:p>
    <w:tbl>
      <w:tblPr>
        <w:tblW w:type="dxa" w:w="9800"/>
        <w:tblBorders>
          <w:top w:val="single" w:color="CBD5E1" w:sz="4"/>
          <w:left w:val="single" w:color="CBD5E1" w:sz="4"/>
          <w:bottom w:val="single" w:color="CBD5E1" w:sz="4"/>
          <w:right w:val="single" w:color="CBD5E1" w:sz="4"/>
          <w:insideH w:val="single" w:color="CBD5E1" w:sz="4"/>
          <w:insideV w:val="single" w:color="CBD5E1" w:sz="4"/>
        </w:tblBorders>
      </w:tblPr>
      <w:tblGrid>
        <w:gridCol w:w="4900"/>
        <w:gridCol w:w="4900"/>
      </w:tblGrid>
      <w:tr>
        <w:trPr>
          <w:tblHeader/>
        </w:trPr>
        <w:tc>
          <w:tcPr>
            <w:tcW w:type="dxa" w:w="4900"/>
            <w:shd w:fill="047857" w:val="clear"/>
            <w:tcMar>
              <w:top w:type="dxa" w:w="80"/>
              <w:left w:type="dxa" w:w="120"/>
              <w:bottom w:type="dxa" w:w="80"/>
              <w:right w:type="dxa" w:w="120"/>
            </w:tcMar>
          </w:tcPr>
          <w:p>
            <w:pPr>
              <w:spacing w:after="0"/>
            </w:pPr>
            <w:r>
              <w:rPr>
                <w:b/>
                <w:bCs/>
                <w:color w:val="FFFFFF"/>
                <w:sz w:val="20"/>
                <w:szCs w:val="20"/>
              </w:rPr>
              <w:t xml:space="preserve">FLOW SYNC PM (Provider)</w:t>
            </w:r>
          </w:p>
        </w:tc>
        <w:tc>
          <w:tcPr>
            <w:tcW w:type="dxa" w:w="4900"/>
            <w:shd w:fill="047857" w:val="clear"/>
            <w:tcMar>
              <w:top w:type="dxa" w:w="80"/>
              <w:left w:type="dxa" w:w="120"/>
              <w:bottom w:type="dxa" w:w="80"/>
              <w:right w:type="dxa" w:w="120"/>
            </w:tcMar>
          </w:tcPr>
          <w:p>
            <w:pPr>
              <w:spacing w:after="0"/>
            </w:pPr>
            <w:r>
              <w:rPr>
                <w:b/>
                <w:bCs/>
                <w:color w:val="FFFFFF"/>
                <w:sz w:val="20"/>
                <w:szCs w:val="20"/>
              </w:rPr>
              <w:t xml:space="preserve">[Customer Legal Name]</w:t>
            </w:r>
          </w:p>
        </w:tc>
      </w:tr>
      <w:tr>
        <w:trPr>
          <w:tblHeader w:val="false"/>
        </w:trPr>
        <w:tc>
          <w:tcPr>
            <w:tcW w:type="dxa" w:w="4900"/>
            <w:tcMar>
              <w:top w:type="dxa" w:w="80"/>
              <w:left w:type="dxa" w:w="120"/>
              <w:bottom w:type="dxa" w:w="80"/>
              <w:right w:type="dxa" w:w="120"/>
            </w:tcMar>
          </w:tcPr>
          <w:p>
            <w:pPr>
              <w:spacing w:after="0"/>
            </w:pPr>
            <w:r>
              <w:rPr>
                <w:b w:val="false"/>
                <w:bCs w:val="false"/>
                <w:color w:val="1E293B"/>
                <w:sz w:val="20"/>
                <w:szCs w:val="20"/>
              </w:rPr>
              <w:t xml:space="preserve">Signature: ____________________________</w:t>
            </w:r>
          </w:p>
        </w:tc>
        <w:tc>
          <w:tcPr>
            <w:tcW w:type="dxa" w:w="4900"/>
            <w:tcMar>
              <w:top w:type="dxa" w:w="80"/>
              <w:left w:type="dxa" w:w="120"/>
              <w:bottom w:type="dxa" w:w="80"/>
              <w:right w:type="dxa" w:w="120"/>
            </w:tcMar>
          </w:tcPr>
          <w:p>
            <w:pPr>
              <w:spacing w:after="0"/>
            </w:pPr>
            <w:r>
              <w:rPr>
                <w:b w:val="false"/>
                <w:bCs w:val="false"/>
                <w:color w:val="1E293B"/>
                <w:sz w:val="20"/>
                <w:szCs w:val="20"/>
              </w:rPr>
              <w:t xml:space="preserve">Signature: ____________________________</w:t>
            </w:r>
          </w:p>
        </w:tc>
      </w:tr>
      <w:tr>
        <w:trPr>
          <w:tblHeader w:val="false"/>
        </w:trPr>
        <w:tc>
          <w:tcPr>
            <w:tcW w:type="dxa" w:w="4900"/>
            <w:tcMar>
              <w:top w:type="dxa" w:w="80"/>
              <w:left w:type="dxa" w:w="120"/>
              <w:bottom w:type="dxa" w:w="80"/>
              <w:right w:type="dxa" w:w="120"/>
            </w:tcMar>
          </w:tcPr>
          <w:p>
            <w:pPr>
              <w:spacing w:after="0"/>
            </w:pPr>
            <w:r>
              <w:rPr>
                <w:b w:val="false"/>
                <w:bCs w:val="false"/>
                <w:color w:val="1E293B"/>
                <w:sz w:val="20"/>
                <w:szCs w:val="20"/>
              </w:rPr>
              <w:t xml:space="preserve">Name: Juan C. Zayas</w:t>
            </w:r>
          </w:p>
        </w:tc>
        <w:tc>
          <w:tcPr>
            <w:tcW w:type="dxa" w:w="4900"/>
            <w:tcMar>
              <w:top w:type="dxa" w:w="80"/>
              <w:left w:type="dxa" w:w="120"/>
              <w:bottom w:type="dxa" w:w="80"/>
              <w:right w:type="dxa" w:w="120"/>
            </w:tcMar>
          </w:tcPr>
          <w:p>
            <w:pPr>
              <w:spacing w:after="0"/>
            </w:pPr>
            <w:r>
              <w:rPr>
                <w:b w:val="false"/>
                <w:bCs w:val="false"/>
                <w:color w:val="1E293B"/>
                <w:sz w:val="20"/>
                <w:szCs w:val="20"/>
              </w:rPr>
              <w:t xml:space="preserve">Name: _________________________________</w:t>
            </w:r>
          </w:p>
        </w:tc>
      </w:tr>
      <w:tr>
        <w:trPr>
          <w:tblHeader w:val="false"/>
        </w:trPr>
        <w:tc>
          <w:tcPr>
            <w:tcW w:type="dxa" w:w="4900"/>
            <w:tcMar>
              <w:top w:type="dxa" w:w="80"/>
              <w:left w:type="dxa" w:w="120"/>
              <w:bottom w:type="dxa" w:w="80"/>
              <w:right w:type="dxa" w:w="120"/>
            </w:tcMar>
          </w:tcPr>
          <w:p>
            <w:pPr>
              <w:spacing w:after="0"/>
            </w:pPr>
            <w:r>
              <w:rPr>
                <w:b w:val="false"/>
                <w:bCs w:val="false"/>
                <w:color w:val="1E293B"/>
                <w:sz w:val="20"/>
                <w:szCs w:val="20"/>
              </w:rPr>
              <w:t xml:space="preserve">Title: Founder</w:t>
            </w:r>
          </w:p>
        </w:tc>
        <w:tc>
          <w:tcPr>
            <w:tcW w:type="dxa" w:w="4900"/>
            <w:tcMar>
              <w:top w:type="dxa" w:w="80"/>
              <w:left w:type="dxa" w:w="120"/>
              <w:bottom w:type="dxa" w:w="80"/>
              <w:right w:type="dxa" w:w="120"/>
            </w:tcMar>
          </w:tcPr>
          <w:p>
            <w:pPr>
              <w:spacing w:after="0"/>
            </w:pPr>
            <w:r>
              <w:rPr>
                <w:b w:val="false"/>
                <w:bCs w:val="false"/>
                <w:color w:val="1E293B"/>
                <w:sz w:val="20"/>
                <w:szCs w:val="20"/>
              </w:rPr>
              <w:t xml:space="preserve">Title: _________________________________</w:t>
            </w:r>
          </w:p>
        </w:tc>
      </w:tr>
      <w:tr>
        <w:trPr>
          <w:tblHeader w:val="false"/>
        </w:trPr>
        <w:tc>
          <w:tcPr>
            <w:tcW w:type="dxa" w:w="4900"/>
            <w:tcMar>
              <w:top w:type="dxa" w:w="80"/>
              <w:left w:type="dxa" w:w="120"/>
              <w:bottom w:type="dxa" w:w="80"/>
              <w:right w:type="dxa" w:w="120"/>
            </w:tcMar>
          </w:tcPr>
          <w:p>
            <w:pPr>
              <w:spacing w:after="0"/>
            </w:pPr>
            <w:r>
              <w:rPr>
                <w:b w:val="false"/>
                <w:bCs w:val="false"/>
                <w:color w:val="1E293B"/>
                <w:sz w:val="20"/>
                <w:szCs w:val="20"/>
              </w:rPr>
              <w:t xml:space="preserve">Date: _________________________________</w:t>
            </w:r>
          </w:p>
        </w:tc>
        <w:tc>
          <w:tcPr>
            <w:tcW w:type="dxa" w:w="4900"/>
            <w:tcMar>
              <w:top w:type="dxa" w:w="80"/>
              <w:left w:type="dxa" w:w="120"/>
              <w:bottom w:type="dxa" w:w="80"/>
              <w:right w:type="dxa" w:w="120"/>
            </w:tcMar>
          </w:tcPr>
          <w:p>
            <w:pPr>
              <w:spacing w:after="0"/>
            </w:pPr>
            <w:r>
              <w:rPr>
                <w:b w:val="false"/>
                <w:bCs w:val="false"/>
                <w:color w:val="1E293B"/>
                <w:sz w:val="20"/>
                <w:szCs w:val="20"/>
              </w:rPr>
              <w:t xml:space="preserve">Date: _________________________________</w:t>
            </w:r>
          </w:p>
        </w:tc>
      </w:tr>
    </w:tbl>
    <w:sectPr>
      <w:headerReference w:type="default" r:id="rId7"/>
      <w:footerReference w:type="default" r:id="rId8"/>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FLOW SYNC PM · flowsyncpm.com ·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59669"/>
        <w:sz w:val="18"/>
        <w:szCs w:val="18"/>
      </w:rPr>
      <w:t xml:space="preserve">FlowSync PM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047857"/>
      <w:sz w:val="56"/>
      <w:szCs w:val="56"/>
    </w:rPr>
  </w:style>
  <w:style w:type="paragraph" w:styleId="Subtitle">
    <w:name w:val="Subtitle"/>
    <w:basedOn w:val="Normal"/>
    <w:pPr>
      <w:spacing w:after="300"/>
    </w:pPr>
    <w:rPr>
      <w:rFonts w:ascii="Calibri" w:cs="Calibri" w:eastAsia="Calibri" w:hAnsi="Calibri"/>
      <w:color w:val="475569"/>
      <w:sz w:val="26"/>
      <w:szCs w:val="26"/>
    </w:rPr>
  </w:style>
  <w:style w:type="paragraph" w:styleId="Heading1">
    <w:name w:val="Heading 1"/>
    <w:basedOn w:val="Normal"/>
    <w:next w:val="Normal"/>
    <w:qFormat/>
    <w:pPr>
      <w:spacing w:after="140" w:before="320"/>
      <w:outlineLvl w:val="0"/>
    </w:pPr>
    <w:rPr>
      <w:rFonts w:ascii="Calibri" w:cs="Calibri" w:eastAsia="Calibri" w:hAnsi="Calibri"/>
      <w:b/>
      <w:bCs/>
      <w:color w:val="047857"/>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0F172A"/>
      <w:sz w:val="25"/>
      <w:szCs w:val="25"/>
    </w:rPr>
  </w:style>
  <w:style w:type="paragraph" w:styleId="Heading3">
    <w:name w:val="Heading 3"/>
    <w:basedOn w:val="Normal"/>
    <w:next w:val="Normal"/>
    <w:qFormat/>
    <w:pPr>
      <w:spacing w:after="80" w:before="180"/>
      <w:outlineLvl w:val="2"/>
    </w:pPr>
    <w:rPr>
      <w:rFonts w:ascii="Calibri" w:cs="Calibri" w:eastAsia="Calibri" w:hAnsi="Calibri"/>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2026-07-19T23:17:06.261Z</dcterms:created>
  <dcterms:modified xsi:type="dcterms:W3CDTF">2026-07-19T23:17:06.261Z</dcterms:modified>
</cp:coreProperties>
</file>

<file path=docProps/custom.xml><?xml version="1.0" encoding="utf-8"?>
<Properties xmlns="http://schemas.openxmlformats.org/officeDocument/2006/custom-properties" xmlns:vt="http://schemas.openxmlformats.org/officeDocument/2006/docPropsVTypes"/>
</file>