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Políticas de Servicio</w:t>
      </w:r>
    </w:p>
    <w:p>
      <w:pPr>
        <w:pStyle w:val="Subtitle"/>
      </w:pPr>
      <w:r>
        <w:t xml:space="preserve">Soporte, disponibilidad y políticas de datos por plan · Vigente agosto 2026</w:t>
      </w:r>
    </w:p>
    <w:p>
      <w:r>
        <w:rPr>
          <w:b/>
          <w:bCs/>
        </w:rPr>
        <w:t xml:space="preserve">FLOW SYNC PM</w:t>
      </w:r>
      <w:r>
        <w:t xml:space="preserve"> · Registered Merchant No. 1552654-0010 · flowsyncpm.com</w:t>
      </w:r>
    </w:p>
    <w:p>
      <w:pPr>
        <w:pBdr>
          <w:bottom w:val="single" w:color="059669" w:sz="6" w:space="4"/>
        </w:pBdr>
        <w:spacing w:after="300"/>
      </w:pPr>
    </w:p>
    <w:p>
      <w:pPr>
        <w:pStyle w:val="Heading1"/>
      </w:pPr>
      <w:r>
        <w:t xml:space="preserve">1. Soporte</w:t>
      </w:r>
    </w:p>
    <w:p>
      <w:pPr>
        <w:pStyle w:val="Heading2"/>
      </w:pPr>
      <w:r>
        <w:t xml:space="preserve">1.1 Canales y horario</w:t>
      </w:r>
    </w:p>
    <w:p>
      <w:pPr>
        <w:pStyle w:val="ListParagraph"/>
        <w:numPr>
          <w:ilvl w:val="0"/>
          <w:numId w:val="2"/>
        </w:numPr>
      </w:pPr>
      <w:r>
        <w:t xml:space="preserve">Soporte por correo: support@flowsyncpm.com (todos los planes). Soporte en español e inglés.</w:t>
      </w:r>
    </w:p>
    <w:p>
      <w:pPr>
        <w:pStyle w:val="ListParagraph"/>
        <w:numPr>
          <w:ilvl w:val="0"/>
          <w:numId w:val="2"/>
        </w:numPr>
      </w:pPr>
      <w:r>
        <w:t xml:space="preserve">Horario: lunes a viernes, 9:00–18:00 hora estándar del Atlántico (AST / UTC-4), excluyendo feriados de EE. UU. y Puerto Rico.</w:t>
      </w:r>
    </w:p>
    <w:p>
      <w:pPr>
        <w:pStyle w:val="Heading2"/>
      </w:pPr>
      <w:r>
        <w:t xml:space="preserve">1.2 Tiempos de respuesta objetivo</w:t>
      </w:r>
    </w:p>
    <w:tbl>
      <w:tblPr>
        <w:tblW w:type="dxa" w:w="105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3300"/>
        <w:gridCol w:w="1800"/>
        <w:gridCol w:w="1500"/>
        <w:gridCol w:w="1900"/>
      </w:tblGrid>
      <w:tr>
        <w:trPr>
          <w:tblHeader/>
        </w:trPr>
        <w:tc>
          <w:tcPr>
            <w:tcW w:type="dxa" w:w="20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33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18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Trial / Starter</w:t>
            </w:r>
          </w:p>
        </w:tc>
        <w:tc>
          <w:tcPr>
            <w:tcW w:type="dxa" w:w="15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19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Sev 1 — Crítica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Plataforma no disponible o datos inaccesibles para todos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Próximo día hábil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 horas hábiles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horas (incl. fines de semana, mejor esfuerzo)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Sev 2 — Mayor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Función central rota, sin alternativa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 días hábiles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 día hábil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 horas hábiles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Sev 3 — Menor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Función degradada con alternativa; preguntas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 días hábiles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 días hábiles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 día hábil</w:t>
            </w:r>
          </w:p>
        </w:tc>
      </w:tr>
    </w:tbl>
    <w:p>
      <w:r>
        <w:t xml:space="preserve">El tiempo de respuesta es el tiempo hasta la primera respuesta sustantiva de FlowSync PM, no el tiempo de resolución. Los clientes Enterprise pueden negociar SLAs personalizados en su acuerdo.</w:t>
      </w:r>
    </w:p>
    <w:p>
      <w:pPr>
        <w:pStyle w:val="Heading1"/>
      </w:pPr>
      <w:r>
        <w:t xml:space="preserve">2. Disponibilidad</w:t>
      </w:r>
    </w:p>
    <w:p>
      <w:pPr>
        <w:pStyle w:val="ListParagraph"/>
        <w:numPr>
          <w:ilvl w:val="0"/>
          <w:numId w:val="2"/>
        </w:numPr>
      </w:pPr>
      <w:r>
        <w:t xml:space="preserve">Meta de disponibilidad: 99.5% mensual para la aplicación de producción, excluyendo mantenimiento programado.</w:t>
      </w:r>
    </w:p>
    <w:p>
      <w:pPr>
        <w:pStyle w:val="ListParagraph"/>
        <w:numPr>
          <w:ilvl w:val="0"/>
          <w:numId w:val="2"/>
        </w:numPr>
      </w:pPr>
      <w:r>
        <w:t xml:space="preserve">El mantenimiento programado se anuncia a los administradores con al menos 48 horas de antelación y se realiza fuera del horario laboral AST cuando es posible.</w:t>
      </w:r>
    </w:p>
    <w:p>
      <w:pPr>
        <w:pStyle w:val="ListParagraph"/>
        <w:numPr>
          <w:ilvl w:val="0"/>
          <w:numId w:val="2"/>
        </w:numPr>
      </w:pPr>
      <w:r>
        <w:t xml:space="preserve">Los acuerdos Enterprise pueden incluir un compromiso contractual de disponibilidad con créditos de servicio.</w:t>
      </w:r>
    </w:p>
    <w:p>
      <w:pPr>
        <w:pStyle w:val="Heading1"/>
      </w:pPr>
      <w:r>
        <w:t xml:space="preserve">3. Retención y exportación de datos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Durante la suscripción: </w:t>
      </w:r>
      <w:r>
        <w:t xml:space="preserve">los datos del workspace se conservan durante la vida de la suscripción.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Expiración de la prueba: </w:t>
      </w:r>
      <w:r>
        <w:t xml:space="preserve">los workspaces de prueba expirados pasan a solo lectura; los datos se conservan 90 días para permitir la conversión a un plan pago, tras lo cual pueden eliminarse.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Terminación: </w:t>
      </w:r>
      <w:r>
        <w:t xml:space="preserve">al cancelar, el cliente tiene 30 días para solicitar una exportación; los datos se eliminan dentro de los 90 días posteriores (las copias de respaldo caducan según el ciclo de respaldo).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Exportación: </w:t>
      </w:r>
      <w:r>
        <w:t xml:space="preserve">disponible a solicitud vía support@flowsyncpm.com; los acuerdos Enterprise pueden definir formato (p. ej., CSV/JSON) y frecuencia.</w:t>
      </w:r>
    </w:p>
    <w:p>
      <w:pPr>
        <w:pStyle w:val="Heading1"/>
      </w:pPr>
      <w:r>
        <w:t xml:space="preserve">4. Respaldos y recuperación</w:t>
      </w:r>
    </w:p>
    <w:p>
      <w:pPr>
        <w:pStyle w:val="ListParagraph"/>
        <w:numPr>
          <w:ilvl w:val="0"/>
          <w:numId w:val="2"/>
        </w:numPr>
      </w:pPr>
      <w:r>
        <w:t xml:space="preserve">Respaldos diarios automatizados con recuperación a un punto en el tiempo a nivel de plataforma.</w:t>
      </w:r>
    </w:p>
    <w:p>
      <w:pPr>
        <w:pStyle w:val="ListParagraph"/>
        <w:numPr>
          <w:ilvl w:val="0"/>
          <w:numId w:val="2"/>
        </w:numPr>
      </w:pPr>
      <w:r>
        <w:t xml:space="preserve">Los respaldos son para recuperación ante desastres de la plataforma; no sustituyen las exportaciones iniciadas por el cliente.</w:t>
      </w:r>
    </w:p>
    <w:p>
      <w:pPr>
        <w:pStyle w:val="Heading1"/>
      </w:pPr>
      <w:r>
        <w:t xml:space="preserve">5. Procesamiento de datos y privacidad</w:t>
      </w:r>
    </w:p>
    <w:p>
      <w:pPr>
        <w:pStyle w:val="ListParagraph"/>
        <w:numPr>
          <w:ilvl w:val="0"/>
          <w:numId w:val="2"/>
        </w:numPr>
      </w:pPr>
      <w:r>
        <w:t xml:space="preserve">FlowSync PM procesa los datos del cliente únicamente para prestar el servicio, según nuestra Política de Privacidad en flowsyncpm.com/legal.</w:t>
      </w:r>
    </w:p>
    <w:p>
      <w:pPr>
        <w:pStyle w:val="ListParagraph"/>
        <w:numPr>
          <w:ilvl w:val="0"/>
          <w:numId w:val="2"/>
        </w:numPr>
      </w:pPr>
      <w:r>
        <w:t xml:space="preserve">Un Anexo de Procesamiento de Datos (DPA) está disponible para clientes Business a solicitud y se incluye en los acuerdos Enterprise. Solicitudes: legal@flowsyncpm.com.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Gobernanza de IA:</w:t>
      </w:r>
      <w:r>
        <w:t xml:space="preserve"> las funciones de IA son asistivas con revisión humana, corren del lado del servidor por la API de Anthropic (Claude) y los datos del cliente no se usan para entrenar modelos. Los administradores del workspace pueden desactivar toda la IA (aplicación del lado del servidor) y revisar un registro de auditoría de IA por workspace. Una Declaración de Responsabilidad de IA está disponible para revisión de cumplimiento.</w:t>
      </w:r>
    </w:p>
    <w:p>
      <w:pPr>
        <w:pStyle w:val="ListParagraph"/>
        <w:numPr>
          <w:ilvl w:val="0"/>
          <w:numId w:val="2"/>
        </w:numPr>
      </w:pPr>
      <w:r>
        <w:t xml:space="preserve">FlowSync PM no está destinado al almacenamiento de PHI; vea el documento de Información Comercial y Seguridad.</w:t>
      </w:r>
    </w:p>
    <w:p>
      <w:pPr>
        <w:pStyle w:val="Heading1"/>
      </w:pPr>
      <w:r>
        <w:t xml:space="preserve">6. Facturación</w:t>
      </w:r>
    </w:p>
    <w:p>
      <w:pPr>
        <w:pStyle w:val="ListParagraph"/>
        <w:numPr>
          <w:ilvl w:val="0"/>
          <w:numId w:val="2"/>
        </w:numPr>
      </w:pPr>
      <w:r>
        <w:t xml:space="preserve">Prueba: 2 meses gratis, sin tarjeta; convierte a Starter salvo mejora o cancelación.</w:t>
      </w:r>
    </w:p>
    <w:p>
      <w:pPr>
        <w:pStyle w:val="ListParagraph"/>
        <w:numPr>
          <w:ilvl w:val="0"/>
          <w:numId w:val="2"/>
        </w:numPr>
      </w:pPr>
      <w:r>
        <w:t xml:space="preserve">Starter y Business: facturación mensual con tarjeta vía Stripe; precios en USD.</w:t>
      </w:r>
    </w:p>
    <w:p>
      <w:pPr>
        <w:pStyle w:val="ListParagraph"/>
        <w:numPr>
          <w:ilvl w:val="0"/>
          <w:numId w:val="2"/>
        </w:numPr>
      </w:pPr>
      <w:r>
        <w:t xml:space="preserve">Enterprise: facturación anual por factura, términos NET-30.</w:t>
      </w:r>
    </w:p>
    <w:p>
      <w:pPr>
        <w:pStyle w:val="ListParagraph"/>
        <w:numPr>
          <w:ilvl w:val="0"/>
          <w:numId w:val="2"/>
        </w:numPr>
      </w:pPr>
      <w:r>
        <w:t xml:space="preserve">Preguntas de facturación: billing@flowsyncpm.com.</w:t>
      </w:r>
    </w:p>
    <w:p>
      <w:pPr>
        <w:spacing w:before="300"/>
      </w:pPr>
      <w:r>
        <w:rPr>
          <w:i/>
          <w:iCs/>
          <w:color w:val="64748B"/>
          <w:sz w:val="18"/>
          <w:szCs w:val="18"/>
        </w:rPr>
        <w:t xml:space="preserve">Estas políticas se proveen para fines de evaluación y pueden actualizarse; la versión referida en un acuerdo Enterprise firmado rige para ese cliente.</w:t>
      </w:r>
    </w:p>
    <w:sectPr>
      <w:headerReference w:type="default" r:id="rId7"/>
      <w:footerReference w:type="default" r:id="rId8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FLOW SYNC PM · flowsyncpm.com ·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18"/>
        <w:szCs w:val="18"/>
      </w:rPr>
      <w:t xml:space="preserve">FlowSync 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47857"/>
      <w:sz w:val="56"/>
      <w:szCs w:val="56"/>
    </w:rPr>
  </w:style>
  <w:style w:type="paragraph" w:styleId="Subtitle">
    <w:name w:val="Subtitle"/>
    <w:basedOn w:val="Normal"/>
    <w:pPr>
      <w:spacing w:after="300"/>
    </w:pPr>
    <w:rPr>
      <w:rFonts w:ascii="Calibri" w:cs="Calibri" w:eastAsia="Calibri" w:hAnsi="Calibri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478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2026-07-21T14:44:52.512Z</dcterms:created>
  <dcterms:modified xsi:type="dcterms:W3CDTF">2026-07-21T14:44:52.512Z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