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Service Policies</w:t>
      </w:r>
    </w:p>
    <w:p>
      <w:pPr>
        <w:pStyle w:val="Subtitle"/>
      </w:pPr>
      <w:r>
        <w:t xml:space="preserve">Support, availability, and data policies by plan · Effective August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Support</w:t>
      </w:r>
    </w:p>
    <w:p>
      <w:pPr>
        <w:pStyle w:val="Heading2"/>
      </w:pPr>
      <w:r>
        <w:t xml:space="preserve">1.1 Channels &amp; hours</w:t>
      </w:r>
    </w:p>
    <w:p>
      <w:pPr>
        <w:pStyle w:val="ListParagraph"/>
        <w:numPr>
          <w:ilvl w:val="0"/>
          <w:numId w:val="2"/>
        </w:numPr>
      </w:pPr>
      <w:r>
        <w:t xml:space="preserve">Email support: support@flowsyncpm.com (all plans). Support is provided in English and Spanish.</w:t>
      </w:r>
    </w:p>
    <w:p>
      <w:pPr>
        <w:pStyle w:val="ListParagraph"/>
        <w:numPr>
          <w:ilvl w:val="0"/>
          <w:numId w:val="2"/>
        </w:numPr>
      </w:pPr>
      <w:r>
        <w:t xml:space="preserve">Business hours: Monday–Friday, 9:00–18:00 Atlantic Standard Time (AST / UTC-4), excluding U.S. and Puerto Rico holidays.</w:t>
      </w:r>
    </w:p>
    <w:p>
      <w:pPr>
        <w:pStyle w:val="Heading2"/>
      </w:pPr>
      <w:r>
        <w:t xml:space="preserve">1.2 Target response times</w:t>
      </w:r>
    </w:p>
    <w:tbl>
      <w:tblPr>
        <w:tblW w:type="dxa" w:w="10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3300"/>
        <w:gridCol w:w="1800"/>
        <w:gridCol w:w="1500"/>
        <w:gridCol w:w="1900"/>
      </w:tblGrid>
      <w:tr>
        <w:trPr>
          <w:tblHeader/>
        </w:trPr>
        <w:tc>
          <w:tcPr>
            <w:tcW w:type="dxa" w:w="2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/ Starter</w:t>
            </w:r>
          </w:p>
        </w:tc>
        <w:tc>
          <w:tcPr>
            <w:tcW w:type="dxa" w:w="15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Sev 1 — Critical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Platform unavailable or data inaccessible for all users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 business hours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hours (incl. weekends, best effort)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Sev 2 — Major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Core feature broken, no workaround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business days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 business hours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Sev 3 — Minor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Degraded feature with workaround; questions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business days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business days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business day</w:t>
            </w:r>
          </w:p>
        </w:tc>
      </w:tr>
    </w:tbl>
    <w:p>
      <w:r>
        <w:t xml:space="preserve">Response time is the time to first meaningful reply from FlowSync PM, not time to resolution. Enterprise customers may negotiate custom SLAs in their agreement.</w:t>
      </w:r>
    </w:p>
    <w:p>
      <w:pPr>
        <w:pStyle w:val="Heading1"/>
      </w:pPr>
      <w:r>
        <w:t xml:space="preserve">2. Availability</w:t>
      </w:r>
    </w:p>
    <w:p>
      <w:pPr>
        <w:pStyle w:val="ListParagraph"/>
        <w:numPr>
          <w:ilvl w:val="0"/>
          <w:numId w:val="2"/>
        </w:numPr>
      </w:pPr>
      <w:r>
        <w:t xml:space="preserve">Uptime target: 99.5% monthly for the production application, excluding scheduled maintenance.</w:t>
      </w:r>
    </w:p>
    <w:p>
      <w:pPr>
        <w:pStyle w:val="ListParagraph"/>
        <w:numPr>
          <w:ilvl w:val="0"/>
          <w:numId w:val="2"/>
        </w:numPr>
      </w:pPr>
      <w:r>
        <w:t xml:space="preserve">Scheduled maintenance is announced to workspace administrators at least 48 hours in advance and performed outside AST business hours whenever possible.</w:t>
      </w:r>
    </w:p>
    <w:p>
      <w:pPr>
        <w:pStyle w:val="ListParagraph"/>
        <w:numPr>
          <w:ilvl w:val="0"/>
          <w:numId w:val="2"/>
        </w:numPr>
      </w:pPr>
      <w:r>
        <w:t xml:space="preserve">Enterprise agreements may include a contractual uptime commitment with service credits.</w:t>
      </w:r>
    </w:p>
    <w:p>
      <w:pPr>
        <w:pStyle w:val="Heading1"/>
      </w:pPr>
      <w:r>
        <w:t xml:space="preserve">3. Data Retention &amp; Export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During subscription: </w:t>
      </w:r>
      <w:r>
        <w:t xml:space="preserve">workspace data is retained for the life of the subscription.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Trial expiry: </w:t>
      </w:r>
      <w:r>
        <w:t xml:space="preserve">expired trial workspaces become read-only; data is preserved for 90 days to allow conversion to a paid plan, after which it may be deleted.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Termination: </w:t>
      </w:r>
      <w:r>
        <w:t xml:space="preserve">upon cancellation, customers have 30 days to request a data export; workspace data is deleted within 90 days of termination (backup copies age out per the backup cycle).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Export: </w:t>
      </w:r>
      <w:r>
        <w:t xml:space="preserve">export of workspace data is available on request via support@flowsyncpm.com; Enterprise agreements may define format (e.g., CSV/JSON) and cadence.</w:t>
      </w:r>
    </w:p>
    <w:p>
      <w:pPr>
        <w:pStyle w:val="Heading1"/>
      </w:pPr>
      <w:r>
        <w:t xml:space="preserve">4. Backups &amp; Recovery</w:t>
      </w:r>
    </w:p>
    <w:p>
      <w:pPr>
        <w:pStyle w:val="ListParagraph"/>
        <w:numPr>
          <w:ilvl w:val="0"/>
          <w:numId w:val="2"/>
        </w:numPr>
      </w:pPr>
      <w:r>
        <w:t xml:space="preserve">Automated daily database backups with point-in-time recovery at the platform level.</w:t>
      </w:r>
    </w:p>
    <w:p>
      <w:pPr>
        <w:pStyle w:val="ListParagraph"/>
        <w:numPr>
          <w:ilvl w:val="0"/>
          <w:numId w:val="2"/>
        </w:numPr>
      </w:pPr>
      <w:r>
        <w:t xml:space="preserve">Backups are for disaster recovery of the platform; they are not a substitute for customer-initiated exports.</w:t>
      </w:r>
    </w:p>
    <w:p>
      <w:pPr>
        <w:pStyle w:val="Heading1"/>
      </w:pPr>
      <w:r>
        <w:t xml:space="preserve">5. Data Processing &amp; Privacy</w:t>
      </w:r>
    </w:p>
    <w:p>
      <w:pPr>
        <w:pStyle w:val="ListParagraph"/>
        <w:numPr>
          <w:ilvl w:val="0"/>
          <w:numId w:val="2"/>
        </w:numPr>
      </w:pPr>
      <w:r>
        <w:t xml:space="preserve">FlowSync PM processes customer data solely to provide the service, per our Privacy Policy at flowsyncpm.com/legal.</w:t>
      </w:r>
    </w:p>
    <w:p>
      <w:pPr>
        <w:pStyle w:val="ListParagraph"/>
        <w:numPr>
          <w:ilvl w:val="0"/>
          <w:numId w:val="2"/>
        </w:numPr>
      </w:pPr>
      <w:r>
        <w:t xml:space="preserve">A Data Processing Addendum (DPA) covering subprocessors, confidentiality, and deletion obligations is available for Business customers on request and is included in Enterprise agreements. Requests: legal@flowsyncpm.com.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governance:</w:t>
      </w:r>
      <w:r>
        <w:t xml:space="preserve"> AI features are assistive with human review, run server-side through the Anthropic API (Claude), and customer data is not used to train models. Workspace administrators can disable all AI features (server-side enforcement) and review a per-workspace AI audit log. An AI Responsibility Statement is available for compliance review.</w:t>
      </w:r>
    </w:p>
    <w:p>
      <w:pPr>
        <w:pStyle w:val="ListParagraph"/>
        <w:numPr>
          <w:ilvl w:val="0"/>
          <w:numId w:val="2"/>
        </w:numPr>
      </w:pPr>
      <w:r>
        <w:t xml:space="preserve">FlowSync PM is not intended for storage of Protected Health Information (PHI); see the Business Information &amp; Security Overview.</w:t>
      </w:r>
    </w:p>
    <w:p>
      <w:pPr>
        <w:pStyle w:val="Heading1"/>
      </w:pPr>
      <w:r>
        <w:t xml:space="preserve">6. Billing</w:t>
      </w:r>
    </w:p>
    <w:p>
      <w:pPr>
        <w:pStyle w:val="ListParagraph"/>
        <w:numPr>
          <w:ilvl w:val="0"/>
          <w:numId w:val="2"/>
        </w:numPr>
      </w:pPr>
      <w:r>
        <w:t xml:space="preserve">Trial: 2 months free, no credit card required; converts to Starter unless upgraded or cancelled.</w:t>
      </w:r>
    </w:p>
    <w:p>
      <w:pPr>
        <w:pStyle w:val="ListParagraph"/>
        <w:numPr>
          <w:ilvl w:val="0"/>
          <w:numId w:val="2"/>
        </w:numPr>
      </w:pPr>
      <w:r>
        <w:t xml:space="preserve">Starter and Business: monthly card billing via Stripe; prices in USD.</w:t>
      </w:r>
    </w:p>
    <w:p>
      <w:pPr>
        <w:pStyle w:val="ListParagraph"/>
        <w:numPr>
          <w:ilvl w:val="0"/>
          <w:numId w:val="2"/>
        </w:numPr>
      </w:pPr>
      <w:r>
        <w:t xml:space="preserve">Enterprise: annual invoice billing, NET-30 terms.</w:t>
      </w:r>
    </w:p>
    <w:p>
      <w:pPr>
        <w:pStyle w:val="ListParagraph"/>
        <w:numPr>
          <w:ilvl w:val="0"/>
          <w:numId w:val="2"/>
        </w:numPr>
      </w:pPr>
      <w:r>
        <w:t xml:space="preserve">Billing questions: billing@flowsyncpm.com.</w:t>
      </w:r>
    </w:p>
    <w:p>
      <w:pPr>
        <w:spacing w:before="300"/>
      </w:pPr>
      <w:r>
        <w:rPr>
          <w:i/>
          <w:iCs/>
          <w:color w:val="64748B"/>
          <w:sz w:val="18"/>
          <w:szCs w:val="18"/>
        </w:rPr>
        <w:t xml:space="preserve">These policies are provided for evaluation purposes and may be updated; the version referenced in a signed Enterprise agreement governs for that customer.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2026-07-19T23:17:05.350Z</dcterms:created>
  <dcterms:modified xsi:type="dcterms:W3CDTF">2026-07-19T23:17:05.351Z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