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BA266AF" Type="http://schemas.openxmlformats.org/package/2006/relationships/metadata/core-properties" Target="docProps/core.xml"/><Relationship Id="R5BA266AF" Type="http://schemas.openxmlformats.org/officeDocument/2006/relationships/officeDocument" Target="word/document.xml"/><Relationship Id="customR5BA266A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Consolidated Hearings Act</w:t>
        <w:br w:type="textWrapping"/>
        <w:t>Loi sur la jonction des audiences</w:t>
      </w:r>
    </w:p>
    <w:p>
      <w:pPr>
        <w:pStyle w:val="P2"/>
        <w:rPr>
          <w:b w:val="1"/>
        </w:rPr>
      </w:pPr>
      <w:r>
        <w:t>ONTARIO REGULATION 784/91</w:t>
      </w:r>
    </w:p>
    <w:p>
      <w:pPr>
        <w:pStyle w:val="P3"/>
      </w:pPr>
      <w:r>
        <w:t>SUBSECTIONS 34 (3) AND (4) OF THE REGIONAL MUNICIPALITY OF HALTON ACT</w:t>
      </w:r>
    </w:p>
    <w:p>
      <w:pPr>
        <w:pStyle w:val="P70"/>
      </w:pPr>
      <w:r>
        <w:rPr>
          <w:b w:val="1"/>
        </w:rPr>
        <w:t>Consolidation Period:</w:t>
      </w:r>
      <w:r>
        <w:t xml:space="preserve">  From December 23,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5"/>
        <w:rPr>
          <w:b w:val="1"/>
          <w:i w:val="1"/>
        </w:rPr>
      </w:pPr>
      <w:r>
        <w:t>This Regulation is made in English only.</w:t>
      </w:r>
    </w:p>
    <w:p>
      <w:pPr>
        <w:pStyle w:val="P4"/>
      </w:pPr>
      <w:r>
        <w:tab/>
      </w:r>
      <w:r>
        <w:rPr>
          <w:b w:val="1"/>
        </w:rPr>
        <w:t>1.  </w:t>
      </w:r>
      <w:r>
        <w:t xml:space="preserve">Subsections 34 (3) and (4) of the </w:t>
      </w:r>
      <w:r>
        <w:rPr>
          <w:rStyle w:val="C20"/>
        </w:rPr>
        <w:t>Regional Municipality of Halton Act</w:t>
      </w:r>
      <w:r>
        <w:t xml:space="preserve"> are prescribed for the purposes of section 2 of the </w:t>
      </w:r>
      <w:r>
        <w:rPr>
          <w:rStyle w:val="C20"/>
        </w:rPr>
        <w:t>Consolidated Hearings Act</w:t>
      </w:r>
      <w:r>
        <w:t xml:space="preserve">.  O. Reg. 784/91, s. 1.</w:t>
      </w:r>
    </w:p>
    <w:p>
      <w:pPr>
        <w:pStyle w:val="P4"/>
      </w:pPr>
      <w:r>
        <w:tab/>
      </w:r>
      <w:r>
        <w:rPr>
          <w:b w:val="1"/>
        </w:rPr>
        <w:t>2.  </w:t>
      </w:r>
      <w:r>
        <w:t xml:space="preserve">All undertakings to which the </w:t>
      </w:r>
      <w:r>
        <w:rPr>
          <w:rStyle w:val="C20"/>
        </w:rPr>
        <w:t>Consolidated Hearings Act</w:t>
      </w:r>
      <w:r>
        <w:t xml:space="preserve"> would apply because of the effect of section 1 are exempt from the application of the Act except the proposed undertaking, including all alternatives to it, by Reclamation Systems Inc. to dispose of waste in the Acton Quarry of United Aggregate Limited located on part of Lot 23, Concession 3, and parts of lots 23 and 24, Concession 4, Town of Halton Hills, in The Regional Municipality of Halton.  O. Reg. 784/91, s. 2.</w:t>
      </w:r>
    </w:p>
    <w:p>
      <w:pPr>
        <w:pStyle w:val="P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2"/>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2"/>
      <w:rPr>
        <w:rStyle w:val="C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2"/>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2"/>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1"/>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7DF237E">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DD62D54">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856B6E4">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5DA3616">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40B7AC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Block Text"/>
    <w:basedOn w:val="P0"/>
    <w:next w:val="P80"/>
    <w:pPr>
      <w:spacing w:after="120"/>
      <w:ind w:left="1440" w:right="1440"/>
    </w:pPr>
    <w:rPr/>
  </w:style>
  <w:style w:type="paragraph" w:styleId="P81">
    <w:name w:val="Body Text"/>
    <w:basedOn w:val="P0"/>
    <w:next w:val="P81"/>
    <w:pPr>
      <w:spacing w:after="120"/>
    </w:pPr>
    <w:rPr/>
  </w:style>
  <w:style w:type="paragraph" w:styleId="P82">
    <w:name w:val="Body Text 2"/>
    <w:basedOn w:val="P0"/>
    <w:next w:val="P82"/>
    <w:pPr>
      <w:spacing w:lineRule="auto" w:line="480" w:after="120"/>
    </w:pPr>
    <w:rPr/>
  </w:style>
  <w:style w:type="paragraph" w:styleId="P83">
    <w:name w:val="Body Text 3"/>
    <w:basedOn w:val="P0"/>
    <w:next w:val="P83"/>
    <w:pPr>
      <w:spacing w:after="120"/>
    </w:pPr>
    <w:rPr>
      <w:sz w:val="16"/>
    </w:rPr>
  </w:style>
  <w:style w:type="paragraph" w:styleId="P84">
    <w:name w:val="Date"/>
    <w:basedOn w:val="P0"/>
    <w:next w:val="P0"/>
    <w:pPr/>
    <w:rPr/>
  </w:style>
  <w:style w:type="paragraph" w:styleId="P85">
    <w:name w:val="Document Map"/>
    <w:basedOn w:val="P0"/>
    <w:next w:val="P85"/>
    <w:pPr>
      <w:shd w:val="clear" w:fill="000080"/>
    </w:pPr>
    <w:rPr>
      <w:rFonts w:ascii="Tahoma" w:hAnsi="Tahoma"/>
    </w:rPr>
  </w:style>
  <w:style w:type="paragraph" w:styleId="P86">
    <w:name w:val="Salutation"/>
    <w:basedOn w:val="P0"/>
    <w:next w:val="P0"/>
    <w:pPr/>
    <w:rPr/>
  </w:style>
  <w:style w:type="paragraph" w:styleId="P87">
    <w:name w:val="Signature"/>
    <w:basedOn w:val="P0"/>
    <w:next w:val="P87"/>
    <w:pPr>
      <w:ind w:left="4252"/>
    </w:pPr>
    <w:rPr/>
  </w:style>
  <w:style w:type="paragraph" w:styleId="P88">
    <w:name w:val="Subtitle"/>
    <w:basedOn w:val="P0"/>
    <w:next w:val="P88"/>
    <w:pPr>
      <w:spacing w:after="60"/>
      <w:jc w:val="center"/>
      <w:outlineLvl w:val="1"/>
    </w:pPr>
    <w:rPr>
      <w:rFonts w:ascii="Arial" w:hAnsi="Arial"/>
      <w:sz w:val="24"/>
    </w:rPr>
  </w:style>
  <w:style w:type="paragraph" w:styleId="P89">
    <w:name w:val="Table of Authorities"/>
    <w:basedOn w:val="P0"/>
    <w:next w:val="P0"/>
    <w:pPr>
      <w:ind w:hanging="200" w:left="200"/>
    </w:pPr>
    <w:rPr/>
  </w:style>
  <w:style w:type="paragraph" w:styleId="P90">
    <w:name w:val="Table of Figures"/>
    <w:basedOn w:val="P0"/>
    <w:next w:val="P0"/>
    <w:pPr>
      <w:ind w:hanging="400" w:left="400"/>
    </w:pPr>
    <w:rPr/>
  </w:style>
  <w:style w:type="paragraph" w:styleId="P91">
    <w:name w:val="Header"/>
    <w:basedOn w:val="P0"/>
    <w:next w:val="P91"/>
    <w:pPr>
      <w:tabs>
        <w:tab w:val="center" w:pos="4320" w:leader="none"/>
        <w:tab w:val="right" w:pos="8640" w:leader="none"/>
      </w:tabs>
    </w:pPr>
    <w:rPr/>
  </w:style>
  <w:style w:type="paragraph" w:styleId="P92">
    <w:name w:val="Footer"/>
    <w:basedOn w:val="P0"/>
    <w:next w:val="P92"/>
    <w:pPr>
      <w:tabs>
        <w:tab w:val="center" w:pos="4320" w:leader="none"/>
        <w:tab w:val="right" w:pos="8640" w:leader="none"/>
      </w:tabs>
    </w:pPr>
    <w:rPr/>
  </w:style>
  <w:style w:type="paragraph" w:styleId="P93">
    <w:name w:val="Body Text Indent 2"/>
    <w:basedOn w:val="P0"/>
    <w:next w:val="P93"/>
    <w:pPr>
      <w:spacing w:lineRule="auto" w:line="480" w:after="120"/>
      <w:ind w:left="283"/>
    </w:pPr>
    <w:rPr/>
  </w:style>
  <w:style w:type="paragraph" w:styleId="P94">
    <w:name w:val="Endnote Text"/>
    <w:basedOn w:val="P0"/>
    <w:next w:val="P94"/>
    <w:pPr/>
    <w:rPr/>
  </w:style>
  <w:style w:type="paragraph" w:styleId="P95">
    <w:name w:val="Plain Text"/>
    <w:basedOn w:val="P0"/>
    <w:next w:val="P95"/>
    <w:pPr/>
    <w:rPr>
      <w:rFonts w:ascii="Courier New" w:hAnsi="Courier New"/>
    </w:rPr>
  </w:style>
  <w:style w:type="paragraph" w:styleId="P96">
    <w:name w:val="Title"/>
    <w:basedOn w:val="P0"/>
    <w:next w:val="P96"/>
    <w:pPr>
      <w:spacing w:before="240" w:after="60"/>
      <w:jc w:val="center"/>
      <w:outlineLvl w:val="0"/>
    </w:pPr>
    <w:rPr>
      <w:rFonts w:ascii="Arial" w:hAnsi="Arial"/>
      <w:b w:val="1"/>
      <w:sz w:val="32"/>
    </w:rPr>
  </w:style>
  <w:style w:type="paragraph" w:styleId="P97">
    <w:name w:val="TOA Heading"/>
    <w:basedOn w:val="P0"/>
    <w:next w:val="P0"/>
    <w:pPr>
      <w:spacing w:before="120"/>
    </w:pPr>
    <w:rPr>
      <w:rFonts w:ascii="Arial" w:hAnsi="Arial"/>
      <w:b w:val="1"/>
      <w:sz w:val="24"/>
    </w:rPr>
  </w:style>
  <w:style w:type="paragraph" w:styleId="P98">
    <w:name w:val="TOC 1"/>
    <w:basedOn w:val="P0"/>
    <w:next w:val="P0"/>
    <w:pPr/>
    <w:rPr/>
  </w:style>
  <w:style w:type="paragraph" w:styleId="P99">
    <w:name w:val="TOC 2"/>
    <w:basedOn w:val="P0"/>
    <w:next w:val="P0"/>
    <w:pPr>
      <w:ind w:left="200"/>
    </w:pPr>
    <w:rPr/>
  </w:style>
  <w:style w:type="paragraph" w:styleId="P100">
    <w:name w:val="TOC 3"/>
    <w:basedOn w:val="P0"/>
    <w:next w:val="P0"/>
    <w:pPr>
      <w:ind w:left="400"/>
    </w:pPr>
    <w:rPr/>
  </w:style>
  <w:style w:type="paragraph" w:styleId="P101">
    <w:name w:val="TOC 4"/>
    <w:basedOn w:val="P0"/>
    <w:next w:val="P0"/>
    <w:pPr>
      <w:ind w:left="600"/>
    </w:pPr>
    <w:rPr/>
  </w:style>
  <w:style w:type="paragraph" w:styleId="P102">
    <w:name w:val="TOC 5"/>
    <w:basedOn w:val="P0"/>
    <w:next w:val="P0"/>
    <w:pPr>
      <w:ind w:left="800"/>
    </w:pPr>
    <w:rPr/>
  </w:style>
  <w:style w:type="paragraph" w:styleId="P103">
    <w:name w:val="TOC 6"/>
    <w:basedOn w:val="P0"/>
    <w:next w:val="P0"/>
    <w:pPr>
      <w:ind w:left="1000"/>
    </w:pPr>
    <w:rPr/>
  </w:style>
  <w:style w:type="paragraph" w:styleId="P104">
    <w:name w:val="TOC 7"/>
    <w:basedOn w:val="P0"/>
    <w:next w:val="P0"/>
    <w:pPr>
      <w:ind w:left="1200"/>
    </w:pPr>
    <w:rPr/>
  </w:style>
  <w:style w:type="paragraph" w:styleId="P105">
    <w:name w:val="TOC 8"/>
    <w:basedOn w:val="P0"/>
    <w:next w:val="P0"/>
    <w:pPr>
      <w:ind w:left="1400"/>
    </w:pPr>
    <w:rPr/>
  </w:style>
  <w:style w:type="paragraph" w:styleId="P106">
    <w:name w:val="TOC 9"/>
    <w:basedOn w:val="P0"/>
    <w:next w:val="P0"/>
    <w:pPr>
      <w:ind w:left="1600"/>
    </w:pPr>
    <w:rPr/>
  </w:style>
  <w:style w:type="paragraph" w:styleId="P107">
    <w:name w:val="Body Text Indent 3"/>
    <w:basedOn w:val="P0"/>
    <w:next w:val="P107"/>
    <w:pPr>
      <w:spacing w:after="120"/>
      <w:ind w:left="283"/>
    </w:pPr>
    <w:rPr>
      <w:sz w:val="16"/>
    </w:rPr>
  </w:style>
  <w:style w:type="paragraph" w:styleId="P108">
    <w:name w:val="Caption"/>
    <w:basedOn w:val="P0"/>
    <w:next w:val="P0"/>
    <w:pPr>
      <w:spacing w:before="120" w:after="120"/>
    </w:pPr>
    <w:rPr>
      <w:b w:val="1"/>
    </w:rPr>
  </w:style>
  <w:style w:type="paragraph" w:styleId="P109">
    <w:name w:val="Closing"/>
    <w:basedOn w:val="P0"/>
    <w:next w:val="P109"/>
    <w:pPr>
      <w:ind w:left="4252"/>
    </w:pPr>
    <w:rPr/>
  </w:style>
  <w:style w:type="paragraph" w:styleId="P110">
    <w:name w:val="Comment Text"/>
    <w:basedOn w:val="P0"/>
    <w:next w:val="P110"/>
    <w:pPr/>
    <w:rPr/>
  </w:style>
  <w:style w:type="paragraph" w:styleId="P111">
    <w:name w:val="Body Text Indent"/>
    <w:basedOn w:val="P0"/>
    <w:next w:val="P111"/>
    <w:pPr>
      <w:spacing w:after="120"/>
      <w:ind w:left="360"/>
    </w:pPr>
    <w:rPr/>
  </w:style>
  <w:style w:type="paragraph" w:styleId="P112">
    <w:name w:val="E-mail Signature"/>
    <w:basedOn w:val="P0"/>
    <w:next w:val="P112"/>
    <w:pPr/>
    <w:rPr/>
  </w:style>
  <w:style w:type="paragraph" w:styleId="P113">
    <w:name w:val="Envelope Address"/>
    <w:basedOn w:val="P0"/>
    <w:next w:val="P113"/>
    <w:pPr>
      <w:framePr w:w="7920" w:h="1980" w:hRule="exact" w:vAnchor="margin" w:hAnchor="page" w:x="-4" w:y="-12"/>
      <w:ind w:left="2880"/>
    </w:pPr>
    <w:rPr>
      <w:rFonts w:ascii="Arial" w:hAnsi="Arial"/>
      <w:sz w:val="24"/>
    </w:rPr>
  </w:style>
  <w:style w:type="paragraph" w:styleId="P114">
    <w:name w:val="Envelope Return"/>
    <w:basedOn w:val="P0"/>
    <w:next w:val="P114"/>
    <w:pPr/>
    <w:rPr>
      <w:rFonts w:ascii="Arial" w:hAnsi="Arial"/>
    </w:rPr>
  </w:style>
  <w:style w:type="paragraph" w:styleId="P115">
    <w:name w:val="Footnote Text"/>
    <w:basedOn w:val="P0"/>
    <w:next w:val="P115"/>
    <w:pPr/>
    <w:rPr/>
  </w:style>
  <w:style w:type="paragraph" w:styleId="P116">
    <w:name w:val="HTML Address"/>
    <w:basedOn w:val="P0"/>
    <w:next w:val="P116"/>
    <w:pPr/>
    <w:rPr>
      <w:i w:val="1"/>
    </w:rPr>
  </w:style>
  <w:style w:type="paragraph" w:styleId="P117">
    <w:name w:val="HTML Preformatted"/>
    <w:basedOn w:val="P0"/>
    <w:next w:val="P117"/>
    <w:pPr/>
    <w:rPr>
      <w:rFonts w:ascii="Courier New" w:hAnsi="Courier New"/>
    </w:rPr>
  </w:style>
  <w:style w:type="paragraph" w:styleId="P118">
    <w:name w:val="Index 1"/>
    <w:basedOn w:val="P0"/>
    <w:next w:val="P0"/>
    <w:pPr>
      <w:ind w:hanging="200" w:left="200"/>
    </w:pPr>
    <w:rPr/>
  </w:style>
  <w:style w:type="paragraph" w:styleId="P119">
    <w:name w:val="Index 2"/>
    <w:basedOn w:val="P0"/>
    <w:next w:val="P0"/>
    <w:pPr>
      <w:ind w:hanging="200" w:left="400"/>
    </w:pPr>
    <w:rPr/>
  </w:style>
  <w:style w:type="paragraph" w:styleId="P120">
    <w:name w:val="Index 3"/>
    <w:basedOn w:val="P0"/>
    <w:next w:val="P0"/>
    <w:pPr>
      <w:ind w:hanging="200" w:left="600"/>
    </w:pPr>
    <w:rPr/>
  </w:style>
  <w:style w:type="paragraph" w:styleId="P121">
    <w:name w:val="Index 4"/>
    <w:basedOn w:val="P0"/>
    <w:next w:val="P0"/>
    <w:pPr>
      <w:ind w:hanging="200" w:left="800"/>
    </w:pPr>
    <w:rPr/>
  </w:style>
  <w:style w:type="paragraph" w:styleId="P122">
    <w:name w:val="Index 5"/>
    <w:basedOn w:val="P0"/>
    <w:next w:val="P0"/>
    <w:pPr>
      <w:ind w:hanging="200" w:left="1000"/>
    </w:pPr>
    <w:rPr/>
  </w:style>
  <w:style w:type="paragraph" w:styleId="P123">
    <w:name w:val="Index 6"/>
    <w:basedOn w:val="P0"/>
    <w:next w:val="P0"/>
    <w:pPr>
      <w:ind w:hanging="200" w:left="1200"/>
    </w:pPr>
    <w:rPr/>
  </w:style>
  <w:style w:type="paragraph" w:styleId="P124">
    <w:name w:val="Index 7"/>
    <w:basedOn w:val="P0"/>
    <w:next w:val="P0"/>
    <w:pPr>
      <w:ind w:hanging="200" w:left="1400"/>
    </w:pPr>
    <w:rPr/>
  </w:style>
  <w:style w:type="paragraph" w:styleId="P125">
    <w:name w:val="Index 8"/>
    <w:basedOn w:val="P0"/>
    <w:next w:val="P0"/>
    <w:pPr>
      <w:ind w:hanging="200" w:left="1600"/>
    </w:pPr>
    <w:rPr/>
  </w:style>
  <w:style w:type="paragraph" w:styleId="P126">
    <w:name w:val="Index 9"/>
    <w:basedOn w:val="P0"/>
    <w:next w:val="P0"/>
    <w:pPr>
      <w:ind w:hanging="200" w:left="1800"/>
    </w:pPr>
    <w:rPr/>
  </w:style>
  <w:style w:type="paragraph" w:styleId="P127">
    <w:name w:val="Index Heading"/>
    <w:basedOn w:val="P0"/>
    <w:next w:val="P118"/>
    <w:pPr/>
    <w:rPr>
      <w:rFonts w:ascii="Arial" w:hAnsi="Arial"/>
      <w:b w:val="1"/>
    </w:rPr>
  </w:style>
  <w:style w:type="paragraph" w:styleId="P128">
    <w:name w:val="List"/>
    <w:basedOn w:val="P0"/>
    <w:next w:val="P128"/>
    <w:pPr>
      <w:ind w:hanging="283" w:left="283"/>
    </w:pPr>
    <w:rPr/>
  </w:style>
  <w:style w:type="paragraph" w:styleId="P129">
    <w:name w:val="List 2"/>
    <w:basedOn w:val="P0"/>
    <w:next w:val="P129"/>
    <w:pPr>
      <w:ind w:hanging="283" w:left="566"/>
    </w:pPr>
    <w:rPr/>
  </w:style>
  <w:style w:type="paragraph" w:styleId="P130">
    <w:name w:val="List 3"/>
    <w:basedOn w:val="P0"/>
    <w:next w:val="P130"/>
    <w:pPr>
      <w:ind w:hanging="283" w:left="849"/>
    </w:pPr>
    <w:rPr/>
  </w:style>
  <w:style w:type="paragraph" w:styleId="P131">
    <w:name w:val="List 4"/>
    <w:basedOn w:val="P0"/>
    <w:next w:val="P131"/>
    <w:pPr>
      <w:ind w:hanging="283" w:left="1132"/>
    </w:pPr>
    <w:rPr/>
  </w:style>
  <w:style w:type="paragraph" w:styleId="P132">
    <w:name w:val="List 5"/>
    <w:basedOn w:val="P0"/>
    <w:next w:val="P132"/>
    <w:pPr>
      <w:ind w:hanging="283" w:left="1415"/>
    </w:pPr>
    <w:rPr/>
  </w:style>
  <w:style w:type="paragraph" w:styleId="P133">
    <w:name w:val="List Bullet"/>
    <w:basedOn w:val="P0"/>
    <w:next w:val="P133"/>
    <w:pPr>
      <w:numPr>
        <w:numId w:val="4"/>
      </w:numPr>
    </w:pPr>
    <w:rPr/>
  </w:style>
  <w:style w:type="paragraph" w:styleId="P134">
    <w:name w:val="List Bullet 2"/>
    <w:basedOn w:val="P0"/>
    <w:next w:val="P134"/>
    <w:pPr>
      <w:numPr>
        <w:numId w:val="5"/>
      </w:numPr>
    </w:pPr>
    <w:rPr/>
  </w:style>
  <w:style w:type="paragraph" w:styleId="P135">
    <w:name w:val="List Bullet 3"/>
    <w:basedOn w:val="P0"/>
    <w:next w:val="P135"/>
    <w:pPr>
      <w:numPr>
        <w:numId w:val="6"/>
      </w:numPr>
    </w:pPr>
    <w:rPr/>
  </w:style>
  <w:style w:type="paragraph" w:styleId="P136">
    <w:name w:val="List Bullet 4"/>
    <w:basedOn w:val="P0"/>
    <w:next w:val="P136"/>
    <w:pPr>
      <w:numPr>
        <w:numId w:val="7"/>
      </w:numPr>
    </w:pPr>
    <w:rPr/>
  </w:style>
  <w:style w:type="paragraph" w:styleId="P137">
    <w:name w:val="List Bullet 5"/>
    <w:basedOn w:val="P0"/>
    <w:next w:val="P137"/>
    <w:pPr>
      <w:numPr>
        <w:numId w:val="8"/>
      </w:numPr>
    </w:pPr>
    <w:rPr/>
  </w:style>
  <w:style w:type="paragraph" w:styleId="P138">
    <w:name w:val="List Continue"/>
    <w:basedOn w:val="P0"/>
    <w:next w:val="P138"/>
    <w:pPr>
      <w:spacing w:after="120"/>
      <w:ind w:left="283"/>
    </w:pPr>
    <w:rPr/>
  </w:style>
  <w:style w:type="paragraph" w:styleId="P139">
    <w:name w:val="List Continue 2"/>
    <w:basedOn w:val="P0"/>
    <w:next w:val="P139"/>
    <w:pPr>
      <w:spacing w:after="120"/>
      <w:ind w:left="566"/>
    </w:pPr>
    <w:rPr/>
  </w:style>
  <w:style w:type="paragraph" w:styleId="P140">
    <w:name w:val="List Continue 3"/>
    <w:basedOn w:val="P0"/>
    <w:next w:val="P140"/>
    <w:pPr>
      <w:spacing w:after="120"/>
      <w:ind w:left="849"/>
    </w:pPr>
    <w:rPr/>
  </w:style>
  <w:style w:type="paragraph" w:styleId="P141">
    <w:name w:val="List Continue 4"/>
    <w:basedOn w:val="P0"/>
    <w:next w:val="P141"/>
    <w:pPr>
      <w:spacing w:after="120"/>
      <w:ind w:left="1132"/>
    </w:pPr>
    <w:rPr/>
  </w:style>
  <w:style w:type="paragraph" w:styleId="P142">
    <w:name w:val="List Continue 5"/>
    <w:basedOn w:val="P0"/>
    <w:next w:val="P142"/>
    <w:pPr>
      <w:spacing w:after="120"/>
      <w:ind w:left="1415"/>
    </w:pPr>
    <w:rPr/>
  </w:style>
  <w:style w:type="paragraph" w:styleId="P143">
    <w:name w:val="List Number"/>
    <w:basedOn w:val="P0"/>
    <w:next w:val="P143"/>
    <w:pPr>
      <w:numPr>
        <w:numId w:val="2"/>
      </w:numPr>
    </w:pPr>
    <w:rPr/>
  </w:style>
  <w:style w:type="paragraph" w:styleId="P144">
    <w:name w:val="List Number 2"/>
    <w:basedOn w:val="P0"/>
    <w:next w:val="P144"/>
    <w:pPr>
      <w:numPr>
        <w:numId w:val="1"/>
      </w:numPr>
    </w:pPr>
    <w:rPr/>
  </w:style>
  <w:style w:type="paragraph" w:styleId="P145">
    <w:name w:val="List Number 3"/>
    <w:basedOn w:val="P0"/>
    <w:next w:val="P145"/>
    <w:pPr>
      <w:numPr>
        <w:numId w:val="9"/>
      </w:numPr>
    </w:pPr>
    <w:rPr/>
  </w:style>
  <w:style w:type="paragraph" w:styleId="P146">
    <w:name w:val="List Number 4"/>
    <w:basedOn w:val="P0"/>
    <w:next w:val="P146"/>
    <w:pPr>
      <w:numPr>
        <w:numId w:val="3"/>
      </w:numPr>
    </w:pPr>
    <w:rPr/>
  </w:style>
  <w:style w:type="paragraph" w:styleId="P147">
    <w:name w:val="Message Header"/>
    <w:basedOn w:val="P0"/>
    <w:next w:val="P147"/>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48">
    <w:name w:val="List Number 5"/>
    <w:basedOn w:val="P0"/>
    <w:next w:val="P148"/>
    <w:pPr>
      <w:numPr>
        <w:numId w:val="10"/>
      </w:numPr>
    </w:pPr>
    <w:rPr/>
  </w:style>
  <w:style w:type="paragraph" w:styleId="P149">
    <w:name w:val="Normal Indent"/>
    <w:basedOn w:val="P0"/>
    <w:next w:val="P149"/>
    <w:pPr>
      <w:ind w:left="720"/>
    </w:pPr>
    <w:rPr/>
  </w:style>
  <w:style w:type="paragraph" w:styleId="P150">
    <w:name w:val="Note Heading"/>
    <w:basedOn w:val="P0"/>
    <w:next w:val="P0"/>
    <w:pPr/>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Psection-e"/>
    <w:basedOn w:val="P4"/>
    <w:next w:val="P172"/>
    <w:pPr/>
    <w:rPr>
      <w:b w:val="1"/>
    </w:rPr>
  </w:style>
  <w:style w:type="paragraph" w:styleId="P173">
    <w:name w:val="subsection-e"/>
    <w:basedOn w:val="P4"/>
    <w:next w:val="P173"/>
    <w:pPr/>
    <w:rPr/>
  </w:style>
  <w:style w:type="paragraph" w:styleId="P174">
    <w:name w:val="section-f"/>
    <w:basedOn w:val="P4"/>
    <w:next w:val="P174"/>
    <w:pPr/>
    <w:rPr/>
  </w:style>
  <w:style w:type="paragraph" w:styleId="P175">
    <w:name w:val="SPsection-e"/>
    <w:basedOn w:val="P4"/>
    <w:next w:val="P175"/>
    <w:pPr/>
    <w:rPr>
      <w:b w:val="1"/>
    </w:rPr>
  </w:style>
  <w:style w:type="paragraph" w:styleId="P176">
    <w:name w:val="Ssection-e"/>
    <w:basedOn w:val="P4"/>
    <w:next w:val="P176"/>
    <w:pPr/>
    <w:rPr/>
  </w:style>
  <w:style w:type="paragraph" w:styleId="P177">
    <w:name w:val="Ysection-e"/>
    <w:basedOn w:val="P4"/>
    <w:next w:val="P177"/>
    <w:pPr>
      <w:shd w:val="clear" w:fill="D9D9D9"/>
    </w:pPr>
    <w:rPr/>
  </w:style>
  <w:style w:type="paragraph" w:styleId="P178">
    <w:name w:val="YPsection-e"/>
    <w:basedOn w:val="P4"/>
    <w:next w:val="P178"/>
    <w:pPr>
      <w:shd w:val="clear" w:fill="D9D9D9"/>
    </w:pPr>
    <w:rPr>
      <w:b w:val="1"/>
    </w:rPr>
  </w:style>
  <w:style w:type="paragraph" w:styleId="P179">
    <w:name w:val="Standard-e"/>
    <w:basedOn w:val="P4"/>
    <w:next w:val="P179"/>
    <w:pPr/>
    <w:rPr/>
  </w:style>
  <w:style w:type="paragraph" w:styleId="P180">
    <w:name w:val="version-f"/>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clause-f"/>
    <w:basedOn w:val="P9"/>
    <w:next w:val="P183"/>
    <w:pPr/>
    <w:rPr/>
  </w:style>
  <w:style w:type="paragraph" w:styleId="P184">
    <w:name w:val="defclause-e"/>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definition-f"/>
    <w:basedOn w:val="P10"/>
    <w:next w:val="P196"/>
    <w:pPr/>
    <w:rPr/>
  </w:style>
  <w:style w:type="paragraph" w:styleId="P197">
    <w:name w:val="firstdef-e"/>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1"/>
    <w:next w:val="P340"/>
    <w:pPr>
      <w:ind w:firstLine="210"/>
    </w:pPr>
    <w:rPr/>
  </w:style>
  <w:style w:type="paragraph" w:styleId="P341">
    <w:name w:val="Body Text First Indent 2"/>
    <w:basedOn w:val="P111"/>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ection-f"/>
    <w:basedOn w:val="P172"/>
    <w:next w:val="P360"/>
    <w:pPr/>
    <w:rPr/>
  </w:style>
  <w:style w:type="paragraph" w:styleId="P361">
    <w:name w:val="transsection-e"/>
    <w:basedOn w:val="P172"/>
    <w:next w:val="P361"/>
    <w:pPr/>
    <w:rPr/>
  </w:style>
  <w:style w:type="paragraph" w:styleId="P362">
    <w:name w:val="Psubsection-e"/>
    <w:basedOn w:val="P173"/>
    <w:next w:val="P362"/>
    <w:pPr/>
    <w:rPr>
      <w:b w:val="1"/>
    </w:rPr>
  </w:style>
  <w:style w:type="paragraph" w:styleId="P363">
    <w:name w:val="SPsubsection-e"/>
    <w:basedOn w:val="P173"/>
    <w:next w:val="P363"/>
    <w:pPr/>
    <w:rPr>
      <w:b w:val="1"/>
    </w:rPr>
  </w:style>
  <w:style w:type="paragraph" w:styleId="P364">
    <w:name w:val="Ssubsection-e"/>
    <w:basedOn w:val="P173"/>
    <w:next w:val="P364"/>
    <w:pPr/>
    <w:rPr/>
  </w:style>
  <w:style w:type="paragraph" w:styleId="P365">
    <w:name w:val="subsection-f"/>
    <w:basedOn w:val="P173"/>
    <w:next w:val="P365"/>
    <w:pPr/>
    <w:rPr/>
  </w:style>
  <w:style w:type="paragraph" w:styleId="P366">
    <w:name w:val="Ysubsection-e"/>
    <w:basedOn w:val="P173"/>
    <w:next w:val="P366"/>
    <w:pPr>
      <w:shd w:val="clear" w:fill="D9D9D9"/>
    </w:pPr>
    <w:rPr/>
  </w:style>
  <w:style w:type="paragraph" w:styleId="P367">
    <w:name w:val="YPsubsection-e"/>
    <w:basedOn w:val="P173"/>
    <w:next w:val="P367"/>
    <w:pPr>
      <w:shd w:val="clear" w:fill="D9D9D9"/>
    </w:pPr>
    <w:rPr>
      <w:b w:val="1"/>
    </w:rPr>
  </w:style>
  <w:style w:type="paragraph" w:styleId="P368">
    <w:name w:val="Standard-f"/>
    <w:basedOn w:val="P174"/>
    <w:next w:val="P368"/>
    <w:pPr/>
    <w:rPr/>
  </w:style>
  <w:style w:type="paragraph" w:styleId="P369">
    <w:name w:val="SPsection-f"/>
    <w:basedOn w:val="P175"/>
    <w:next w:val="P369"/>
    <w:pPr/>
    <w:rPr/>
  </w:style>
  <w:style w:type="paragraph" w:styleId="P370">
    <w:name w:val="YSPsection-e"/>
    <w:basedOn w:val="P175"/>
    <w:next w:val="P370"/>
    <w:pPr>
      <w:shd w:val="clear" w:fill="D9D9D9"/>
    </w:pPr>
    <w:rPr/>
  </w:style>
  <w:style w:type="paragraph" w:styleId="P371">
    <w:name w:val="Ssection-f"/>
    <w:basedOn w:val="P176"/>
    <w:next w:val="P371"/>
    <w:pPr/>
    <w:rPr/>
  </w:style>
  <w:style w:type="paragraph" w:styleId="P372">
    <w:name w:val="YSsection-e"/>
    <w:basedOn w:val="P176"/>
    <w:next w:val="P372"/>
    <w:pPr>
      <w:shd w:val="clear" w:fill="D9D9D9"/>
    </w:pPr>
    <w:rPr/>
  </w:style>
  <w:style w:type="paragraph" w:styleId="P373">
    <w:name w:val="Ysection-f"/>
    <w:basedOn w:val="P177"/>
    <w:next w:val="P373"/>
    <w:pPr/>
    <w:rPr/>
  </w:style>
  <w:style w:type="paragraph" w:styleId="P374">
    <w:name w:val="Yprocsection-e"/>
    <w:basedOn w:val="P177"/>
    <w:next w:val="P374"/>
    <w:pPr>
      <w:tabs>
        <w:tab w:val="clear" w:pos="189" w:leader="none"/>
        <w:tab w:val="left" w:pos="430" w:leader="none"/>
      </w:tabs>
      <w:ind w:left="240"/>
    </w:pPr>
    <w:rPr/>
  </w:style>
  <w:style w:type="paragraph" w:styleId="P375">
    <w:name w:val="YPsection-f"/>
    <w:basedOn w:val="P178"/>
    <w:next w:val="P375"/>
    <w:pPr/>
    <w:rPr/>
  </w:style>
  <w:style w:type="paragraph" w:styleId="P376">
    <w:name w:val="Ydefclause-e"/>
    <w:basedOn w:val="P184"/>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7"/>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transsection-f"/>
    <w:basedOn w:val="P360"/>
    <w:next w:val="P538"/>
    <w:pPr/>
    <w:rPr/>
  </w:style>
  <w:style w:type="paragraph" w:styleId="P539">
    <w:name w:val="Psubsection-f"/>
    <w:basedOn w:val="P362"/>
    <w:next w:val="P539"/>
    <w:pPr/>
    <w:rPr/>
  </w:style>
  <w:style w:type="paragraph" w:styleId="P540">
    <w:name w:val="transsubsection-e"/>
    <w:basedOn w:val="P362"/>
    <w:next w:val="P540"/>
    <w:pPr/>
    <w:rPr/>
  </w:style>
  <w:style w:type="paragraph" w:styleId="P541">
    <w:name w:val="SPsubsection-f"/>
    <w:basedOn w:val="P363"/>
    <w:next w:val="P541"/>
    <w:pPr/>
    <w:rPr/>
  </w:style>
  <w:style w:type="paragraph" w:styleId="P542">
    <w:name w:val="YSPsubsection-e"/>
    <w:basedOn w:val="P363"/>
    <w:next w:val="P542"/>
    <w:pPr>
      <w:shd w:val="clear" w:fill="D9D9D9"/>
    </w:pPr>
    <w:rPr/>
  </w:style>
  <w:style w:type="paragraph" w:styleId="P543">
    <w:name w:val="Ssubsection-f"/>
    <w:basedOn w:val="P364"/>
    <w:next w:val="P543"/>
    <w:pPr/>
    <w:rPr/>
  </w:style>
  <w:style w:type="paragraph" w:styleId="P544">
    <w:name w:val="YSsubsection-e"/>
    <w:basedOn w:val="P364"/>
    <w:next w:val="P544"/>
    <w:pPr>
      <w:shd w:val="clear" w:fill="D9D9D9"/>
    </w:pPr>
    <w:rPr/>
  </w:style>
  <w:style w:type="paragraph" w:styleId="P545">
    <w:name w:val="Ysubsection-f"/>
    <w:basedOn w:val="P366"/>
    <w:next w:val="P545"/>
    <w:pPr/>
    <w:rPr/>
  </w:style>
  <w:style w:type="paragraph" w:styleId="P546">
    <w:name w:val="Yprocsubsection-e"/>
    <w:basedOn w:val="P366"/>
    <w:next w:val="P546"/>
    <w:pPr>
      <w:tabs>
        <w:tab w:val="clear" w:pos="189" w:leader="none"/>
        <w:tab w:val="left" w:pos="430" w:leader="none"/>
      </w:tabs>
      <w:ind w:left="240"/>
    </w:pPr>
    <w:rPr/>
  </w:style>
  <w:style w:type="paragraph" w:styleId="P547">
    <w:name w:val="YPsubsection-f"/>
    <w:basedOn w:val="P367"/>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9"/>
    <w:next w:val="P642"/>
    <w:pPr/>
    <w:rPr/>
  </w:style>
  <w:style w:type="paragraph" w:styleId="P643">
    <w:name w:val="YSPsubsection-f"/>
    <w:basedOn w:val="P542"/>
    <w:next w:val="P643"/>
    <w:pPr/>
    <w:rPr/>
  </w:style>
  <w:style w:type="paragraph" w:styleId="P644">
    <w:name w:val="YSsubsection-f"/>
    <w:basedOn w:val="P544"/>
    <w:next w:val="P644"/>
    <w:pPr/>
    <w:rPr/>
  </w:style>
  <w:style w:type="paragraph" w:styleId="P645">
    <w:name w:val="YprocSsubsection-e"/>
    <w:basedOn w:val="P544"/>
    <w:next w:val="P645"/>
    <w:pPr>
      <w:ind w:left="240"/>
    </w:pPr>
    <w:rPr/>
  </w:style>
  <w:style w:type="paragraph" w:styleId="P646">
    <w:name w:val="Yprocsubsection-f"/>
    <w:basedOn w:val="P546"/>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Page Number"/>
    <w:basedOn w:val="C0"/>
    <w:rPr/>
  </w:style>
  <w:style w:type="character" w:styleId="C7">
    <w:name w:val="Endnote Reference"/>
    <w:basedOn w:val="C0"/>
    <w:rPr>
      <w:vertAlign w:val="superscript"/>
    </w:rPr>
  </w:style>
  <w:style w:type="character" w:styleId="C8">
    <w:name w:val="Comment Reference"/>
    <w:basedOn w:val="C0"/>
    <w:rPr>
      <w:sz w:val="16"/>
    </w:rPr>
  </w:style>
  <w:style w:type="character" w:styleId="C9">
    <w:name w:val="Emphasis"/>
    <w:basedOn w:val="C0"/>
    <w:rPr>
      <w:i w:val="1"/>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Cite"/>
    <w:basedOn w:val="C0"/>
    <w:rPr>
      <w:i w:val="1"/>
    </w:rPr>
  </w:style>
  <w:style w:type="character" w:styleId="C13">
    <w:name w:val="HTML Code"/>
    <w:basedOn w:val="C0"/>
    <w:rPr>
      <w:rFonts w:ascii="Courier New" w:hAnsi="Courier New"/>
      <w:sz w:val="20"/>
    </w:rPr>
  </w:style>
  <w:style w:type="character" w:styleId="C14">
    <w:name w:val="HTML Definition"/>
    <w:basedOn w:val="C0"/>
    <w:rPr>
      <w:i w:val="1"/>
    </w:rPr>
  </w:style>
  <w:style w:type="character" w:styleId="C15">
    <w:name w:val="HTML Keyboard"/>
    <w:basedOn w:val="C0"/>
    <w:rPr>
      <w:rFonts w:ascii="Courier New" w:hAnsi="Courier New"/>
      <w:sz w:val="20"/>
    </w:rPr>
  </w:style>
  <w:style w:type="character" w:styleId="C16">
    <w:name w:val="HTML Sample"/>
    <w:basedOn w:val="C0"/>
    <w:rPr>
      <w:rFonts w:ascii="Courier New" w:hAnsi="Courier New"/>
    </w:rPr>
  </w:style>
  <w:style w:type="character" w:styleId="C17">
    <w:name w:val="HTML Typewriter"/>
    <w:basedOn w:val="C0"/>
    <w:rPr>
      <w:rFonts w:ascii="Courier New" w:hAnsi="Courier New"/>
      <w:sz w:val="20"/>
    </w:rPr>
  </w:style>
  <w:style w:type="character" w:styleId="C18">
    <w:name w:val="HTML Variable"/>
    <w:basedOn w:val="C0"/>
    <w:rPr>
      <w:i w:val="1"/>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2000-08-21T21:56:00Z</dcterms:created>
  <cp:lastModifiedBy>Sud, Manu (MEDJCT)</cp:lastModifiedBy>
  <cp:lastPrinted>2001-04-20T16:14:00Z</cp:lastPrinted>
  <dcterms:modified xsi:type="dcterms:W3CDTF">2019-01-10T16:39:18Z</dcterms:modified>
  <cp:revision>22</cp:revision>
  <dc:subject>SUBSECTIONS 34 (3) AND (4) OF THE REGIONAL MUNICIPALITY OF HALTON ACT</dc:subject>
  <dc:title>Consolidated Hearings Act - O. Reg. 784/91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19911223</vt:lpwstr>
  </property>
  <property fmtid="{D5CDD505-2E9C-101B-9397-08002B2CF9AE}" pid="3" name="To Date">
    <vt:lpwstr>Present</vt:lpwstr>
  </property>
</Properties>
</file>