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283576C" Type="http://schemas.openxmlformats.org/package/2006/relationships/metadata/core-properties" Target="docProps/core.xml"/><Relationship Id="R1283576C" Type="http://schemas.openxmlformats.org/officeDocument/2006/relationships/officeDocument" Target="word/document.xml"/><Relationship Id="customR1283576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221/97</w:t>
      </w:r>
    </w:p>
    <w:p>
      <w:pPr>
        <w:pStyle w:val="P3"/>
        <w:rPr>
          <w:b w:val="1"/>
        </w:rPr>
      </w:pPr>
      <w:r>
        <w:t>DESIGNATION — NOTRE DEVELOPMENT CORPORATION</w:t>
      </w:r>
    </w:p>
    <w:p>
      <w:pPr>
        <w:pStyle w:val="P70"/>
      </w:pPr>
      <w:r>
        <w:rPr>
          <w:b w:val="1"/>
        </w:rPr>
        <w:t>Consolidation Period:</w:t>
      </w:r>
      <w:r>
        <w:t xml:space="preserve">  From June 6,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1.  </w:t>
      </w:r>
      <w:r>
        <w:t>In this Regulation,</w:t>
      </w:r>
    </w:p>
    <w:p>
      <w:pPr>
        <w:pStyle w:val="P196"/>
      </w:pPr>
      <w:r>
        <w:t xml:space="preserve">“Notre Development Corporation” includes any person related to Notre Development Corporation by ownership and any person who is a party to a contract with Notre Development Corporation respecting any undertaking described in section 2.  O. Reg. 221/97, s. 1.</w:t>
      </w:r>
    </w:p>
    <w:p>
      <w:pPr>
        <w:pStyle w:val="P4"/>
      </w:pPr>
      <w:r>
        <w:tab/>
      </w:r>
      <w:r>
        <w:rPr>
          <w:b w:val="1"/>
        </w:rPr>
        <w:t>2.  </w:t>
      </w:r>
      <w:r>
        <w:t xml:space="preserve">Any enterprise or activity by Notre Development Corporation of disposing of waste at Adams Mine, an abandoned open pit mine located approximately 10 kilometres southeast of Kirkland Lake in the northwest quadrant of the geographic Township of Boston in the District of Timiskaming, is defined as a major commercial or business enterprise or activity and is designated as an undertaking to which the Act applies.  O. Reg. 221/97, s. 2.</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EE42BD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A7EF8F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C3EE905">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C6CC38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D70954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Psection-e"/>
    <w:basedOn w:val="P4"/>
    <w:next w:val="P172"/>
    <w:pPr/>
    <w:rPr>
      <w:b w:val="1"/>
    </w:rPr>
  </w:style>
  <w:style w:type="paragraph" w:styleId="P173">
    <w:name w:val="subsection-e"/>
    <w:basedOn w:val="P4"/>
    <w:next w:val="P173"/>
    <w:pPr/>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firstdef-e"/>
    <w:basedOn w:val="P10"/>
    <w:next w:val="P196"/>
    <w:pPr/>
    <w:rPr/>
  </w:style>
  <w:style w:type="paragraph" w:styleId="P197">
    <w:name w:val="definition-f"/>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ection-f"/>
    <w:basedOn w:val="P172"/>
    <w:next w:val="P360"/>
    <w:pPr/>
    <w:rPr/>
  </w:style>
  <w:style w:type="paragraph" w:styleId="P361">
    <w:name w:val="transsection-e"/>
    <w:basedOn w:val="P172"/>
    <w:next w:val="P361"/>
    <w:pPr/>
    <w:rPr/>
  </w:style>
  <w:style w:type="paragraph" w:styleId="P362">
    <w:name w:val="Psubsection-e"/>
    <w:basedOn w:val="P173"/>
    <w:next w:val="P362"/>
    <w:pPr/>
    <w:rPr>
      <w:b w:val="1"/>
    </w:rPr>
  </w:style>
  <w:style w:type="paragraph" w:styleId="P363">
    <w:name w:val="SPsubsection-e"/>
    <w:basedOn w:val="P173"/>
    <w:next w:val="P363"/>
    <w:pPr/>
    <w:rPr>
      <w:b w:val="1"/>
    </w:rPr>
  </w:style>
  <w:style w:type="paragraph" w:styleId="P364">
    <w:name w:val="Ssubsection-e"/>
    <w:basedOn w:val="P173"/>
    <w:next w:val="P364"/>
    <w:pPr/>
    <w:rPr/>
  </w:style>
  <w:style w:type="paragraph" w:styleId="P365">
    <w:name w:val="subsection-f"/>
    <w:basedOn w:val="P173"/>
    <w:next w:val="P365"/>
    <w:pPr/>
    <w:rPr/>
  </w:style>
  <w:style w:type="paragraph" w:styleId="P366">
    <w:name w:val="Ysubsection-e"/>
    <w:basedOn w:val="P173"/>
    <w:next w:val="P366"/>
    <w:pPr>
      <w:shd w:val="clear" w:fill="D9D9D9"/>
    </w:pPr>
    <w:rPr/>
  </w:style>
  <w:style w:type="paragraph" w:styleId="P367">
    <w:name w:val="YPsubsection-e"/>
    <w:basedOn w:val="P173"/>
    <w:next w:val="P367"/>
    <w:pPr>
      <w:shd w:val="clear" w:fill="D9D9D9"/>
    </w:pPr>
    <w:rPr>
      <w:b w:val="1"/>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6"/>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transsection-f"/>
    <w:basedOn w:val="P360"/>
    <w:next w:val="P538"/>
    <w:pPr/>
    <w:rPr/>
  </w:style>
  <w:style w:type="paragraph" w:styleId="P539">
    <w:name w:val="Psubsection-f"/>
    <w:basedOn w:val="P362"/>
    <w:next w:val="P539"/>
    <w:pPr/>
    <w:rPr/>
  </w:style>
  <w:style w:type="paragraph" w:styleId="P540">
    <w:name w:val="transsubsection-e"/>
    <w:basedOn w:val="P362"/>
    <w:next w:val="P540"/>
    <w:pPr/>
    <w:rPr/>
  </w:style>
  <w:style w:type="paragraph" w:styleId="P541">
    <w:name w:val="SPsubsection-f"/>
    <w:basedOn w:val="P363"/>
    <w:next w:val="P541"/>
    <w:pPr/>
    <w:rPr/>
  </w:style>
  <w:style w:type="paragraph" w:styleId="P542">
    <w:name w:val="YSPsubsection-e"/>
    <w:basedOn w:val="P363"/>
    <w:next w:val="P542"/>
    <w:pPr>
      <w:shd w:val="clear" w:fill="D9D9D9"/>
    </w:pPr>
    <w:rPr/>
  </w:style>
  <w:style w:type="paragraph" w:styleId="P543">
    <w:name w:val="Ssubsection-f"/>
    <w:basedOn w:val="P364"/>
    <w:next w:val="P543"/>
    <w:pPr/>
    <w:rPr/>
  </w:style>
  <w:style w:type="paragraph" w:styleId="P544">
    <w:name w:val="YSsubsection-e"/>
    <w:basedOn w:val="P364"/>
    <w:next w:val="P544"/>
    <w:pPr>
      <w:shd w:val="clear" w:fill="D9D9D9"/>
    </w:pPr>
    <w:rPr/>
  </w:style>
  <w:style w:type="paragraph" w:styleId="P545">
    <w:name w:val="Ysubsection-f"/>
    <w:basedOn w:val="P366"/>
    <w:next w:val="P545"/>
    <w:pPr/>
    <w:rPr/>
  </w:style>
  <w:style w:type="paragraph" w:styleId="P546">
    <w:name w:val="Yprocsubsection-e"/>
    <w:basedOn w:val="P366"/>
    <w:next w:val="P546"/>
    <w:pPr>
      <w:tabs>
        <w:tab w:val="clear" w:pos="189" w:leader="none"/>
        <w:tab w:val="left" w:pos="430" w:leader="none"/>
      </w:tabs>
      <w:ind w:left="240"/>
    </w:pPr>
    <w:rPr/>
  </w:style>
  <w:style w:type="paragraph" w:styleId="P547">
    <w:name w:val="YPsubsection-f"/>
    <w:basedOn w:val="P367"/>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9"/>
    <w:next w:val="P642"/>
    <w:pPr/>
    <w:rPr/>
  </w:style>
  <w:style w:type="paragraph" w:styleId="P643">
    <w:name w:val="YSPsubsection-f"/>
    <w:basedOn w:val="P542"/>
    <w:next w:val="P643"/>
    <w:pPr/>
    <w:rPr/>
  </w:style>
  <w:style w:type="paragraph" w:styleId="P644">
    <w:name w:val="YSsubsection-f"/>
    <w:basedOn w:val="P544"/>
    <w:next w:val="P644"/>
    <w:pPr/>
    <w:rPr/>
  </w:style>
  <w:style w:type="paragraph" w:styleId="P645">
    <w:name w:val="YprocSsubsection-e"/>
    <w:basedOn w:val="P544"/>
    <w:next w:val="P645"/>
    <w:pPr>
      <w:ind w:left="240"/>
    </w:pPr>
    <w:rPr/>
  </w:style>
  <w:style w:type="paragraph" w:styleId="P646">
    <w:name w:val="Yprocsubsection-f"/>
    <w:basedOn w:val="P546"/>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2019-01-10T16:39:20Z</dcterms:modified>
  <cp:revision>18</cp:revision>
  <dc:subject>DESIGNATION — NOTRE DEVELOPMENT CORPORATION</dc:subject>
  <dc:title>Environmental Assessment Act - O. Reg. 221/97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19970606</vt:lpwstr>
  </property>
  <property fmtid="{D5CDD505-2E9C-101B-9397-08002B2CF9AE}" pid="3" name="To Date">
    <vt:lpwstr>Present</vt:lpwstr>
  </property>
</Properties>
</file>