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F85852D" Type="http://schemas.openxmlformats.org/officeDocument/2006/relationships/custom-properties" Target="docProps/custom.xml"/><Relationship Id="R4F85852D" Type="http://schemas.openxmlformats.org/officeDocument/2006/relationships/officeDocument" Target="word/document.xml"/><Relationship Id="coreR4F85852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231/94</w:t>
      </w:r>
    </w:p>
    <w:p>
      <w:pPr>
        <w:pStyle w:val="P7"/>
      </w:pPr>
      <w:r>
        <w:t>EXEMPTION — CITY OF PORT COLBORNE AND TOWN OF FORT ERIE — PC-M-2</w:t>
      </w:r>
    </w:p>
    <w:p>
      <w:pPr>
        <w:pStyle w:val="P70"/>
      </w:pPr>
      <w:r>
        <w:rPr>
          <w:b w:val="1"/>
        </w:rPr>
        <w:t>Consolidation Period:</w:t>
      </w:r>
      <w:r>
        <w:t xml:space="preserve">  From April 5,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City of Port Colborne and The Corporation of the Town of Fort Erie that an undertaking, namely:</w:t>
      </w:r>
    </w:p>
    <w:p>
      <w:pPr>
        <w:pStyle w:val="P4"/>
      </w:pPr>
      <w:r>
        <w:t>The acquisition of a parcel of land of about 381 acres on lots 17, 18, 19 and 20, Concession 5, City of Port Colborne, Regional Municipality of Niagara,</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4"/>
      </w:pPr>
      <w:r>
        <w:t>The property may not be available for purchase leaving the City of Port Colborne and Town of Fort Erie without a long-term sanitary landfill site. This could result in the selection of a less environmentally viable alternative site as the preferred site. The property purchase cost could increase.</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preliminary investigation of alternatives by the proponent indicates that this property has a high potential as a sanitary landfill site.</w:t>
      </w:r>
    </w:p>
    <w:p>
      <w:pPr>
        <w:pStyle w:val="P2"/>
      </w:pPr>
      <w:r>
        <w:tab/>
        <w:t>B.</w:t>
        <w:tab/>
        <w:t>The proponent has initiated pre-submission consultation with the Ministry of Environment and Energy on an environmental assessment for its proposed waste disposal undertaking and has prepared preliminary studies on sanitary landfill proposals.</w:t>
      </w:r>
    </w:p>
    <w:p>
      <w:pPr>
        <w:pStyle w:val="P2"/>
      </w:pPr>
      <w:r>
        <w:tab/>
        <w:t>C.</w:t>
        <w:tab/>
        <w:t xml:space="preserve">If the proponent proceeds with its plans to establish a sanitary landfill site, this exemption for the purchase of property will not preclude the application of the </w:t>
      </w:r>
      <w:r>
        <w:rPr>
          <w:i w:val="1"/>
        </w:rPr>
        <w:t>EA Act</w:t>
      </w:r>
      <w:r>
        <w:t xml:space="preserve"> to subsequent plans or proposals in respect of a site.</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The acquisition of the property by The Corporations of the City of Port Colborne or the Town of Fort Erie </w:t>
      </w:r>
      <w:r>
        <w:rPr>
          <w:highlight w:val="yellow"/>
        </w:rPr>
        <w:t>shall</w:t>
      </w:r>
      <w:r>
        <w:rPr/>
        <w:t xml:space="preserve"> not be used as reason or argument for the siting of any facilities which are subject to the </w:t>
      </w:r>
      <w:r>
        <w:rPr>
          <w:i/>
        </w:rPr>
        <w:t>EA Act</w:t>
      </w:r>
      <w:r>
        <w:rPr/>
        <w:t>.</w:t>
      </w:r>
    </w:p>
    <w:p>
      <w:pPr>
        <w:pStyle w:val="P2"/>
      </w:pPr>
      <w:r>
        <w:t xml:space="preserve">  </w:t>
      </w:r>
      <w:r>
        <w:rPr/>
        <w:tab/>
        <w:t>4.</w:t>
        <w:tab/>
        <w:t xml:space="preserve">The acquisition of land </w:t>
      </w:r>
      <w:r>
        <w:rPr>
          <w:highlight w:val="yellow"/>
        </w:rPr>
        <w:t>shall</w:t>
      </w:r>
      <w:r>
        <w:rPr/>
        <w:t xml:space="preserve"> not prejudice any decisions on proposed landfills for future regional Waste Management Master Plans.  O. Reg. 231/94.</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CAF4427">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5ECB3CB">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FFBB298">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411DE12">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BBE5D4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2019-01-10T16:39:20Z</dcterms:modified>
  <cp:revision>19</cp:revision>
  <dc:subject>EXEMPTION — CITY OF PORT COLBORNE AND TOWN OF FORT ERIE — PC-M-2</dc:subject>
  <dc:title>Environmental Assessment Act - O. Reg. 231/94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19940405</vt:lpwstr>
  </property>
  <property fmtid="{D5CDD505-2E9C-101B-9397-08002B2CF9AE}" pid="3" name="To Date">
    <vt:lpwstr>Present</vt:lpwstr>
  </property>
</Properties>
</file>