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6D623733" Type="http://schemas.openxmlformats.org/officeDocument/2006/relationships/custom-properties" Target="docProps/custom.xml"/><Relationship Id="R6D623733" Type="http://schemas.openxmlformats.org/officeDocument/2006/relationships/officeDocument" Target="word/document.xml"/><Relationship Id="coreR6D623733"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6"/>
      </w:pPr>
      <w:r>
        <w:t>ONTARIO REGULATION 290/95</w:t>
      </w:r>
    </w:p>
    <w:p>
      <w:pPr>
        <w:pStyle w:val="P7"/>
      </w:pPr>
      <w:r>
        <w:t>EXEMPTION — THE MUNICIPALITY OF METROPOLITAN TORONTO AND TORONTO TRANSIT COMMISSION</w:t>
      </w:r>
    </w:p>
    <w:p>
      <w:pPr>
        <w:pStyle w:val="P70"/>
      </w:pPr>
      <w:r>
        <w:rPr>
          <w:b w:val="1"/>
        </w:rPr>
        <w:t>Consolidation Period:</w:t>
      </w:r>
      <w:r>
        <w:t xml:space="preserve">  From May 10, 1995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pPr>
      <w:r>
        <w:t>This Regulation is made in English only.</w:t>
      </w:r>
    </w:p>
    <w:p>
      <w:pPr>
        <w:pStyle w:val="P5"/>
      </w:pPr>
      <w:r>
        <w:tab/>
        <w:tab/>
        <w:t>Having received a request from The Municipality of Metropolitan Toronto and Toronto Transit Commission that an undertaking, namely:</w:t>
      </w:r>
    </w:p>
    <w:p>
      <w:pPr>
        <w:pStyle w:val="P4"/>
      </w:pPr>
      <w:r>
        <w:t>the relocation of the Southern Terminus of the Bathurst Streetcar Route situated on the grounds of the Canadian National Exhibition (C.N.E),</w:t>
      </w:r>
    </w:p>
    <w:p>
      <w:pPr>
        <w:pStyle w:val="P3"/>
      </w:pPr>
      <w:r>
        <w:t>be exempt from the application of the Act pursuant to section 29; and</w:t>
      </w:r>
    </w:p>
    <w:p>
      <w:pPr>
        <w:pStyle w:val="P5"/>
      </w:pPr>
      <w:r>
        <w:tab/>
        <w:tab/>
        <w:t>Having been advised by the Toronto Transit Commission that if the undertaking is subject to the application of the Act, the following injury, damage or interference with the persons and property indicated will occur:</w:t>
      </w:r>
    </w:p>
    <w:p>
      <w:pPr>
        <w:pStyle w:val="P2"/>
      </w:pPr>
      <w:r>
        <w:tab/>
        <w:t>A.</w:t>
        <w:tab/>
        <w:t>lessening of service by replacing streetcars with buses (slower travel time, lower carrying capacity, long dead heading distances to bring buses into service); and</w:t>
      </w:r>
    </w:p>
    <w:p>
      <w:pPr>
        <w:pStyle w:val="P2"/>
      </w:pPr>
      <w:r>
        <w:tab/>
        <w:t>B.</w:t>
        <w:tab/>
        <w:t>increased air pollution, noise and cost due to use of buses.</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the Act for the following reasons:</w:t>
      </w:r>
    </w:p>
    <w:p>
      <w:pPr>
        <w:pStyle w:val="P2"/>
      </w:pPr>
      <w:r>
        <w:tab/>
        <w:t>A.</w:t>
        <w:tab/>
        <w:t>to avoid the above-noted injury, damage or interference, and that</w:t>
      </w:r>
    </w:p>
    <w:p>
      <w:pPr>
        <w:pStyle w:val="P2"/>
      </w:pPr>
      <w:r>
        <w:tab/>
        <w:t>B.</w:t>
        <w:tab/>
        <w:t>any adverse environmental effects can be addressed through the proposed terms and conditions.</w:t>
      </w:r>
    </w:p>
    <w:p>
      <w:pPr>
        <w:pStyle w:val="P5"/>
      </w:pPr>
      <w:r>
        <w:tab/>
        <w:tab/>
        <w:t>This exemption is subject to the following terms and conditions:</w:t>
      </w:r>
    </w:p>
    <w:p>
      <w:pPr>
        <w:pStyle w:val="P2"/>
      </w:pPr>
      <w:r>
        <w:t xml:space="preserve">  </w:t>
      </w:r>
      <w:r>
        <w:rPr/>
        <w:tab/>
        <w:t>1.</w:t>
        <w:tab/>
        <w:t xml:space="preserve">Where any activity which otherwise would be exempt under this order is being carried out as or is part of an undertaking for which an environmental assessment has been accepted and approval to proceed received, the activity </w:t>
      </w:r>
      <w:r>
        <w:rPr>
          <w:highlight w:val="yellow"/>
        </w:rPr>
        <w:t>shall</w:t>
      </w:r>
      <w:r>
        <w:rPr/>
        <w:t xml:space="preserve"> be carried out in accordance with any terms or conditions in the approval to proceed as well as the conditions of this order.</w:t>
      </w:r>
    </w:p>
    <w:p>
      <w:pPr>
        <w:pStyle w:val="P2"/>
      </w:pPr>
      <w:r>
        <w:t xml:space="preserve">  </w:t>
      </w:r>
      <w:r>
        <w:rPr/>
        <w:tab/>
        <w:t>2.</w:t>
        <w:tab/>
        <w:t xml:space="preserve">Where any activity which is the subject of this order is being carried out as or is part of another undertaking which is the subject of an exemption order under the Act, the activity exempt under this order </w:t>
      </w:r>
      <w:r>
        <w:rPr>
          <w:highlight w:val="yellow"/>
        </w:rPr>
        <w:t>shall</w:t>
      </w:r>
      <w:r>
        <w:rPr/>
        <w:t xml:space="preserve"> be carried out in accordance with any terms or conditions in the other exemption order as well as the conditions in this order.</w:t>
      </w:r>
    </w:p>
    <w:p>
      <w:pPr>
        <w:pStyle w:val="P2"/>
      </w:pPr>
      <w:r>
        <w:tab/>
        <w:t>3.</w:t>
        <w:tab/>
        <w:t>The proponent will undertake a planning process to identify,</w:t>
      </w:r>
    </w:p>
    <w:p>
      <w:pPr>
        <w:pStyle w:val="P167"/>
      </w:pPr>
      <w:r>
        <w:tab/>
        <w:t>(a)</w:t>
        <w:tab/>
        <w:t>the need for the relocation;</w:t>
      </w:r>
    </w:p>
    <w:p>
      <w:pPr>
        <w:pStyle w:val="P167"/>
      </w:pPr>
      <w:r>
        <w:tab/>
        <w:t>(b)</w:t>
        <w:tab/>
        <w:t>the alternative alignments, if any, for the relocation;</w:t>
      </w:r>
    </w:p>
    <w:p>
      <w:pPr>
        <w:pStyle w:val="P167"/>
      </w:pPr>
      <w:r>
        <w:tab/>
        <w:t>(c)</w:t>
        <w:tab/>
        <w:t>the net environmental effects of the alternatives, including the preferred alternative (benefits and conflicts);</w:t>
      </w:r>
    </w:p>
    <w:p>
      <w:pPr>
        <w:pStyle w:val="P167"/>
      </w:pPr>
      <w:r>
        <w:tab/>
        <w:t>(d)</w:t>
        <w:tab/>
        <w:t>the relationship to the proposed Waterfront West Light Rail Transit; and</w:t>
      </w:r>
    </w:p>
    <w:p>
      <w:pPr>
        <w:pStyle w:val="P167"/>
      </w:pPr>
      <w:r>
        <w:tab/>
        <w:t>(e)</w:t>
        <w:tab/>
        <w:t>the public and agency consultation process to occur.</w:t>
      </w:r>
    </w:p>
    <w:p>
      <w:pPr>
        <w:pStyle w:val="P2"/>
      </w:pPr>
      <w:r>
        <w:tab/>
        <w:t>4.</w:t>
        <w:tab/>
        <w:t xml:space="preserve">The proponent will prepare a report and related correspondence documenting the process described in condition 3, including Public/Agency concerns, if any, and how the concerns have been addressed.  The report will be sent to the Director of the Environmental Assessment Branch of the Ministry of Environment and Energy for filing with the public records kept under section 31 of the Act by the Branch at the Ministry’s office located at 250 Davisville Avenue, Toronto, Ontario, M4S 1H2.  O. Reg. 290/95.</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64A37105">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59FD17F8">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516AF87D">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6F1886F2">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725EE89F">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subpara-e"/>
    <w:basedOn w:val="P2"/>
    <w:next w:val="P167"/>
    <w:pPr>
      <w:tabs>
        <w:tab w:val="clear" w:pos="418" w:leader="none"/>
        <w:tab w:val="clear" w:pos="538" w:leader="none"/>
        <w:tab w:val="right" w:pos="837" w:leader="none"/>
        <w:tab w:val="left" w:pos="956" w:leader="none"/>
      </w:tabs>
      <w:ind w:hanging="955" w:left="955"/>
    </w:pPr>
    <w:rPr/>
  </w:style>
  <w:style w:type="paragraph" w:styleId="P168">
    <w:name w:val="defparagraph-e"/>
    <w:basedOn w:val="P2"/>
    <w:next w:val="P168"/>
    <w:pPr/>
    <w:rPr/>
  </w:style>
  <w:style w:type="paragraph" w:styleId="P169">
    <w:name w:val="defparagraph-f"/>
    <w:basedOn w:val="P2"/>
    <w:next w:val="P169"/>
    <w:pPr/>
    <w:rPr/>
  </w:style>
  <w:style w:type="paragraph" w:styleId="P170">
    <w:name w:val="subsubpara-e"/>
    <w:basedOn w:val="P2"/>
    <w:next w:val="P170"/>
    <w:pPr>
      <w:tabs>
        <w:tab w:val="clear" w:pos="418" w:leader="none"/>
        <w:tab w:val="clear" w:pos="538" w:leader="none"/>
        <w:tab w:val="right" w:pos="1315" w:leader="none"/>
        <w:tab w:val="left" w:pos="1435" w:leader="none"/>
      </w:tabs>
      <w:ind w:hanging="1435" w:left="1435"/>
    </w:pPr>
    <w:rPr/>
  </w:style>
  <w:style w:type="paragraph" w:styleId="P171">
    <w:name w:val="paragraph-f"/>
    <w:basedOn w:val="P2"/>
    <w:next w:val="P171"/>
    <w:pPr/>
    <w:rPr/>
  </w:style>
  <w:style w:type="paragraph" w:styleId="P172">
    <w:name w:val="Pparagraph-e"/>
    <w:basedOn w:val="P2"/>
    <w:next w:val="P172"/>
    <w:pPr/>
    <w:rPr>
      <w:b w:val="1"/>
    </w:rPr>
  </w:style>
  <w:style w:type="paragraph" w:styleId="P173">
    <w:name w:val="subsubsubpara-e"/>
    <w:basedOn w:val="P2"/>
    <w:next w:val="P173"/>
    <w:pPr>
      <w:tabs>
        <w:tab w:val="clear" w:pos="418" w:leader="none"/>
        <w:tab w:val="clear" w:pos="538" w:leader="none"/>
        <w:tab w:val="right" w:pos="1675" w:leader="none"/>
        <w:tab w:val="left" w:pos="1793" w:leader="none"/>
      </w:tabs>
      <w:ind w:hanging="1793" w:left="1793"/>
    </w:pPr>
    <w:rPr/>
  </w:style>
  <w:style w:type="paragraph" w:styleId="P174">
    <w:name w:val="Sdefpara-e"/>
    <w:basedOn w:val="P2"/>
    <w:next w:val="P174"/>
    <w:pPr>
      <w:tabs>
        <w:tab w:val="left" w:pos="0" w:leader="none"/>
      </w:tabs>
      <w:ind w:firstLine="0"/>
    </w:pPr>
    <w:rPr/>
  </w:style>
  <w:style w:type="paragraph" w:styleId="P175">
    <w:name w:val="Sparagraph-e"/>
    <w:basedOn w:val="P2"/>
    <w:next w:val="P175"/>
    <w:pPr>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defsubpara-e"/>
    <w:basedOn w:val="P167"/>
    <w:next w:val="P357"/>
    <w:pPr/>
    <w:rPr/>
  </w:style>
  <w:style w:type="paragraph" w:styleId="P358">
    <w:name w:val="defsubpara-f"/>
    <w:basedOn w:val="P167"/>
    <w:next w:val="P358"/>
    <w:pPr/>
    <w:rPr/>
  </w:style>
  <w:style w:type="paragraph" w:styleId="P359">
    <w:name w:val="Psubpara-e"/>
    <w:basedOn w:val="P167"/>
    <w:next w:val="P359"/>
    <w:pPr/>
    <w:rPr>
      <w:b w:val="1"/>
    </w:rPr>
  </w:style>
  <w:style w:type="paragraph" w:styleId="P360">
    <w:name w:val="Ssubpara-e"/>
    <w:basedOn w:val="P167"/>
    <w:next w:val="P360"/>
    <w:pPr>
      <w:ind w:firstLine="0"/>
    </w:pPr>
    <w:rPr/>
  </w:style>
  <w:style w:type="paragraph" w:styleId="P361">
    <w:name w:val="subpara-f"/>
    <w:basedOn w:val="P167"/>
    <w:next w:val="P361"/>
    <w:pPr/>
    <w:rPr/>
  </w:style>
  <w:style w:type="paragraph" w:styleId="P362">
    <w:name w:val="Ysubpara-e"/>
    <w:basedOn w:val="P167"/>
    <w:next w:val="P362"/>
    <w:pPr>
      <w:shd w:val="clear" w:fill="D9D9D9"/>
    </w:pPr>
    <w:rPr/>
  </w:style>
  <w:style w:type="paragraph" w:styleId="P363">
    <w:name w:val="YPsubpara-e"/>
    <w:basedOn w:val="P167"/>
    <w:next w:val="P363"/>
    <w:pPr>
      <w:shd w:val="clear" w:fill="D9D9D9"/>
    </w:pPr>
    <w:rPr>
      <w:b w:val="1"/>
    </w:rPr>
  </w:style>
  <w:style w:type="paragraph" w:styleId="P364">
    <w:name w:val="equationind2-e"/>
    <w:basedOn w:val="P167"/>
    <w:next w:val="P364"/>
    <w:pPr/>
    <w:rPr/>
  </w:style>
  <w:style w:type="paragraph" w:styleId="P365">
    <w:name w:val="Ydefparagraph-e"/>
    <w:basedOn w:val="P168"/>
    <w:next w:val="P365"/>
    <w:pPr>
      <w:shd w:val="clear" w:fill="D9D9D9"/>
    </w:pPr>
    <w:rPr/>
  </w:style>
  <w:style w:type="paragraph" w:styleId="P366">
    <w:name w:val="defsubsubpara-e"/>
    <w:basedOn w:val="P170"/>
    <w:next w:val="P366"/>
    <w:pPr/>
    <w:rPr/>
  </w:style>
  <w:style w:type="paragraph" w:styleId="P367">
    <w:name w:val="defsubsubpara-f"/>
    <w:basedOn w:val="P170"/>
    <w:next w:val="P367"/>
    <w:pPr/>
    <w:rPr/>
  </w:style>
  <w:style w:type="paragraph" w:styleId="P368">
    <w:name w:val="Psubsubpara-e"/>
    <w:basedOn w:val="P170"/>
    <w:next w:val="P368"/>
    <w:pPr/>
    <w:rPr>
      <w:b w:val="1"/>
    </w:rPr>
  </w:style>
  <w:style w:type="paragraph" w:styleId="P369">
    <w:name w:val="Ssubsubpara-e"/>
    <w:basedOn w:val="P170"/>
    <w:next w:val="P369"/>
    <w:pPr>
      <w:ind w:firstLine="0"/>
    </w:pPr>
    <w:rPr/>
  </w:style>
  <w:style w:type="paragraph" w:styleId="P370">
    <w:name w:val="subsubpara-f"/>
    <w:basedOn w:val="P170"/>
    <w:next w:val="P370"/>
    <w:pPr/>
    <w:rPr/>
  </w:style>
  <w:style w:type="paragraph" w:styleId="P371">
    <w:name w:val="Ysubsubpara-e"/>
    <w:basedOn w:val="P170"/>
    <w:next w:val="P371"/>
    <w:pPr>
      <w:shd w:val="clear" w:fill="D9D9D9"/>
    </w:pPr>
    <w:rPr/>
  </w:style>
  <w:style w:type="paragraph" w:styleId="P372">
    <w:name w:val="YPsubsubpara-e"/>
    <w:basedOn w:val="P170"/>
    <w:next w:val="P372"/>
    <w:pPr>
      <w:shd w:val="clear" w:fill="D9D9D9"/>
    </w:pPr>
    <w:rPr>
      <w:b w:val="1"/>
    </w:rPr>
  </w:style>
  <w:style w:type="paragraph" w:styleId="P373">
    <w:name w:val="equationind3-e"/>
    <w:basedOn w:val="P170"/>
    <w:next w:val="P373"/>
    <w:pPr/>
    <w:rPr/>
  </w:style>
  <w:style w:type="paragraph" w:styleId="P374">
    <w:name w:val="Pparagraph-f"/>
    <w:basedOn w:val="P172"/>
    <w:next w:val="P374"/>
    <w:pPr/>
    <w:rPr/>
  </w:style>
  <w:style w:type="paragraph" w:styleId="P375">
    <w:name w:val="Psubsubsubpara-e"/>
    <w:basedOn w:val="P173"/>
    <w:next w:val="P375"/>
    <w:pPr/>
    <w:rPr>
      <w:b w:val="1"/>
    </w:rPr>
  </w:style>
  <w:style w:type="paragraph" w:styleId="P376">
    <w:name w:val="subsubsubpara-f"/>
    <w:basedOn w:val="P173"/>
    <w:next w:val="P376"/>
    <w:pPr/>
    <w:rPr/>
  </w:style>
  <w:style w:type="paragraph" w:styleId="P377">
    <w:name w:val="Ysubsubsubpara-e"/>
    <w:basedOn w:val="P173"/>
    <w:next w:val="P377"/>
    <w:pPr>
      <w:shd w:val="clear" w:fill="D9D9D9"/>
    </w:pPr>
    <w:rPr/>
  </w:style>
  <w:style w:type="paragraph" w:styleId="P378">
    <w:name w:val="YPsubsubsubpara-e"/>
    <w:basedOn w:val="P173"/>
    <w:next w:val="P378"/>
    <w:pPr>
      <w:shd w:val="clear" w:fill="D9D9D9"/>
    </w:pPr>
    <w:rPr>
      <w:b w:val="1"/>
    </w:rPr>
  </w:style>
  <w:style w:type="paragraph" w:styleId="P379">
    <w:name w:val="equationind4-e"/>
    <w:basedOn w:val="P173"/>
    <w:next w:val="P379"/>
    <w:pPr/>
    <w:rPr/>
  </w:style>
  <w:style w:type="paragraph" w:styleId="P380">
    <w:name w:val="Sdefpara-f"/>
    <w:basedOn w:val="P174"/>
    <w:next w:val="P380"/>
    <w:pPr/>
    <w:rPr/>
  </w:style>
  <w:style w:type="paragraph" w:styleId="P381">
    <w:name w:val="YSdefpara-e"/>
    <w:basedOn w:val="P174"/>
    <w:next w:val="P381"/>
    <w:pPr>
      <w:shd w:val="clear" w:fill="D9D9D9"/>
    </w:pPr>
    <w:rPr/>
  </w:style>
  <w:style w:type="paragraph" w:styleId="P382">
    <w:name w:val="Sparagraph-f"/>
    <w:basedOn w:val="P175"/>
    <w:next w:val="P382"/>
    <w:pPr/>
    <w:rPr/>
  </w:style>
  <w:style w:type="paragraph" w:styleId="P383">
    <w:name w:val="YSparagraph-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subpara-e"/>
    <w:basedOn w:val="P357"/>
    <w:next w:val="P538"/>
    <w:pPr>
      <w:shd w:val="clear" w:fill="D9D9D9"/>
    </w:pPr>
    <w:rPr/>
  </w:style>
  <w:style w:type="paragraph" w:styleId="P539">
    <w:name w:val="Psubpara-f"/>
    <w:basedOn w:val="P359"/>
    <w:next w:val="P539"/>
    <w:pPr/>
    <w:rPr/>
  </w:style>
  <w:style w:type="paragraph" w:styleId="P540">
    <w:name w:val="Ssubpara-f"/>
    <w:basedOn w:val="P360"/>
    <w:next w:val="P540"/>
    <w:pPr/>
    <w:rPr/>
  </w:style>
  <w:style w:type="paragraph" w:styleId="P541">
    <w:name w:val="YSsubpara-e"/>
    <w:basedOn w:val="P360"/>
    <w:next w:val="P541"/>
    <w:pPr>
      <w:shd w:val="clear" w:fill="D9D9D9"/>
    </w:pPr>
    <w:rPr/>
  </w:style>
  <w:style w:type="paragraph" w:styleId="P542">
    <w:name w:val="Ysubpara-f"/>
    <w:basedOn w:val="P362"/>
    <w:next w:val="P542"/>
    <w:pPr/>
    <w:rPr/>
  </w:style>
  <w:style w:type="paragraph" w:styleId="P543">
    <w:name w:val="YprocSsubpara-e"/>
    <w:basedOn w:val="P362"/>
    <w:next w:val="P543"/>
    <w:pPr>
      <w:ind w:left="1195"/>
    </w:pPr>
    <w:rPr/>
  </w:style>
  <w:style w:type="paragraph" w:styleId="P544">
    <w:name w:val="Yprocsubpara-e"/>
    <w:basedOn w:val="P362"/>
    <w:next w:val="P544"/>
    <w:pPr>
      <w:tabs>
        <w:tab w:val="clear" w:pos="837" w:leader="none"/>
        <w:tab w:val="clear" w:pos="956" w:leader="none"/>
        <w:tab w:val="right" w:pos="1078" w:leader="none"/>
        <w:tab w:val="left" w:pos="1195" w:leader="none"/>
      </w:tabs>
      <w:ind w:left="1195"/>
    </w:pPr>
    <w:rPr/>
  </w:style>
  <w:style w:type="paragraph" w:styleId="P545">
    <w:name w:val="YPsubpara-f"/>
    <w:basedOn w:val="P363"/>
    <w:next w:val="P545"/>
    <w:pPr/>
    <w:rPr/>
  </w:style>
  <w:style w:type="paragraph" w:styleId="P546">
    <w:name w:val="equationind2-f"/>
    <w:basedOn w:val="P364"/>
    <w:next w:val="P546"/>
    <w:pPr/>
    <w:rPr/>
  </w:style>
  <w:style w:type="paragraph" w:styleId="P547">
    <w:name w:val="Yequationind2-e"/>
    <w:basedOn w:val="P364"/>
    <w:next w:val="P547"/>
    <w:pPr>
      <w:shd w:val="clear" w:fill="D9D9D9"/>
    </w:pPr>
    <w:rPr/>
  </w:style>
  <w:style w:type="paragraph" w:styleId="P548">
    <w:name w:val="Ydefparagraph-f"/>
    <w:basedOn w:val="P365"/>
    <w:next w:val="P548"/>
    <w:pPr/>
    <w:rPr/>
  </w:style>
  <w:style w:type="paragraph" w:styleId="P549">
    <w:name w:val="Yprocdefparagraph-e"/>
    <w:basedOn w:val="P365"/>
    <w:next w:val="P549"/>
    <w:pPr>
      <w:tabs>
        <w:tab w:val="clear" w:pos="418" w:leader="none"/>
        <w:tab w:val="clear" w:pos="538" w:leader="none"/>
        <w:tab w:val="right" w:pos="672" w:leader="none"/>
        <w:tab w:val="left" w:pos="792" w:leader="none"/>
      </w:tabs>
      <w:ind w:left="778"/>
    </w:pPr>
    <w:rPr/>
  </w:style>
  <w:style w:type="paragraph" w:styleId="P550">
    <w:name w:val="Ydefsubsubpara-e"/>
    <w:basedOn w:val="P366"/>
    <w:next w:val="P550"/>
    <w:pPr>
      <w:shd w:val="clear" w:fill="D9D9D9"/>
    </w:pPr>
    <w:rPr/>
  </w:style>
  <w:style w:type="paragraph" w:styleId="P551">
    <w:name w:val="Psubsubpara-f"/>
    <w:basedOn w:val="P368"/>
    <w:next w:val="P551"/>
    <w:pPr/>
    <w:rPr/>
  </w:style>
  <w:style w:type="paragraph" w:styleId="P552">
    <w:name w:val="Ssubsubpara-f"/>
    <w:basedOn w:val="P369"/>
    <w:next w:val="P552"/>
    <w:pPr/>
    <w:rPr/>
  </w:style>
  <w:style w:type="paragraph" w:styleId="P553">
    <w:name w:val="YSsubsubpara-e"/>
    <w:basedOn w:val="P369"/>
    <w:next w:val="P553"/>
    <w:pPr>
      <w:shd w:val="clear" w:fill="D9D9D9"/>
    </w:pPr>
    <w:rPr/>
  </w:style>
  <w:style w:type="paragraph" w:styleId="P554">
    <w:name w:val="Ysubsubpara-f"/>
    <w:basedOn w:val="P371"/>
    <w:next w:val="P554"/>
    <w:pPr/>
    <w:rPr/>
  </w:style>
  <w:style w:type="paragraph" w:styleId="P555">
    <w:name w:val="YprocSsubsubpara-e"/>
    <w:basedOn w:val="P371"/>
    <w:next w:val="P555"/>
    <w:pPr>
      <w:ind w:left="1675"/>
    </w:pPr>
    <w:rPr/>
  </w:style>
  <w:style w:type="paragraph" w:styleId="P556">
    <w:name w:val="Yprocsubsubpara-e"/>
    <w:basedOn w:val="P371"/>
    <w:next w:val="P556"/>
    <w:pPr>
      <w:tabs>
        <w:tab w:val="clear" w:pos="1315" w:leader="none"/>
        <w:tab w:val="clear" w:pos="1435" w:leader="none"/>
        <w:tab w:val="right" w:pos="1555" w:leader="none"/>
        <w:tab w:val="left" w:pos="1675" w:leader="none"/>
      </w:tabs>
      <w:ind w:left="1675"/>
    </w:pPr>
    <w:rPr/>
  </w:style>
  <w:style w:type="paragraph" w:styleId="P557">
    <w:name w:val="YPsubsubpara-f"/>
    <w:basedOn w:val="P372"/>
    <w:next w:val="P557"/>
    <w:pPr/>
    <w:rPr/>
  </w:style>
  <w:style w:type="paragraph" w:styleId="P558">
    <w:name w:val="equationind3-f"/>
    <w:basedOn w:val="P373"/>
    <w:next w:val="P558"/>
    <w:pPr/>
    <w:rPr/>
  </w:style>
  <w:style w:type="paragraph" w:styleId="P559">
    <w:name w:val="Yequationind3-e"/>
    <w:basedOn w:val="P373"/>
    <w:next w:val="P559"/>
    <w:pPr>
      <w:shd w:val="clear" w:fill="D9D9D9"/>
    </w:pPr>
    <w:rPr/>
  </w:style>
  <w:style w:type="paragraph" w:styleId="P560">
    <w:name w:val="Psubsubsubpara-f"/>
    <w:basedOn w:val="P375"/>
    <w:next w:val="P560"/>
    <w:pPr/>
    <w:rPr/>
  </w:style>
  <w:style w:type="paragraph" w:styleId="P561">
    <w:name w:val="Ysubsubsubpara-f"/>
    <w:basedOn w:val="P377"/>
    <w:next w:val="P561"/>
    <w:pPr/>
    <w:rPr/>
  </w:style>
  <w:style w:type="paragraph" w:styleId="P562">
    <w:name w:val="Yprocsubsubsubpara-e"/>
    <w:basedOn w:val="P377"/>
    <w:next w:val="P562"/>
    <w:pPr>
      <w:tabs>
        <w:tab w:val="clear" w:pos="1675" w:leader="none"/>
        <w:tab w:val="clear" w:pos="1793" w:leader="none"/>
        <w:tab w:val="right" w:pos="1915" w:leader="none"/>
        <w:tab w:val="left" w:pos="2033" w:leader="none"/>
      </w:tabs>
      <w:ind w:left="2033"/>
    </w:pPr>
    <w:rPr/>
  </w:style>
  <w:style w:type="paragraph" w:styleId="P563">
    <w:name w:val="YPsubsubsubpara-f"/>
    <w:basedOn w:val="P378"/>
    <w:next w:val="P563"/>
    <w:pPr/>
    <w:rPr/>
  </w:style>
  <w:style w:type="paragraph" w:styleId="P564">
    <w:name w:val="equationind4-f"/>
    <w:basedOn w:val="P379"/>
    <w:next w:val="P564"/>
    <w:pPr/>
    <w:rPr/>
  </w:style>
  <w:style w:type="paragraph" w:styleId="P565">
    <w:name w:val="Yequationind4-e"/>
    <w:basedOn w:val="P379"/>
    <w:next w:val="P565"/>
    <w:pPr>
      <w:shd w:val="clear" w:fill="D9D9D9"/>
    </w:pPr>
    <w:rPr/>
  </w:style>
  <w:style w:type="paragraph" w:styleId="P566">
    <w:name w:val="YSdefpara-f"/>
    <w:basedOn w:val="P381"/>
    <w:next w:val="P566"/>
    <w:pPr/>
    <w:rPr/>
  </w:style>
  <w:style w:type="paragraph" w:styleId="P567">
    <w:name w:val="YprocSdefpara-e"/>
    <w:basedOn w:val="P381"/>
    <w:next w:val="P567"/>
    <w:pPr>
      <w:ind w:left="792"/>
    </w:pPr>
    <w:rPr/>
  </w:style>
  <w:style w:type="paragraph" w:styleId="P568">
    <w:name w:val="YSparagraph-f"/>
    <w:basedOn w:val="P383"/>
    <w:next w:val="P568"/>
    <w:pPr/>
    <w:rPr/>
  </w:style>
  <w:style w:type="paragraph" w:styleId="P569">
    <w:name w:val="YprocSparagraph-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defsubpara-f"/>
    <w:basedOn w:val="P538"/>
    <w:next w:val="P642"/>
    <w:pPr/>
    <w:rPr/>
  </w:style>
  <w:style w:type="paragraph" w:styleId="P643">
    <w:name w:val="Yprocdefsubpara-e"/>
    <w:basedOn w:val="P538"/>
    <w:next w:val="P643"/>
    <w:pPr>
      <w:tabs>
        <w:tab w:val="right" w:pos="1078" w:leader="none"/>
        <w:tab w:val="left" w:pos="1195" w:leader="none"/>
      </w:tabs>
      <w:ind w:left="1195"/>
    </w:pPr>
    <w:rPr/>
  </w:style>
  <w:style w:type="paragraph" w:styleId="P644">
    <w:name w:val="YSsubpara-f"/>
    <w:basedOn w:val="P541"/>
    <w:next w:val="P644"/>
    <w:pPr/>
    <w:rPr/>
  </w:style>
  <w:style w:type="paragraph" w:styleId="P645">
    <w:name w:val="YprocSsubpara-f"/>
    <w:basedOn w:val="P543"/>
    <w:next w:val="P645"/>
    <w:pPr/>
    <w:rPr/>
  </w:style>
  <w:style w:type="paragraph" w:styleId="P646">
    <w:name w:val="Yprocsubpara-f"/>
    <w:basedOn w:val="P544"/>
    <w:next w:val="P646"/>
    <w:pPr/>
    <w:rPr/>
  </w:style>
  <w:style w:type="paragraph" w:styleId="P647">
    <w:name w:val="Yequationind2-f"/>
    <w:basedOn w:val="P546"/>
    <w:next w:val="P647"/>
    <w:pPr>
      <w:shd w:val="clear" w:fill="D9D9D9"/>
    </w:pPr>
    <w:rPr/>
  </w:style>
  <w:style w:type="paragraph" w:styleId="P648">
    <w:name w:val="Yprocdefparagraph-f"/>
    <w:basedOn w:val="P549"/>
    <w:next w:val="P648"/>
    <w:pPr/>
    <w:rPr/>
  </w:style>
  <w:style w:type="paragraph" w:styleId="P649">
    <w:name w:val="Ydefsubsubpara-f"/>
    <w:basedOn w:val="P550"/>
    <w:next w:val="P649"/>
    <w:pPr/>
    <w:rPr/>
  </w:style>
  <w:style w:type="paragraph" w:styleId="P650">
    <w:name w:val="Yprocdefsubsubpara-e"/>
    <w:basedOn w:val="P550"/>
    <w:next w:val="P650"/>
    <w:pPr>
      <w:tabs>
        <w:tab w:val="right" w:pos="1555" w:leader="none"/>
        <w:tab w:val="left" w:pos="1675" w:leader="none"/>
      </w:tabs>
      <w:ind w:left="1675"/>
    </w:pPr>
    <w:rPr/>
  </w:style>
  <w:style w:type="paragraph" w:styleId="P651">
    <w:name w:val="YSsubsubpara-f"/>
    <w:basedOn w:val="P553"/>
    <w:next w:val="P651"/>
    <w:pPr/>
    <w:rPr/>
  </w:style>
  <w:style w:type="paragraph" w:styleId="P652">
    <w:name w:val="YprocSsubsubpara-f"/>
    <w:basedOn w:val="P555"/>
    <w:next w:val="P652"/>
    <w:pPr/>
    <w:rPr/>
  </w:style>
  <w:style w:type="paragraph" w:styleId="P653">
    <w:name w:val="Yprocsubsubpara-f"/>
    <w:basedOn w:val="P556"/>
    <w:next w:val="P653"/>
    <w:pPr/>
    <w:rPr/>
  </w:style>
  <w:style w:type="paragraph" w:styleId="P654">
    <w:name w:val="Yequationind3-f"/>
    <w:basedOn w:val="P558"/>
    <w:next w:val="P654"/>
    <w:pPr>
      <w:shd w:val="clear" w:fill="D9D9D9"/>
    </w:pPr>
    <w:rPr/>
  </w:style>
  <w:style w:type="paragraph" w:styleId="P655">
    <w:name w:val="Yprocsubsubsubpara-f"/>
    <w:basedOn w:val="P562"/>
    <w:next w:val="P655"/>
    <w:pPr/>
    <w:rPr/>
  </w:style>
  <w:style w:type="paragraph" w:styleId="P656">
    <w:name w:val="Yequationind4-f"/>
    <w:basedOn w:val="P564"/>
    <w:next w:val="P656"/>
    <w:pPr>
      <w:shd w:val="clear" w:fill="D9D9D9"/>
    </w:pPr>
    <w:rPr/>
  </w:style>
  <w:style w:type="paragraph" w:styleId="P657">
    <w:name w:val="YprocSdefpara-f"/>
    <w:basedOn w:val="P567"/>
    <w:next w:val="P657"/>
    <w:pPr/>
    <w:rPr/>
  </w:style>
  <w:style w:type="paragraph" w:styleId="P658">
    <w:name w:val="YprocSparagraph-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3"/>
    <w:next w:val="P686"/>
    <w:pPr/>
    <w:rPr/>
  </w:style>
  <w:style w:type="paragraph" w:styleId="P687">
    <w:name w:val="Yprocdefsubsubpara-f"/>
    <w:basedOn w:val="P650"/>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Comment Reference"/>
    <w:basedOn w:val="C0"/>
    <w:rPr>
      <w:sz w:val="16"/>
    </w:rPr>
  </w:style>
  <w:style w:type="character" w:styleId="C8">
    <w:name w:val="Emphasis"/>
    <w:basedOn w:val="C0"/>
    <w:rPr>
      <w:i w:val="1"/>
    </w:rPr>
  </w:style>
  <w:style w:type="character" w:styleId="C9">
    <w:name w:val="Endnote Reference"/>
    <w:basedOn w:val="C0"/>
    <w:rPr>
      <w:vertAlign w:val="superscript"/>
    </w:rPr>
  </w:style>
  <w:style w:type="character" w:styleId="C10">
    <w:name w:val="FollowedHyperlink"/>
    <w:basedOn w:val="C0"/>
    <w:rPr>
      <w:color w:val="800080"/>
      <w:u w:val="single"/>
    </w:rPr>
  </w:style>
  <w:style w:type="character" w:styleId="C11">
    <w:name w:val="Footnote Reference"/>
    <w:basedOn w:val="C0"/>
    <w:rPr>
      <w:vertAlign w:val="superscript"/>
    </w:rPr>
  </w:style>
  <w:style w:type="character" w:styleId="C12">
    <w:name w:val="HTML Acronym"/>
    <w:basedOn w:val="C0"/>
    <w:rPr/>
  </w:style>
  <w:style w:type="character" w:styleId="C13">
    <w:name w:val="HTML Cite"/>
    <w:basedOn w:val="C0"/>
    <w:rPr>
      <w:i w:val="1"/>
    </w:rPr>
  </w:style>
  <w:style w:type="character" w:styleId="C14">
    <w:name w:val="HTML Code"/>
    <w:basedOn w:val="C0"/>
    <w:rPr>
      <w:rFonts w:ascii="Courier New" w:hAnsi="Courier New"/>
      <w:sz w:val="20"/>
    </w:rPr>
  </w:style>
  <w:style w:type="character" w:styleId="C15">
    <w:name w:val="HTML Definition"/>
    <w:basedOn w:val="C0"/>
    <w:rPr>
      <w:i w:val="1"/>
    </w:rPr>
  </w:style>
  <w:style w:type="character" w:styleId="C16">
    <w:name w:val="HTML Keyboard"/>
    <w:basedOn w:val="C0"/>
    <w:rPr>
      <w:rFonts w:ascii="Courier New" w:hAnsi="Courier New"/>
      <w:sz w:val="20"/>
    </w:rPr>
  </w:style>
  <w:style w:type="character" w:styleId="C17">
    <w:name w:val="HTML Sample"/>
    <w:basedOn w:val="C0"/>
    <w:rPr>
      <w:rFonts w:ascii="Courier New" w:hAnsi="Courier New"/>
    </w:rPr>
  </w:style>
  <w:style w:type="character" w:styleId="C18">
    <w:name w:val="HTML Typewriter"/>
    <w:basedOn w:val="C0"/>
    <w:rPr>
      <w:rFonts w:ascii="Courier New" w:hAnsi="Courier New"/>
      <w:sz w:val="20"/>
    </w:rPr>
  </w:style>
  <w:style w:type="character" w:styleId="C19">
    <w:name w:val="HTML Variable"/>
    <w:basedOn w:val="C0"/>
    <w:rPr>
      <w:i w:val="1"/>
    </w:rPr>
  </w:style>
  <w:style w:type="character" w:styleId="C20">
    <w:name w:val="StatuteChap"/>
    <w:basedOn w:val="C0"/>
    <w:rPr>
      <w:rFonts w:ascii="Times New Roman" w:hAnsi="Times New Roman"/>
      <w:sz w:val="20"/>
    </w:rPr>
  </w:style>
  <w:style w:type="character" w:styleId="C21">
    <w:name w:val="ovbold"/>
    <w:basedOn w:val="C0"/>
    <w:rPr>
      <w:b w:val="1"/>
    </w:rPr>
  </w:style>
  <w:style w:type="character" w:styleId="C22">
    <w:name w:val="ovitalic"/>
    <w:basedOn w:val="C0"/>
    <w:rPr>
      <w:i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0"/>
    <w:rPr/>
  </w:style>
  <w:style w:type="character" w:styleId="C28">
    <w:name w:val="StatutePageNum"/>
    <w:basedOn w:val="C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2000-08-21T19:59:00Z</dcterms:created>
  <cp:lastModifiedBy>Sud, Manu (MEDJCT)</cp:lastModifiedBy>
  <dcterms:modified xsi:type="dcterms:W3CDTF">2019-01-10T16:39:21Z</dcterms:modified>
  <cp:revision>18</cp:revision>
  <dc:subject>EXEMPTION — THE MUNICIPALITY OF  METROPOLITAN TORONTO AND  TORONTO TRANSIT COMMISSION</dc:subject>
  <dc:title>Environmental Assessment Act - O. Reg. 290/95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19950510</vt:lpwstr>
  </property>
  <property fmtid="{D5CDD505-2E9C-101B-9397-08002B2CF9AE}" pid="3" name="To Date">
    <vt:lpwstr>Present</vt:lpwstr>
  </property>
</Properties>
</file>