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52C3391" Type="http://schemas.openxmlformats.org/package/2006/relationships/metadata/core-properties" Target="docProps/core.xml"/><Relationship Id="customR252C3391" Type="http://schemas.openxmlformats.org/officeDocument/2006/relationships/custom-properties" Target="docProps/custom.xml"/><Relationship Id="R252C3391"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52"/>
      </w:pPr>
      <w:r>
        <w:t>Environmental Assessment Act</w:t>
        <w:br w:type="textWrapping"/>
        <w:t>Loi sur les évaluations environnementales</w:t>
      </w:r>
    </w:p>
    <w:p>
      <w:pPr>
        <w:pStyle w:val="P6"/>
        <w:rPr>
          <w:b w:val="1"/>
        </w:rPr>
      </w:pPr>
      <w:r>
        <w:t>ONTARIO REGULATION 414/93</w:t>
      </w:r>
    </w:p>
    <w:p>
      <w:pPr>
        <w:pStyle w:val="P7"/>
      </w:pPr>
      <w:r>
        <w:t>EXEMPTION — THE CORPORATION OF THE CITY OF PORT COLBORNE — PC-M-1</w:t>
      </w:r>
    </w:p>
    <w:p>
      <w:pPr>
        <w:pStyle w:val="P70"/>
      </w:pPr>
      <w:r>
        <w:rPr>
          <w:b w:val="1"/>
        </w:rPr>
        <w:t>Consolidation Period:</w:t>
      </w:r>
      <w:r>
        <w:t xml:space="preserve">  From July 12, 1993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City of Port Colborne (the “proponent”) that an undertaking, namely:</w:t>
      </w:r>
    </w:p>
    <w:p>
      <w:pPr>
        <w:pStyle w:val="P4"/>
      </w:pPr>
      <w:r>
        <w:t>the expansion, operation and closure of the existing landfill located on Part of Lot 29, Concession 3, in the City of Port Colborne, for the disposal of domestic, commercial and solid non-hazardous industrial waste as described in Emergency Provincial Certificate of Approval No. A120302,</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and property indicated will occur:</w:t>
      </w:r>
    </w:p>
    <w:p>
      <w:pPr>
        <w:pStyle w:val="P2"/>
      </w:pPr>
      <w:r>
        <w:tab/>
        <w:t>A.</w:t>
        <w:tab/>
        <w:t>The proponent and its residents will be without a municipal solid waste disposal facility, which will compromise public health.</w:t>
      </w:r>
    </w:p>
    <w:p>
      <w:pPr>
        <w:pStyle w:val="P2"/>
      </w:pPr>
      <w:r>
        <w:tab/>
        <w:t>B.</w:t>
        <w:tab/>
        <w:t>Disposal of waste outside the City boundaries requires transportation over long distances which affects the environment and disposal rights of others.</w:t>
      </w:r>
    </w:p>
    <w:p>
      <w:pPr>
        <w:pStyle w:val="P2"/>
      </w:pPr>
      <w:r>
        <w:t xml:space="preserve">  </w:t>
      </w:r>
      <w:r>
        <w:rPr/>
        <w:tab/>
        <w:t>C.</w:t>
        <w:tab/>
        <w:t xml:space="preserve">The proponent and its residents will be subject to the delay of improved facilities at the site if it is </w:t>
      </w:r>
      <w:r>
        <w:rPr>
          <w:highlight w:val="cyan"/>
        </w:rPr>
        <w:t>required</w:t>
      </w:r>
      <w:r>
        <w:rPr/>
        <w:t xml:space="preserve"> to prepare an environmental assessment for the undertaking. Such a delay could result in negative impacts to the public health and natural environment.</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operation of the existing landfill is clearly an interim measure for which there are no other reasonable waste management alternatives which can be implemented within the necessary time frame.</w:t>
      </w:r>
    </w:p>
    <w:p>
      <w:pPr>
        <w:pStyle w:val="P2"/>
      </w:pPr>
      <w:r>
        <w:tab/>
        <w:t>B.</w:t>
        <w:tab/>
        <w:t>Alternatives have been investigated.</w:t>
      </w:r>
    </w:p>
    <w:p>
      <w:pPr>
        <w:pStyle w:val="P2"/>
      </w:pPr>
      <w:r>
        <w:tab/>
        <w:t>C.</w:t>
        <w:tab/>
        <w:t xml:space="preserve">A mandatory public hearing under Part V of the </w:t>
      </w:r>
      <w:r>
        <w:rPr>
          <w:rStyle w:val="C20"/>
        </w:rPr>
        <w:t>Environmental Protection Act</w:t>
      </w:r>
      <w:r>
        <w:t xml:space="preserve"> for the approval of the expansion of the fill contours will be held.</w:t>
      </w:r>
    </w:p>
    <w:p>
      <w:pPr>
        <w:pStyle w:val="P2"/>
      </w:pPr>
      <w:r>
        <w:tab/>
        <w:t>D.</w:t>
        <w:tab/>
        <w:t>The proponent is participating in the development of Port Colborne/Fort Erie’s Waste Management Master Plan, which is proceeding expeditiously to, among other things, locate a site for the proponent’s waste.</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No waste </w:t>
      </w:r>
      <w:r>
        <w:rPr>
          <w:highlight w:val="yellow"/>
        </w:rPr>
        <w:t>shall</w:t>
      </w:r>
      <w:r>
        <w:rPr/>
        <w:t xml:space="preserve"> be disposed of by the proponent pursuant to this order after the earlier of:</w:t>
      </w:r>
    </w:p>
    <w:p>
      <w:pPr>
        <w:pStyle w:val="P167"/>
      </w:pPr>
      <w:r>
        <w:tab/>
        <w:t>i.</w:t>
        <w:tab/>
        <w:t>five years after a Provisional Certificate of Approval for the waste disposal site has been issued pursuant to this order, and</w:t>
      </w:r>
    </w:p>
    <w:p>
      <w:pPr>
        <w:pStyle w:val="P167"/>
      </w:pPr>
      <w:r>
        <w:tab/>
        <w:t>ii.</w:t>
        <w:tab/>
        <w:t>the commencement of operations of a waste disposal site pursuant to the Port Colborne/Fort Erie Waste Management Master Plan,</w:t>
      </w:r>
    </w:p>
    <w:p>
      <w:pPr>
        <w:pStyle w:val="P168"/>
      </w:pPr>
      <w:r>
        <w:t xml:space="preserve">  </w:t>
      </w:r>
      <w:r>
        <w:rPr/>
        <w:t xml:space="preserve">unless an application for an approval under the </w:t>
      </w:r>
      <w:r>
        <w:rPr>
          <w:rStyle w:val="C20"/>
        </w:rPr>
        <w:t>Environmental Assessment Act</w:t>
      </w:r>
      <w:r>
        <w:rPr/>
        <w:t xml:space="preserve"> for an undertaking under the Port Colborne/Fort Erie Waste Management Master Plan which includes a waste disposal site proposed for use for waste from the proponent has been submitted to the Minister under the Act, in which case, no waste </w:t>
      </w:r>
      <w:r>
        <w:rPr>
          <w:highlight w:val="yellow"/>
        </w:rPr>
        <w:t>shall</w:t>
      </w:r>
      <w:r>
        <w:rPr/>
        <w:t xml:space="preserve"> be disposed of by the proponent pursuant to this order more than one year after a decision is made under the Act to approve or not approve the undertaking.  O.Reg. 414/93.</w:t>
      </w:r>
    </w:p>
    <w:p>
      <w:pPr>
        <w:pStyle w:val="P168"/>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7"/>
      <w:rPr>
        <w:rStyle w:val="C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7"/>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0E7ED7D">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C2902B1">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938F8D7">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4F2A020">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C902E8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Block Text"/>
    <w:basedOn w:val="P0"/>
    <w:next w:val="P80"/>
    <w:pPr>
      <w:spacing w:after="120"/>
      <w:ind w:left="1440" w:right="1440"/>
    </w:pPr>
    <w:rPr/>
  </w:style>
  <w:style w:type="paragraph" w:styleId="P81">
    <w:name w:val="Plain Text"/>
    <w:basedOn w:val="P0"/>
    <w:next w:val="P81"/>
    <w:pPr/>
    <w:rPr>
      <w:rFonts w:ascii="Courier New" w:hAnsi="Courier New"/>
    </w:rPr>
  </w:style>
  <w:style w:type="paragraph" w:styleId="P82">
    <w:name w:val="Body Text"/>
    <w:basedOn w:val="P0"/>
    <w:next w:val="P82"/>
    <w:pPr>
      <w:spacing w:after="120"/>
    </w:pPr>
    <w:rPr/>
  </w:style>
  <w:style w:type="paragraph" w:styleId="P83">
    <w:name w:val="Body Text 2"/>
    <w:basedOn w:val="P0"/>
    <w:next w:val="P83"/>
    <w:pPr>
      <w:spacing w:lineRule="auto" w:line="480" w:after="120"/>
    </w:pPr>
    <w:rPr/>
  </w:style>
  <w:style w:type="paragraph" w:styleId="P84">
    <w:name w:val="Body Text 3"/>
    <w:basedOn w:val="P0"/>
    <w:next w:val="P84"/>
    <w:pPr>
      <w:spacing w:after="120"/>
    </w:pPr>
    <w:rPr>
      <w:sz w:val="16"/>
    </w:rPr>
  </w:style>
  <w:style w:type="paragraph" w:styleId="P85">
    <w:name w:val="Date"/>
    <w:basedOn w:val="P0"/>
    <w:next w:val="P0"/>
    <w:pPr/>
    <w:rPr/>
  </w:style>
  <w:style w:type="paragraph" w:styleId="P86">
    <w:name w:val="Document Map"/>
    <w:basedOn w:val="P0"/>
    <w:next w:val="P86"/>
    <w:pPr>
      <w:shd w:val="clear" w:fill="000080"/>
    </w:pPr>
    <w:rPr>
      <w:rFonts w:ascii="Tahoma" w:hAnsi="Tahoma"/>
    </w:rPr>
  </w:style>
  <w:style w:type="paragraph" w:styleId="P87">
    <w:name w:val="List"/>
    <w:basedOn w:val="P0"/>
    <w:next w:val="P87"/>
    <w:pPr>
      <w:ind w:hanging="283" w:left="283"/>
    </w:pPr>
    <w:rPr/>
  </w:style>
  <w:style w:type="paragraph" w:styleId="P88">
    <w:name w:val="Normal Indent"/>
    <w:basedOn w:val="P0"/>
    <w:next w:val="P88"/>
    <w:pPr>
      <w:ind w:left="720"/>
    </w:pPr>
    <w:rPr/>
  </w:style>
  <w:style w:type="paragraph" w:styleId="P89">
    <w:name w:val="Salutation"/>
    <w:basedOn w:val="P0"/>
    <w:next w:val="P0"/>
    <w:pPr/>
    <w:rPr/>
  </w:style>
  <w:style w:type="paragraph" w:styleId="P90">
    <w:name w:val="Signature"/>
    <w:basedOn w:val="P0"/>
    <w:next w:val="P90"/>
    <w:pPr>
      <w:ind w:left="4252"/>
    </w:pPr>
    <w:rPr/>
  </w:style>
  <w:style w:type="paragraph" w:styleId="P91">
    <w:name w:val="Subtitle"/>
    <w:basedOn w:val="P0"/>
    <w:next w:val="P91"/>
    <w:pPr>
      <w:spacing w:after="60"/>
      <w:jc w:val="center"/>
      <w:outlineLvl w:val="1"/>
    </w:pPr>
    <w:rPr>
      <w:rFonts w:ascii="Arial" w:hAnsi="Arial"/>
      <w:sz w:val="24"/>
    </w:rPr>
  </w:style>
  <w:style w:type="paragraph" w:styleId="P92">
    <w:name w:val="Table of Authorities"/>
    <w:basedOn w:val="P0"/>
    <w:next w:val="P0"/>
    <w:pPr>
      <w:ind w:hanging="200" w:left="200"/>
    </w:pPr>
    <w:rPr/>
  </w:style>
  <w:style w:type="paragraph" w:styleId="P93">
    <w:name w:val="Table of Figures"/>
    <w:basedOn w:val="P0"/>
    <w:next w:val="P0"/>
    <w:pPr>
      <w:ind w:hanging="400" w:left="400"/>
    </w:pPr>
    <w:rPr/>
  </w:style>
  <w:style w:type="paragraph" w:styleId="P94">
    <w:name w:val="Title"/>
    <w:basedOn w:val="P0"/>
    <w:next w:val="P94"/>
    <w:pPr>
      <w:spacing w:before="240" w:after="60"/>
      <w:jc w:val="center"/>
      <w:outlineLvl w:val="0"/>
    </w:pPr>
    <w:rPr>
      <w:rFonts w:ascii="Arial" w:hAnsi="Arial"/>
      <w:b w:val="1"/>
      <w:sz w:val="32"/>
    </w:rPr>
  </w:style>
  <w:style w:type="paragraph" w:styleId="P95">
    <w:name w:val="TOA Heading"/>
    <w:basedOn w:val="P0"/>
    <w:next w:val="P0"/>
    <w:pPr>
      <w:spacing w:before="120"/>
    </w:pPr>
    <w:rPr>
      <w:rFonts w:ascii="Arial" w:hAnsi="Arial"/>
      <w:b w:val="1"/>
      <w:sz w:val="24"/>
    </w:rPr>
  </w:style>
  <w:style w:type="paragraph" w:styleId="P96">
    <w:name w:val="Header"/>
    <w:basedOn w:val="P0"/>
    <w:next w:val="P96"/>
    <w:pPr>
      <w:tabs>
        <w:tab w:val="center" w:pos="4320" w:leader="none"/>
        <w:tab w:val="right" w:pos="8640" w:leader="none"/>
      </w:tabs>
    </w:pPr>
    <w:rPr/>
  </w:style>
  <w:style w:type="paragraph" w:styleId="P97">
    <w:name w:val="Footer"/>
    <w:basedOn w:val="P0"/>
    <w:next w:val="P97"/>
    <w:pPr>
      <w:tabs>
        <w:tab w:val="center" w:pos="4320" w:leader="none"/>
        <w:tab w:val="right" w:pos="8640" w:leader="none"/>
      </w:tabs>
    </w:pPr>
    <w:rPr/>
  </w:style>
  <w:style w:type="paragraph" w:styleId="P98">
    <w:name w:val="Body Text Indent 2"/>
    <w:basedOn w:val="P0"/>
    <w:next w:val="P98"/>
    <w:pPr>
      <w:spacing w:lineRule="auto" w:line="480" w:after="120"/>
      <w:ind w:left="283"/>
    </w:pPr>
    <w:rPr/>
  </w:style>
  <w:style w:type="paragraph" w:styleId="P99">
    <w:name w:val="Endnote Text"/>
    <w:basedOn w:val="P0"/>
    <w:next w:val="P99"/>
    <w:pPr/>
    <w:rPr/>
  </w:style>
  <w:style w:type="paragraph" w:styleId="P100">
    <w:name w:val="TOC 1"/>
    <w:basedOn w:val="P0"/>
    <w:next w:val="P0"/>
    <w:pPr/>
    <w:rPr/>
  </w:style>
  <w:style w:type="paragraph" w:styleId="P101">
    <w:name w:val="TOC 2"/>
    <w:basedOn w:val="P0"/>
    <w:next w:val="P0"/>
    <w:pPr>
      <w:ind w:left="200"/>
    </w:pPr>
    <w:rPr/>
  </w:style>
  <w:style w:type="paragraph" w:styleId="P102">
    <w:name w:val="TOC 3"/>
    <w:basedOn w:val="P0"/>
    <w:next w:val="P0"/>
    <w:pPr>
      <w:ind w:left="400"/>
    </w:pPr>
    <w:rPr/>
  </w:style>
  <w:style w:type="paragraph" w:styleId="P103">
    <w:name w:val="TOC 4"/>
    <w:basedOn w:val="P0"/>
    <w:next w:val="P0"/>
    <w:pPr>
      <w:ind w:left="600"/>
    </w:pPr>
    <w:rPr/>
  </w:style>
  <w:style w:type="paragraph" w:styleId="P104">
    <w:name w:val="TOC 5"/>
    <w:basedOn w:val="P0"/>
    <w:next w:val="P0"/>
    <w:pPr>
      <w:ind w:left="800"/>
    </w:pPr>
    <w:rPr/>
  </w:style>
  <w:style w:type="paragraph" w:styleId="P105">
    <w:name w:val="TOC 6"/>
    <w:basedOn w:val="P0"/>
    <w:next w:val="P0"/>
    <w:pPr>
      <w:ind w:left="1000"/>
    </w:pPr>
    <w:rPr/>
  </w:style>
  <w:style w:type="paragraph" w:styleId="P106">
    <w:name w:val="TOC 7"/>
    <w:basedOn w:val="P0"/>
    <w:next w:val="P0"/>
    <w:pPr>
      <w:ind w:left="1200"/>
    </w:pPr>
    <w:rPr/>
  </w:style>
  <w:style w:type="paragraph" w:styleId="P107">
    <w:name w:val="TOC 8"/>
    <w:basedOn w:val="P0"/>
    <w:next w:val="P0"/>
    <w:pPr>
      <w:ind w:left="1400"/>
    </w:pPr>
    <w:rPr/>
  </w:style>
  <w:style w:type="paragraph" w:styleId="P108">
    <w:name w:val="TOC 9"/>
    <w:basedOn w:val="P0"/>
    <w:next w:val="P0"/>
    <w:pPr>
      <w:ind w:left="1600"/>
    </w:pPr>
    <w:rPr/>
  </w:style>
  <w:style w:type="paragraph" w:styleId="P109">
    <w:name w:val="Body Text Indent 3"/>
    <w:basedOn w:val="P0"/>
    <w:next w:val="P109"/>
    <w:pPr>
      <w:spacing w:after="120"/>
      <w:ind w:left="283"/>
    </w:pPr>
    <w:rPr>
      <w:sz w:val="16"/>
    </w:rPr>
  </w:style>
  <w:style w:type="paragraph" w:styleId="P110">
    <w:name w:val="Caption"/>
    <w:basedOn w:val="P0"/>
    <w:next w:val="P0"/>
    <w:pPr>
      <w:spacing w:before="120" w:after="120"/>
    </w:pPr>
    <w:rPr>
      <w:b w:val="1"/>
    </w:rPr>
  </w:style>
  <w:style w:type="paragraph" w:styleId="P111">
    <w:name w:val="Closing"/>
    <w:basedOn w:val="P0"/>
    <w:next w:val="P111"/>
    <w:pPr>
      <w:ind w:left="4252"/>
    </w:pPr>
    <w:rPr/>
  </w:style>
  <w:style w:type="paragraph" w:styleId="P112">
    <w:name w:val="Comment Text"/>
    <w:basedOn w:val="P0"/>
    <w:next w:val="P112"/>
    <w:pPr/>
    <w:rPr/>
  </w:style>
  <w:style w:type="paragraph" w:styleId="P113">
    <w:name w:val="Body Text Indent"/>
    <w:basedOn w:val="P0"/>
    <w:next w:val="P113"/>
    <w:pPr>
      <w:spacing w:after="120"/>
      <w:ind w:left="360"/>
    </w:pPr>
    <w:rPr/>
  </w:style>
  <w:style w:type="paragraph" w:styleId="P114">
    <w:name w:val="E-mail Signature"/>
    <w:basedOn w:val="P0"/>
    <w:next w:val="P114"/>
    <w:pPr/>
    <w:rPr/>
  </w:style>
  <w:style w:type="paragraph" w:styleId="P115">
    <w:name w:val="Envelope Address"/>
    <w:basedOn w:val="P0"/>
    <w:next w:val="P115"/>
    <w:pPr>
      <w:framePr w:w="7920" w:h="1980" w:hRule="exact" w:vAnchor="margin" w:hAnchor="page" w:x="-4" w:y="-12"/>
      <w:ind w:left="2880"/>
    </w:pPr>
    <w:rPr>
      <w:rFonts w:ascii="Arial" w:hAnsi="Arial"/>
      <w:sz w:val="24"/>
    </w:rPr>
  </w:style>
  <w:style w:type="paragraph" w:styleId="P116">
    <w:name w:val="Envelope Return"/>
    <w:basedOn w:val="P0"/>
    <w:next w:val="P116"/>
    <w:pPr/>
    <w:rPr>
      <w:rFonts w:ascii="Arial" w:hAnsi="Arial"/>
    </w:rPr>
  </w:style>
  <w:style w:type="paragraph" w:styleId="P117">
    <w:name w:val="Footnote Text"/>
    <w:basedOn w:val="P0"/>
    <w:next w:val="P117"/>
    <w:pPr/>
    <w:rPr/>
  </w:style>
  <w:style w:type="paragraph" w:styleId="P118">
    <w:name w:val="HTML Address"/>
    <w:basedOn w:val="P0"/>
    <w:next w:val="P118"/>
    <w:pPr/>
    <w:rPr>
      <w:i w:val="1"/>
    </w:rPr>
  </w:style>
  <w:style w:type="paragraph" w:styleId="P119">
    <w:name w:val="HTML Preformatted"/>
    <w:basedOn w:val="P0"/>
    <w:next w:val="P119"/>
    <w:pPr/>
    <w:rPr>
      <w:rFonts w:ascii="Courier New" w:hAnsi="Courier New"/>
    </w:rPr>
  </w:style>
  <w:style w:type="paragraph" w:styleId="P120">
    <w:name w:val="Index 1"/>
    <w:basedOn w:val="P0"/>
    <w:next w:val="P0"/>
    <w:pPr>
      <w:ind w:hanging="200" w:left="200"/>
    </w:pPr>
    <w:rPr/>
  </w:style>
  <w:style w:type="paragraph" w:styleId="P121">
    <w:name w:val="Index 2"/>
    <w:basedOn w:val="P0"/>
    <w:next w:val="P0"/>
    <w:pPr>
      <w:ind w:hanging="200" w:left="400"/>
    </w:pPr>
    <w:rPr/>
  </w:style>
  <w:style w:type="paragraph" w:styleId="P122">
    <w:name w:val="Index 3"/>
    <w:basedOn w:val="P0"/>
    <w:next w:val="P0"/>
    <w:pPr>
      <w:ind w:hanging="200" w:left="600"/>
    </w:pPr>
    <w:rPr/>
  </w:style>
  <w:style w:type="paragraph" w:styleId="P123">
    <w:name w:val="Index 4"/>
    <w:basedOn w:val="P0"/>
    <w:next w:val="P0"/>
    <w:pPr>
      <w:ind w:hanging="200" w:left="800"/>
    </w:pPr>
    <w:rPr/>
  </w:style>
  <w:style w:type="paragraph" w:styleId="P124">
    <w:name w:val="Index 5"/>
    <w:basedOn w:val="P0"/>
    <w:next w:val="P0"/>
    <w:pPr>
      <w:ind w:hanging="200" w:left="1000"/>
    </w:pPr>
    <w:rPr/>
  </w:style>
  <w:style w:type="paragraph" w:styleId="P125">
    <w:name w:val="Index 6"/>
    <w:basedOn w:val="P0"/>
    <w:next w:val="P0"/>
    <w:pPr>
      <w:ind w:hanging="200" w:left="1200"/>
    </w:pPr>
    <w:rPr/>
  </w:style>
  <w:style w:type="paragraph" w:styleId="P126">
    <w:name w:val="Index 7"/>
    <w:basedOn w:val="P0"/>
    <w:next w:val="P0"/>
    <w:pPr>
      <w:ind w:hanging="200" w:left="1400"/>
    </w:pPr>
    <w:rPr/>
  </w:style>
  <w:style w:type="paragraph" w:styleId="P127">
    <w:name w:val="Index 8"/>
    <w:basedOn w:val="P0"/>
    <w:next w:val="P0"/>
    <w:pPr>
      <w:ind w:hanging="200" w:left="1600"/>
    </w:pPr>
    <w:rPr/>
  </w:style>
  <w:style w:type="paragraph" w:styleId="P128">
    <w:name w:val="Index 9"/>
    <w:basedOn w:val="P0"/>
    <w:next w:val="P0"/>
    <w:pPr>
      <w:ind w:hanging="200" w:left="1800"/>
    </w:pPr>
    <w:rPr/>
  </w:style>
  <w:style w:type="paragraph" w:styleId="P129">
    <w:name w:val="Index Heading"/>
    <w:basedOn w:val="P0"/>
    <w:next w:val="P120"/>
    <w:pPr/>
    <w:rPr>
      <w:rFonts w:ascii="Arial" w:hAnsi="Arial"/>
      <w:b w:val="1"/>
    </w:rPr>
  </w:style>
  <w:style w:type="paragraph" w:styleId="P130">
    <w:name w:val="List 2"/>
    <w:basedOn w:val="P0"/>
    <w:next w:val="P130"/>
    <w:pPr>
      <w:ind w:hanging="283" w:left="566"/>
    </w:pPr>
    <w:rPr/>
  </w:style>
  <w:style w:type="paragraph" w:styleId="P131">
    <w:name w:val="List 3"/>
    <w:basedOn w:val="P0"/>
    <w:next w:val="P131"/>
    <w:pPr>
      <w:ind w:hanging="283" w:left="849"/>
    </w:pPr>
    <w:rPr/>
  </w:style>
  <w:style w:type="paragraph" w:styleId="P132">
    <w:name w:val="List 4"/>
    <w:basedOn w:val="P0"/>
    <w:next w:val="P132"/>
    <w:pPr>
      <w:ind w:hanging="283" w:left="1132"/>
    </w:pPr>
    <w:rPr/>
  </w:style>
  <w:style w:type="paragraph" w:styleId="P133">
    <w:name w:val="List 5"/>
    <w:basedOn w:val="P0"/>
    <w:next w:val="P133"/>
    <w:pPr>
      <w:ind w:hanging="283" w:left="1415"/>
    </w:pPr>
    <w:rPr/>
  </w:style>
  <w:style w:type="paragraph" w:styleId="P134">
    <w:name w:val="List Bullet"/>
    <w:basedOn w:val="P0"/>
    <w:next w:val="P134"/>
    <w:pPr>
      <w:numPr>
        <w:numId w:val="4"/>
      </w:numPr>
    </w:pPr>
    <w:rPr/>
  </w:style>
  <w:style w:type="paragraph" w:styleId="P135">
    <w:name w:val="List Bullet 2"/>
    <w:basedOn w:val="P0"/>
    <w:next w:val="P135"/>
    <w:pPr>
      <w:numPr>
        <w:numId w:val="5"/>
      </w:numPr>
    </w:pPr>
    <w:rPr/>
  </w:style>
  <w:style w:type="paragraph" w:styleId="P136">
    <w:name w:val="List Bullet 3"/>
    <w:basedOn w:val="P0"/>
    <w:next w:val="P136"/>
    <w:pPr>
      <w:numPr>
        <w:numId w:val="6"/>
      </w:numPr>
    </w:pPr>
    <w:rPr/>
  </w:style>
  <w:style w:type="paragraph" w:styleId="P137">
    <w:name w:val="List Bullet 4"/>
    <w:basedOn w:val="P0"/>
    <w:next w:val="P137"/>
    <w:pPr>
      <w:numPr>
        <w:numId w:val="7"/>
      </w:numPr>
    </w:pPr>
    <w:rPr/>
  </w:style>
  <w:style w:type="paragraph" w:styleId="P138">
    <w:name w:val="List Bullet 5"/>
    <w:basedOn w:val="P0"/>
    <w:next w:val="P138"/>
    <w:pPr>
      <w:numPr>
        <w:numId w:val="8"/>
      </w:numPr>
    </w:pPr>
    <w:rPr/>
  </w:style>
  <w:style w:type="paragraph" w:styleId="P139">
    <w:name w:val="List Continue"/>
    <w:basedOn w:val="P0"/>
    <w:next w:val="P139"/>
    <w:pPr>
      <w:spacing w:after="120"/>
      <w:ind w:left="283"/>
    </w:pPr>
    <w:rPr/>
  </w:style>
  <w:style w:type="paragraph" w:styleId="P140">
    <w:name w:val="List Continue 2"/>
    <w:basedOn w:val="P0"/>
    <w:next w:val="P140"/>
    <w:pPr>
      <w:spacing w:after="120"/>
      <w:ind w:left="566"/>
    </w:pPr>
    <w:rPr/>
  </w:style>
  <w:style w:type="paragraph" w:styleId="P141">
    <w:name w:val="List Continue 3"/>
    <w:basedOn w:val="P0"/>
    <w:next w:val="P141"/>
    <w:pPr>
      <w:spacing w:after="120"/>
      <w:ind w:left="849"/>
    </w:pPr>
    <w:rPr/>
  </w:style>
  <w:style w:type="paragraph" w:styleId="P142">
    <w:name w:val="List Continue 4"/>
    <w:basedOn w:val="P0"/>
    <w:next w:val="P142"/>
    <w:pPr>
      <w:spacing w:after="120"/>
      <w:ind w:left="1132"/>
    </w:pPr>
    <w:rPr/>
  </w:style>
  <w:style w:type="paragraph" w:styleId="P143">
    <w:name w:val="List Continue 5"/>
    <w:basedOn w:val="P0"/>
    <w:next w:val="P143"/>
    <w:pPr>
      <w:spacing w:after="120"/>
      <w:ind w:left="1415"/>
    </w:pPr>
    <w:rPr/>
  </w:style>
  <w:style w:type="paragraph" w:styleId="P144">
    <w:name w:val="List Number"/>
    <w:basedOn w:val="P0"/>
    <w:next w:val="P144"/>
    <w:pPr>
      <w:numPr>
        <w:numId w:val="2"/>
      </w:numPr>
    </w:pPr>
    <w:rPr/>
  </w:style>
  <w:style w:type="paragraph" w:styleId="P145">
    <w:name w:val="List Number 2"/>
    <w:basedOn w:val="P0"/>
    <w:next w:val="P145"/>
    <w:pPr>
      <w:numPr>
        <w:numId w:val="1"/>
      </w:numPr>
    </w:pPr>
    <w:rPr/>
  </w:style>
  <w:style w:type="paragraph" w:styleId="P146">
    <w:name w:val="List Number 3"/>
    <w:basedOn w:val="P0"/>
    <w:next w:val="P146"/>
    <w:pPr>
      <w:numPr>
        <w:numId w:val="9"/>
      </w:numPr>
    </w:pPr>
    <w:rPr/>
  </w:style>
  <w:style w:type="paragraph" w:styleId="P147">
    <w:name w:val="List Number 4"/>
    <w:basedOn w:val="P0"/>
    <w:next w:val="P147"/>
    <w:pPr>
      <w:numPr>
        <w:numId w:val="3"/>
      </w:numPr>
    </w:pPr>
    <w:rPr/>
  </w:style>
  <w:style w:type="paragraph" w:styleId="P148">
    <w:name w:val="Message Header"/>
    <w:basedOn w:val="P0"/>
    <w:next w:val="P148"/>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49">
    <w:name w:val="List Number 5"/>
    <w:basedOn w:val="P0"/>
    <w:next w:val="P149"/>
    <w:pPr>
      <w:numPr>
        <w:numId w:val="10"/>
      </w:numPr>
    </w:pPr>
    <w:rPr/>
  </w:style>
  <w:style w:type="paragraph" w:styleId="P150">
    <w:name w:val="Note Heading"/>
    <w:basedOn w:val="P0"/>
    <w:next w:val="P0"/>
    <w:pPr/>
    <w:rPr/>
  </w:style>
  <w:style w:type="paragraph" w:styleId="P151">
    <w:name w:val="Normal (Web)"/>
    <w:basedOn w:val="P0"/>
    <w:next w:val="P151"/>
    <w:pPr/>
    <w:rPr>
      <w:sz w:val="24"/>
    </w:rPr>
  </w:style>
  <w:style w:type="paragraph" w:styleId="P152">
    <w:name w:val="shorttitle-e"/>
    <w:basedOn w:val="P0"/>
    <w:next w:val="P152"/>
    <w:pPr>
      <w:keepNext w:val="1"/>
      <w:tabs>
        <w:tab w:val="left" w:pos="0" w:leader="none"/>
      </w:tabs>
      <w:suppressAutoHyphens w:val="1"/>
      <w:spacing w:lineRule="exact" w:line="270" w:after="578"/>
      <w:jc w:val="center"/>
    </w:pPr>
    <w:rPr>
      <w:b w:val="1"/>
      <w:sz w:val="24"/>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w:basedOn w:val="P82"/>
    <w:next w:val="P340"/>
    <w:pPr>
      <w:ind w:firstLine="210"/>
    </w:pPr>
    <w:rPr/>
  </w:style>
  <w:style w:type="paragraph" w:styleId="P341">
    <w:name w:val="Body Text First Indent 2"/>
    <w:basedOn w:val="P113"/>
    <w:next w:val="P341"/>
    <w:pPr>
      <w:ind w:firstLine="210"/>
    </w:pPr>
    <w:rPr/>
  </w:style>
  <w:style w:type="paragraph" w:styleId="P342">
    <w:name w:val="shorttitle-f"/>
    <w:basedOn w:val="P152"/>
    <w:next w:val="P342"/>
    <w:pPr/>
    <w:rPr/>
  </w:style>
  <w:style w:type="paragraph" w:styleId="P343">
    <w:name w:val="Yshorttitle-e"/>
    <w:basedOn w:val="P152"/>
    <w:next w:val="P343"/>
    <w:pPr>
      <w:shd w:val="clear" w:fill="D9D9D9"/>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3"/>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HTML Acronym"/>
    <w:basedOn w:val="C0"/>
    <w:rPr/>
  </w:style>
  <w:style w:type="character" w:styleId="C6">
    <w:name w:val="Page Number"/>
    <w:basedOn w:val="C0"/>
    <w:rPr/>
  </w:style>
  <w:style w:type="character" w:styleId="C7">
    <w:name w:val="Endnote Reference"/>
    <w:basedOn w:val="C0"/>
    <w:rPr>
      <w:vertAlign w:val="superscript"/>
    </w:rPr>
  </w:style>
  <w:style w:type="character" w:styleId="C8">
    <w:name w:val="Comment Reference"/>
    <w:basedOn w:val="C0"/>
    <w:rPr>
      <w:sz w:val="16"/>
    </w:rPr>
  </w:style>
  <w:style w:type="character" w:styleId="C9">
    <w:name w:val="Emphasis"/>
    <w:basedOn w:val="C0"/>
    <w:rPr>
      <w:i w:val="1"/>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Cite"/>
    <w:basedOn w:val="C0"/>
    <w:rPr>
      <w:i w:val="1"/>
    </w:rPr>
  </w:style>
  <w:style w:type="character" w:styleId="C13">
    <w:name w:val="HTML Code"/>
    <w:basedOn w:val="C0"/>
    <w:rPr>
      <w:rFonts w:ascii="Courier New" w:hAnsi="Courier New"/>
      <w:sz w:val="20"/>
    </w:rPr>
  </w:style>
  <w:style w:type="character" w:styleId="C14">
    <w:name w:val="HTML Definition"/>
    <w:basedOn w:val="C0"/>
    <w:rPr>
      <w:i w:val="1"/>
    </w:rPr>
  </w:style>
  <w:style w:type="character" w:styleId="C15">
    <w:name w:val="HTML Keyboard"/>
    <w:basedOn w:val="C0"/>
    <w:rPr>
      <w:rFonts w:ascii="Courier New" w:hAnsi="Courier New"/>
      <w:sz w:val="20"/>
    </w:rPr>
  </w:style>
  <w:style w:type="character" w:styleId="C16">
    <w:name w:val="HTML Sample"/>
    <w:basedOn w:val="C0"/>
    <w:rPr>
      <w:rFonts w:ascii="Courier New" w:hAnsi="Courier New"/>
    </w:rPr>
  </w:style>
  <w:style w:type="character" w:styleId="C17">
    <w:name w:val="HTML Typewriter"/>
    <w:basedOn w:val="C0"/>
    <w:rPr>
      <w:rFonts w:ascii="Courier New" w:hAnsi="Courier New"/>
      <w:sz w:val="20"/>
    </w:rPr>
  </w:style>
  <w:style w:type="character" w:styleId="C18">
    <w:name w:val="HTML Variable"/>
    <w:basedOn w:val="C0"/>
    <w:rPr>
      <w:i w:val="1"/>
    </w:rPr>
  </w:style>
  <w:style w:type="character" w:styleId="C19">
    <w:name w:val="Strong"/>
    <w:basedOn w:val="C0"/>
    <w:rPr>
      <w:b w:val="1"/>
    </w:rPr>
  </w:style>
  <w:style w:type="character" w:styleId="C20">
    <w:name w:val="ovitalic"/>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2019-01-10T16:39:21Z</dcterms:modified>
  <cp:revision>18</cp:revision>
  <dc:subject>EXEMPTION — THE CORPORATION OF THE CITY OF PORT COLBORNE — PC-M-1</dc:subject>
  <dc:title>Environmental Assessment Act - O. Reg. 414/93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19930712</vt:lpwstr>
  </property>
  <property fmtid="{D5CDD505-2E9C-101B-9397-08002B2CF9AE}" pid="3" name="To Date">
    <vt:lpwstr>Present</vt:lpwstr>
  </property>
</Properties>
</file>