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4033707F" Type="http://schemas.openxmlformats.org/package/2006/relationships/metadata/core-properties" Target="docProps/core.xml"/><Relationship Id="customR4033707F" Type="http://schemas.openxmlformats.org/officeDocument/2006/relationships/custom-properties" Target="docProps/custom.xml"/><Relationship Id="R4033707F"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"http://www.ontario.ca/fr/lois/reglement/120350" </w:instrText>
      </w:r>
      <w:r>
        <w:fldChar w:fldCharType="separate"/>
      </w:r>
      <w:r>
        <w:rPr>
          <w:rStyle w:val="C2"/>
        </w:rPr>
        <w:t>Français</w:t>
      </w:r>
      <w:r>
        <w:fldChar w:fldCharType="end"/>
      </w:r>
    </w:p>
    <w:p>
      <w:pPr>
        <w:pStyle w:val="P18"/>
      </w:pPr>
      <w:r>
        <w:t>Environmental Protection Act</w:t>
      </w:r>
    </w:p>
    <w:p>
      <w:pPr>
        <w:pStyle w:val="P11"/>
      </w:pPr>
      <w:r>
        <w:t>ONTARIO REGULATION 350/12</w:t>
      </w:r>
    </w:p>
    <w:p>
      <w:pPr>
        <w:pStyle w:val="P12"/>
      </w:pPr>
      <w:r>
        <w:t>REGISTRATIONS UNDER PART II.2 OF THE ACT — SOLAR FACILITIES</w:t>
      </w:r>
    </w:p>
    <w:p>
      <w:pPr>
        <w:pStyle w:val="P20"/>
      </w:pPr>
      <w:r>
        <w:rPr>
          <w:b w:val="1"/>
        </w:rPr>
        <w:t>Consolidation Period:</w:t>
      </w:r>
      <w:r>
        <w:t xml:space="preserve">  From November 18, 2012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19"/>
      </w:pPr>
      <w:r>
        <w:t>No amendments.</w:t>
      </w:r>
    </w:p>
    <w:p>
      <w:pPr>
        <w:pStyle w:val="P13"/>
        <w:rPr>
          <w:b w:val="0"/>
          <w:i w:val="0"/>
        </w:rPr>
      </w:pPr>
      <w:r>
        <w:t>This is the English version of a bilingual regulation.</w:t>
      </w:r>
    </w:p>
    <w:p>
      <w:pPr>
        <w:pStyle w:val="P165"/>
        <w:rPr>
          <w:b w:val="0"/>
        </w:rPr>
      </w:pPr>
      <w:r>
        <w:t>CONTENTS</w:t>
      </w:r>
    </w:p>
    <w:tbl>
      <w:tblPr>
        <w:tblW w:w="10200" w:type="dxa"/>
        <w:jc w:val="center"/>
        <w:tblLayout w:type="fixed"/>
        <w:tblCellMar>
          <w:left w:w="0" w:type="dxa"/>
          <w:right w:w="0" w:type="dxa"/>
        </w:tblCellMar>
      </w:tblPr>
      <w:tblGrid/>
      <w:tr>
        <w:tblPrEx>
          <w:tblCellMar>
            <w:top w:w="0" w:type="dxa"/>
            <w:bottom w:w="0" w:type="dxa"/>
          </w:tblCellMar>
        </w:tblPrEx>
        <w:trPr>
          <w:jc w:val="center"/>
        </w:trPr>
        <w:tc>
          <w:tcPr>
            <w:tcW w:w="2418" w:type="dxa"/>
          </w:tcPr>
          <w:p>
            <w:pPr>
              <w:pStyle w:val="P370"/>
            </w:pPr>
            <w:r>
              <w:rPr>
                <w:b w:val="0"/>
              </w:rPr>
              <w:fldChar w:fldCharType="begin"/>
            </w:r>
            <w:r>
              <w:rPr>
                <w:b w:val="0"/>
              </w:rPr>
              <w:instrText>HYPERLINK \l "BK0" \o "Section 1."</w:instrText>
            </w:r>
            <w:r>
              <w:rPr>
                <w:b w:val="0"/>
              </w:rPr>
              <w:fldChar w:fldCharType="separate"/>
            </w:r>
            <w:r>
              <w:t>1.</w:t>
            </w:r>
            <w:r>
              <w:fldChar w:fldCharType="end"/>
            </w:r>
          </w:p>
        </w:tc>
        <w:tc>
          <w:tcPr>
            <w:tcW w:w="7782" w:type="dxa"/>
          </w:tcPr>
          <w:p>
            <w:pPr>
              <w:pStyle w:val="P163"/>
            </w:pPr>
            <w:r>
              <w:t>Interpretation</w:t>
            </w:r>
          </w:p>
        </w:tc>
      </w:tr>
      <w:tr>
        <w:tblPrEx>
          <w:tblCellMar>
            <w:top w:w="0" w:type="dxa"/>
            <w:bottom w:w="0" w:type="dxa"/>
          </w:tblCellMar>
        </w:tblPrEx>
        <w:trPr>
          <w:jc w:val="center"/>
        </w:trPr>
        <w:tc>
          <w:tcPr>
            <w:tcW w:w="2418" w:type="dxa"/>
          </w:tcPr>
          <w:p>
            <w:pPr>
              <w:pStyle w:val="P370"/>
            </w:pPr>
            <w:r>
              <w:fldChar w:fldCharType="begin"/>
            </w:r>
            <w:r>
              <w:instrText>HYPERLINK \l "BK1" \o "Section 2."</w:instrText>
            </w:r>
            <w:r>
              <w:fldChar w:fldCharType="separate"/>
            </w:r>
            <w:r>
              <w:t>2.</w:t>
            </w:r>
            <w:r>
              <w:fldChar w:fldCharType="end"/>
            </w:r>
          </w:p>
        </w:tc>
        <w:tc>
          <w:tcPr>
            <w:tcW w:w="7782" w:type="dxa"/>
          </w:tcPr>
          <w:p>
            <w:pPr>
              <w:pStyle w:val="P163"/>
            </w:pPr>
            <w:r>
              <w:t>Measurement of distance</w:t>
            </w:r>
          </w:p>
        </w:tc>
      </w:tr>
      <w:tr>
        <w:tblPrEx>
          <w:tblCellMar>
            <w:top w:w="0" w:type="dxa"/>
            <w:bottom w:w="0" w:type="dxa"/>
          </w:tblCellMar>
        </w:tblPrEx>
        <w:trPr>
          <w:jc w:val="center"/>
        </w:trPr>
        <w:tc>
          <w:tcPr>
            <w:tcW w:w="2418" w:type="dxa"/>
          </w:tcPr>
          <w:p>
            <w:pPr>
              <w:pStyle w:val="P370"/>
            </w:pPr>
            <w:r>
              <w:fldChar w:fldCharType="begin"/>
            </w:r>
            <w:r>
              <w:instrText>HYPERLINK \l "BK2" \o "Section 3."</w:instrText>
            </w:r>
            <w:r>
              <w:fldChar w:fldCharType="separate"/>
            </w:r>
            <w:r>
              <w:t>3.</w:t>
            </w:r>
            <w:r>
              <w:fldChar w:fldCharType="end"/>
            </w:r>
          </w:p>
        </w:tc>
        <w:tc>
          <w:tcPr>
            <w:tcW w:w="7782" w:type="dxa"/>
          </w:tcPr>
          <w:p>
            <w:pPr>
              <w:pStyle w:val="P163"/>
            </w:pPr>
            <w:r>
              <w:t>Prescribed activities, s. 20.21 (1) of the Act</w:t>
            </w:r>
          </w:p>
        </w:tc>
      </w:tr>
      <w:tr>
        <w:tblPrEx>
          <w:tblCellMar>
            <w:top w:w="0" w:type="dxa"/>
            <w:bottom w:w="0" w:type="dxa"/>
          </w:tblCellMar>
        </w:tblPrEx>
        <w:trPr>
          <w:jc w:val="center"/>
        </w:trPr>
        <w:tc>
          <w:tcPr>
            <w:tcW w:w="2418" w:type="dxa"/>
          </w:tcPr>
          <w:p>
            <w:pPr>
              <w:pStyle w:val="P370"/>
            </w:pPr>
            <w:r>
              <w:fldChar w:fldCharType="begin"/>
            </w:r>
            <w:r>
              <w:instrText>HYPERLINK \l "BK3" \o "Section 4."</w:instrText>
            </w:r>
            <w:r>
              <w:fldChar w:fldCharType="separate"/>
            </w:r>
            <w:r>
              <w:t>4.</w:t>
            </w:r>
            <w:r>
              <w:fldChar w:fldCharType="end"/>
            </w:r>
          </w:p>
        </w:tc>
        <w:tc>
          <w:tcPr>
            <w:tcW w:w="7782" w:type="dxa"/>
          </w:tcPr>
          <w:p>
            <w:pPr>
              <w:pStyle w:val="P163"/>
            </w:pPr>
            <w:r>
              <w:t>Registration exemptions, s. 20.21 (1) (a) and (b) of the Act</w:t>
            </w:r>
          </w:p>
        </w:tc>
      </w:tr>
      <w:tr>
        <w:tblPrEx>
          <w:tblCellMar>
            <w:top w:w="0" w:type="dxa"/>
            <w:bottom w:w="0" w:type="dxa"/>
          </w:tblCellMar>
        </w:tblPrEx>
        <w:trPr>
          <w:jc w:val="center"/>
        </w:trPr>
        <w:tc>
          <w:tcPr>
            <w:tcW w:w="2418" w:type="dxa"/>
          </w:tcPr>
          <w:p>
            <w:pPr>
              <w:pStyle w:val="P370"/>
            </w:pPr>
            <w:r>
              <w:fldChar w:fldCharType="begin"/>
            </w:r>
            <w:r>
              <w:instrText>HYPERLINK \l "BK4" \o "Section 5."</w:instrText>
            </w:r>
            <w:r>
              <w:fldChar w:fldCharType="separate"/>
            </w:r>
            <w:r>
              <w:t>5.</w:t>
            </w:r>
            <w:r>
              <w:fldChar w:fldCharType="end"/>
            </w:r>
          </w:p>
        </w:tc>
        <w:tc>
          <w:tcPr>
            <w:tcW w:w="7782" w:type="dxa"/>
          </w:tcPr>
          <w:p>
            <w:pPr>
              <w:pStyle w:val="P163"/>
            </w:pPr>
            <w:r>
              <w:t>Activity requirements, s. 20.21 (1) (c) of the Act — notice</w:t>
            </w:r>
          </w:p>
        </w:tc>
      </w:tr>
      <w:tr>
        <w:tblPrEx>
          <w:tblCellMar>
            <w:top w:w="0" w:type="dxa"/>
            <w:bottom w:w="0" w:type="dxa"/>
          </w:tblCellMar>
        </w:tblPrEx>
        <w:trPr>
          <w:jc w:val="center"/>
        </w:trPr>
        <w:tc>
          <w:tcPr>
            <w:tcW w:w="2418" w:type="dxa"/>
          </w:tcPr>
          <w:p>
            <w:pPr>
              <w:pStyle w:val="P370"/>
            </w:pPr>
            <w:r>
              <w:fldChar w:fldCharType="begin"/>
            </w:r>
            <w:r>
              <w:instrText>HYPERLINK \l "BK5" \o "Section 6."</w:instrText>
            </w:r>
            <w:r>
              <w:fldChar w:fldCharType="separate"/>
            </w:r>
            <w:r>
              <w:t>6.</w:t>
            </w:r>
            <w:r>
              <w:fldChar w:fldCharType="end"/>
            </w:r>
          </w:p>
        </w:tc>
        <w:tc>
          <w:tcPr>
            <w:tcW w:w="7782" w:type="dxa"/>
          </w:tcPr>
          <w:p>
            <w:pPr>
              <w:pStyle w:val="P163"/>
            </w:pPr>
            <w:r>
              <w:t>Activity requirements, s. 20.21 (1) (c) of the Act — general</w:t>
            </w:r>
          </w:p>
        </w:tc>
      </w:tr>
      <w:tr>
        <w:tblPrEx>
          <w:tblCellMar>
            <w:top w:w="0" w:type="dxa"/>
            <w:bottom w:w="0" w:type="dxa"/>
          </w:tblCellMar>
        </w:tblPrEx>
        <w:trPr>
          <w:jc w:val="center"/>
        </w:trPr>
        <w:tc>
          <w:tcPr>
            <w:tcW w:w="2418" w:type="dxa"/>
          </w:tcPr>
          <w:p>
            <w:pPr>
              <w:pStyle w:val="P370"/>
            </w:pPr>
            <w:r>
              <w:fldChar w:fldCharType="begin"/>
            </w:r>
            <w:r>
              <w:instrText>HYPERLINK \l "BK6" \o "Section 7."</w:instrText>
            </w:r>
            <w:r>
              <w:fldChar w:fldCharType="separate"/>
            </w:r>
            <w:r>
              <w:t>7.</w:t>
            </w:r>
            <w:r>
              <w:fldChar w:fldCharType="end"/>
            </w:r>
          </w:p>
        </w:tc>
        <w:tc>
          <w:tcPr>
            <w:tcW w:w="7782" w:type="dxa"/>
          </w:tcPr>
          <w:p>
            <w:pPr>
              <w:pStyle w:val="P163"/>
            </w:pPr>
            <w:r>
              <w:t>Records</w:t>
            </w:r>
          </w:p>
        </w:tc>
      </w:tr>
    </w:tbl>
    <w:p>
      <w:r>
        <w:t xml:space="preserve">  </w:t>
      </w:r>
    </w:p>
    <w:p>
      <w:pPr>
        <w:pStyle w:val="P301"/>
      </w:pPr>
      <w:r>
        <w:t>Interpretation</w:t>
      </w:r>
    </w:p>
    <w:p>
      <w:pPr>
        <w:pStyle w:val="P99"/>
      </w:pPr>
      <w:bookmarkStart w:id="2" w:name="s1s1"/>
      <w:bookmarkEnd w:id="2"/>
      <w:r>
        <w:rPr>
          <w:b w:val="1"/>
        </w:rPr>
        <w:tab/>
      </w:r>
      <w:bookmarkStart w:id="3" w:name="BK0"/>
      <w:bookmarkEnd w:id="3"/>
      <w:r>
        <w:rPr>
          <w:b w:val="1"/>
        </w:rPr>
        <w:fldChar w:fldCharType="begin"/>
      </w:r>
      <w:r>
        <w:rPr>
          <w:b w:val="1"/>
        </w:rPr>
        <w:instrText xml:space="preserve"> HYPERLINK "http://www.ontario.ca/fr/lois/reglement/120350" \l "s1s1" </w:instrText>
      </w:r>
      <w:r>
        <w:rPr>
          <w:b w:val="1"/>
        </w:rPr>
        <w:fldChar w:fldCharType="separate"/>
      </w:r>
      <w:r>
        <w:rPr>
          <w:rStyle w:val="C2"/>
          <w:lang w:val="en-US"/>
        </w:rPr>
        <w:t>1.  (1)</w:t>
      </w:r>
      <w:r>
        <w:rPr>
          <w:b w:val="1"/>
        </w:rPr>
        <w:fldChar w:fldCharType="end"/>
      </w:r>
      <w:r>
        <w:t>  In this Regulation,</w:t>
      </w:r>
    </w:p>
    <w:p>
      <w:pPr>
        <w:pStyle w:val="P52"/>
      </w:pPr>
      <w:r>
        <w:t xml:space="preserve">“archaeological site” has the same meaning as in Ontario Regulation 170/04 (Definitions) made under the </w:t>
      </w:r>
      <w:r>
        <w:rPr>
          <w:rStyle w:val="C9"/>
        </w:rPr>
        <w:t>Ontario Heritage Act</w:t>
      </w:r>
      <w:r>
        <w:t>; (“site archéologique”)</w:t>
      </w:r>
    </w:p>
    <w:p>
      <w:pPr>
        <w:pStyle w:val="P29"/>
      </w:pPr>
      <w:r>
        <w:t>“board area” means, when used in relation to a Local Services Board, the geographical area within which the Local Services Board may exercise its jurisdiction; (“territoire de la régie”)</w:t>
      </w:r>
    </w:p>
    <w:p>
      <w:pPr>
        <w:pStyle w:val="P29"/>
      </w:pPr>
      <w:r>
        <w:t xml:space="preserve">“business day” means a day that is not a Saturday or a holiday within the meaning of section 87 of the </w:t>
      </w:r>
      <w:r>
        <w:rPr>
          <w:rStyle w:val="C9"/>
        </w:rPr>
        <w:t>Legislation Act, 2006</w:t>
      </w:r>
      <w:r>
        <w:t>; (“jour ouvrable”)</w:t>
      </w:r>
    </w:p>
    <w:p>
      <w:pPr>
        <w:pStyle w:val="P29"/>
      </w:pPr>
      <w:r>
        <w:t>“commercial use” has the same meaning as in Ontario Regulation 153/04 (Records of Site Condition — Part XV.1 of the Act) made under the Act; (“usage commercial”)</w:t>
      </w:r>
    </w:p>
    <w:p>
      <w:pPr>
        <w:pStyle w:val="P29"/>
      </w:pPr>
      <w:r>
        <w:t>“facility location” means, when used in relation to a solar facility, a part of land and all or part of any building or structure in, on or over which a person is engaging in or proposes to engage in the construction, installation, use, operation, changing or retiring of a solar facility and any air space in which a person is engaging in or proposes to engage in the construction, installation, use, operation, changing or retiring of the solar facility; (“emplacement d’une installation”)</w:t>
      </w:r>
    </w:p>
    <w:p>
      <w:pPr>
        <w:pStyle w:val="P29"/>
      </w:pPr>
      <w:r>
        <w:t>“farm operation activity” has the same meaning as in Regulation 347 of the Revised Regulations of Ontario (General — Waste Management) made under the Act; (“activité d’exploitation agricole”)</w:t>
      </w:r>
    </w:p>
    <w:p>
      <w:pPr>
        <w:pStyle w:val="P29"/>
      </w:pPr>
      <w:r>
        <w:t>“full cutoff light fixture” means a light fixture designed such that no light is projected at or above an angle of 90 degrees above nadir and less than 10 per cent of the rated lamp lumens are projected at or above a vertical angle of 80 degrees above nadir; (“dispositif d’éclairage</w:t>
      </w:r>
      <w:r>
        <w:rPr>
          <w:rStyle w:val="C16"/>
        </w:rPr>
        <w:t xml:space="preserve"> </w:t>
      </w:r>
      <w:r>
        <w:t>à défilement absolu”)</w:t>
      </w:r>
    </w:p>
    <w:p>
      <w:pPr>
        <w:pStyle w:val="P29"/>
      </w:pPr>
      <w:r>
        <w:t>“industrial use” has the same meaning as in Ontario Regulation 153/04 made under the Act; (“usage industriel”)</w:t>
      </w:r>
    </w:p>
    <w:p>
      <w:pPr>
        <w:pStyle w:val="P29"/>
      </w:pPr>
      <w:r>
        <w:t>“institutional use” has the same meaning as in Ontario Regulation 153/04 made under the Act; (“usage institutionnel”)</w:t>
      </w:r>
    </w:p>
    <w:p>
      <w:pPr>
        <w:pStyle w:val="P29"/>
        <w:rPr>
          <w:rStyle w:val="C9"/>
          <w:i w:val="0"/>
        </w:rPr>
      </w:pPr>
      <w:r>
        <w:t xml:space="preserve">“Local Services Board” has the same meaning as in the </w:t>
      </w:r>
      <w:r>
        <w:rPr>
          <w:rStyle w:val="C9"/>
        </w:rPr>
        <w:t>Northern Services Boards Act</w:t>
      </w:r>
      <w:r>
        <w:rPr>
          <w:rStyle w:val="C9"/>
          <w:i w:val="0"/>
        </w:rPr>
        <w:t>; (“</w:t>
      </w:r>
      <w:r>
        <w:t>régie locale des services publics”) (“régie locale des services publics”)</w:t>
      </w:r>
    </w:p>
    <w:p>
      <w:pPr>
        <w:pStyle w:val="P29"/>
      </w:pPr>
      <w:r>
        <w:t>“micro-inverter” means an inverter that converts direct current from only one or two solar photovoltaic collector panels to alternating current; (“micro-onduleur”)</w:t>
      </w:r>
    </w:p>
    <w:p>
      <w:pPr>
        <w:pStyle w:val="P29"/>
      </w:pPr>
      <w:r>
        <w:t xml:space="preserve">“name plate capacity” means, in respect of a solar facility, the lesser of, </w:t>
      </w:r>
    </w:p>
    <w:p>
      <w:pPr>
        <w:pStyle w:val="P27"/>
      </w:pPr>
      <w:r>
        <w:tab/>
        <w:t>(a)</w:t>
        <w:tab/>
        <w:t>the total of the design electricity generating capacities of all of the generation units in or at the facility, and</w:t>
      </w:r>
    </w:p>
    <w:p>
      <w:pPr>
        <w:pStyle w:val="P27"/>
      </w:pPr>
      <w:r>
        <w:tab/>
        <w:t>(b)</w:t>
        <w:tab/>
        <w:t>the maximum power output of all of the inverters in or at the facility; (“puissance installée”)</w:t>
      </w:r>
    </w:p>
    <w:p>
      <w:pPr>
        <w:pStyle w:val="P29"/>
        <w:rPr>
          <w:rStyle w:val="C9"/>
          <w:i w:val="0"/>
        </w:rPr>
      </w:pPr>
      <w:r>
        <w:t xml:space="preserve">“national historic site” means a site, building or place that has been commemorated as an historic place under section 3 of the </w:t>
      </w:r>
      <w:r>
        <w:rPr>
          <w:rStyle w:val="C9"/>
        </w:rPr>
        <w:t xml:space="preserve">Historic Sites and Monuments Act </w:t>
      </w:r>
      <w:r>
        <w:rPr>
          <w:rStyle w:val="C9"/>
          <w:i w:val="0"/>
        </w:rPr>
        <w:t>(Canada); (“</w:t>
      </w:r>
      <w:r>
        <w:t>lieu historique national”)</w:t>
      </w:r>
    </w:p>
    <w:p>
      <w:pPr>
        <w:pStyle w:val="P29"/>
      </w:pPr>
      <w:r>
        <w:rPr>
          <w:lang w:val="en-US"/>
        </w:rPr>
        <w:t>“</w:t>
      </w:r>
      <w:r>
        <w:t xml:space="preserve">Niagara Escarpment Commission” means the Niagara Escarpment Commission continued under subsection 5 (1) of the </w:t>
      </w:r>
      <w:r>
        <w:rPr>
          <w:rStyle w:val="C9"/>
        </w:rPr>
        <w:t>Niagara Escarpment Planning and Development Act</w:t>
      </w:r>
      <w:r>
        <w:t>; (”Commission de l’escarpement du Niagara”)</w:t>
      </w:r>
    </w:p>
    <w:p>
      <w:pPr>
        <w:pStyle w:val="P29"/>
      </w:pPr>
      <w:r>
        <w:t xml:space="preserve">“Niagara Escarpment Planning Area” has the same meaning as in the </w:t>
      </w:r>
      <w:r>
        <w:rPr>
          <w:rStyle w:val="C9"/>
        </w:rPr>
        <w:t>Niagara Escarpment Planning and Development Act</w:t>
      </w:r>
      <w:r>
        <w:t>; (“zone de planification de l’escarpement du Niagara”)</w:t>
      </w:r>
    </w:p>
    <w:p>
      <w:pPr>
        <w:pStyle w:val="P29"/>
      </w:pPr>
      <w:r>
        <w:t>“noise generating equipment unit” means a transformer, inverter or solar facility electrical unit, but does not include a micro-inverter; (“équipement générant du bruit”)</w:t>
      </w:r>
    </w:p>
    <w:p>
      <w:pPr>
        <w:pStyle w:val="P29"/>
      </w:pPr>
      <w:r>
        <w:t>“noise receptor” means, subject to subsection (2), a permanent or seasonal residence, hotel, motel, long-term care home, retirement home, hospital, campground, child care facility, educational facility or place of worship and includes a vacant lot that has been zoned to permit such a building or campground; (“récepteur de bruit”)</w:t>
      </w:r>
    </w:p>
    <w:p>
      <w:pPr>
        <w:pStyle w:val="P29"/>
      </w:pPr>
      <w:r>
        <w:t xml:space="preserve">“off-property distribution line” means, in respect of a solar facility, that part of an ancillary or associated distribution line that, </w:t>
      </w:r>
    </w:p>
    <w:p>
      <w:pPr>
        <w:pStyle w:val="P27"/>
      </w:pPr>
      <w:r>
        <w:tab/>
        <w:t>(a)</w:t>
        <w:tab/>
        <w:t>is not located on the same property as the property on which the solar facility’s solar photovoltaic collector panels are located, and</w:t>
      </w:r>
    </w:p>
    <w:p>
      <w:pPr>
        <w:pStyle w:val="P27"/>
      </w:pPr>
      <w:r>
        <w:tab/>
        <w:t>(b)</w:t>
        <w:tab/>
        <w:t>is used to distribute electricity from the solar facility to the distribution system of the distributor in whose distribution service area the solar facility is located; (“ligne de distribution externe”)</w:t>
      </w:r>
    </w:p>
    <w:p>
      <w:pPr>
        <w:pStyle w:val="P29"/>
      </w:pPr>
      <w:r>
        <w:t xml:space="preserve">“planning board” means a planning board established under section 9 or 10 of the </w:t>
      </w:r>
      <w:r>
        <w:rPr>
          <w:rStyle w:val="C9"/>
        </w:rPr>
        <w:t>Planning Act</w:t>
      </w:r>
      <w:r>
        <w:t>; (“conseil d’aménagement”)</w:t>
      </w:r>
    </w:p>
    <w:p>
      <w:pPr>
        <w:pStyle w:val="P29"/>
        <w:rPr>
          <w:rStyle w:val="C9"/>
          <w:i w:val="0"/>
        </w:rPr>
      </w:pPr>
      <w:r>
        <w:t xml:space="preserve">“professional engineer” means a person who holds a licence, limited licence or temporary licence under the </w:t>
      </w:r>
      <w:r>
        <w:rPr>
          <w:rStyle w:val="C9"/>
        </w:rPr>
        <w:t>Professional Engineers Act</w:t>
      </w:r>
      <w:r>
        <w:rPr>
          <w:rStyle w:val="C9"/>
          <w:i w:val="0"/>
        </w:rPr>
        <w:t>; (“</w:t>
      </w:r>
      <w:r>
        <w:t>ingénieur”)</w:t>
      </w:r>
    </w:p>
    <w:p>
      <w:pPr>
        <w:pStyle w:val="P29"/>
      </w:pPr>
      <w:r>
        <w:t>“property boundary” means,</w:t>
      </w:r>
    </w:p>
    <w:p>
      <w:pPr>
        <w:pStyle w:val="P27"/>
      </w:pPr>
      <w:r>
        <w:tab/>
        <w:t>(a)</w:t>
        <w:tab/>
        <w:t>in respect of a noise receptor, the boundary of the property on which the noise receptor is situated, and</w:t>
      </w:r>
    </w:p>
    <w:p>
      <w:pPr>
        <w:pStyle w:val="P27"/>
      </w:pPr>
      <w:r>
        <w:tab/>
        <w:t>(b)</w:t>
        <w:tab/>
        <w:t>in respect of a solar facility, the boundary of the property on which the solar facility is situated; (“limite de propriété”)</w:t>
      </w:r>
    </w:p>
    <w:p>
      <w:pPr>
        <w:pStyle w:val="P29"/>
        <w:rPr>
          <w:rStyle w:val="C9"/>
          <w:i w:val="0"/>
        </w:rPr>
      </w:pPr>
      <w:r>
        <w:t xml:space="preserve">“Soil, Ground Water and Sediment Standards” means the document entitled “Soil, Ground Water and Sediment Standards for Use Under Part XV.1 of the </w:t>
      </w:r>
      <w:r>
        <w:rPr>
          <w:rStyle w:val="C9"/>
        </w:rPr>
        <w:t>Environmental Protection Act</w:t>
      </w:r>
      <w:r>
        <w:t>”, published by the Ministry and dated April 15, 2011; (“normes sur les sols, l’eau souterraine et les sédiments”)</w:t>
      </w:r>
    </w:p>
    <w:p>
      <w:pPr>
        <w:pStyle w:val="P29"/>
      </w:pPr>
      <w:r>
        <w:t>“solar facility” has the same meaning as in Ontario Regulation 359/09 (Renewable Energy Approvals under Part V.0.1 of the Act) made under the Act; (“installation solaire”)</w:t>
      </w:r>
    </w:p>
    <w:p>
      <w:pPr>
        <w:pStyle w:val="P29"/>
      </w:pPr>
      <w:r>
        <w:t>“solar facility electrical unit” means a unit that is manufactured by the manufacturer of a transformer or an inverter and in which are located transformers, inverters or a combination of both transformers and inverters; (“unité électrique d’installation solaire”)</w:t>
      </w:r>
    </w:p>
    <w:p>
      <w:pPr>
        <w:pStyle w:val="P29"/>
      </w:pPr>
      <w:r>
        <w:t>“sound power level” means, in respect of a noise generating equipment unit,</w:t>
      </w:r>
    </w:p>
    <w:p>
      <w:pPr>
        <w:pStyle w:val="P27"/>
      </w:pPr>
      <w:r>
        <w:tab/>
        <w:t>(a)</w:t>
        <w:tab/>
        <w:t>the sound power level specified by the manufacturer of the unit, if that specification includes a tonality adjustment of five dBA, or</w:t>
      </w:r>
    </w:p>
    <w:p>
      <w:pPr>
        <w:pStyle w:val="P27"/>
      </w:pPr>
      <w:r>
        <w:tab/>
        <w:t>(b)</w:t>
        <w:tab/>
        <w:t>the sound power level specified by the manufacturer of the unit plus five dBA, if that specification does not include a tonality adjustment of five dBA; (“niveau de puissance acoustique”)</w:t>
      </w:r>
    </w:p>
    <w:p>
      <w:pPr>
        <w:pStyle w:val="P29"/>
      </w:pPr>
      <w:r>
        <w:t>“water body” has the same meaning as in Ontario Regulation 359/09 made under the Act. (“étendue d’eau”) O. Reg. 350/12, s. 1 (1).</w:t>
      </w:r>
    </w:p>
    <w:p>
      <w:pPr>
        <w:pStyle w:val="P108"/>
      </w:pPr>
      <w:bookmarkStart w:id="4" w:name="s1s2"/>
      <w:bookmarkEnd w:id="4"/>
      <w:r>
        <w:tab/>
      </w:r>
      <w:r>
        <w:fldChar w:fldCharType="begin"/>
      </w:r>
      <w:r>
        <w:instrText>HYPERLINK "http://www.ontario.ca/fr/lois/reglement/120350" \l "s1s2"</w:instrText>
      </w:r>
      <w:r>
        <w:fldChar w:fldCharType="separate"/>
      </w:r>
      <w:r>
        <w:rPr>
          <w:rStyle w:val="C2"/>
          <w:lang w:val="en-US"/>
        </w:rPr>
        <w:t>(2)</w:t>
      </w:r>
      <w:r>
        <w:rPr>
          <w:rStyle w:val="C2"/>
          <w:lang w:val="en-US"/>
        </w:rPr>
        <w:fldChar w:fldCharType="end"/>
      </w:r>
      <w:r>
        <w:t>  For the purposes of the definition of “noise receptor” in subsection (1), a noise receptor does not include a permanent or seasonal residence, hotel, motel, long-term care home, retirement home, hospital, campground, child care facility, educational facility, place of worship or a vacant lot that has been zoned to permit such a building or campground that is located on the parcel of land on which any part of the solar facility is or will be located once the facility is installed, constructed or expanded. O. Reg. 350/12, s. 1 (2).</w:t>
      </w:r>
    </w:p>
    <w:p>
      <w:pPr>
        <w:pStyle w:val="P108"/>
      </w:pPr>
      <w:bookmarkStart w:id="5" w:name="s1s3"/>
      <w:bookmarkEnd w:id="5"/>
      <w:r>
        <w:tab/>
      </w:r>
      <w:r>
        <w:fldChar w:fldCharType="begin"/>
      </w:r>
      <w:r>
        <w:instrText>HYPERLINK "http://www.ontario.ca/fr/lois/reglement/120350" \l "s1s3"</w:instrText>
      </w:r>
      <w:r>
        <w:fldChar w:fldCharType="separate"/>
      </w:r>
      <w:r>
        <w:rPr>
          <w:rStyle w:val="C2"/>
          <w:lang w:val="en-US"/>
        </w:rPr>
        <w:t>(3)</w:t>
      </w:r>
      <w:r>
        <w:rPr>
          <w:rStyle w:val="C2"/>
          <w:lang w:val="en-US"/>
        </w:rPr>
        <w:fldChar w:fldCharType="end"/>
      </w:r>
      <w:r>
        <w:t>  For the purposes of this Regulation, two properties are adjacent to each other if the boundary of one property touches or, were it not for an intervening highway, road allowance, railway line, railway allowance or utility corridor, would touch the boundary of the other property. O. Reg. 350/12, s. 1 (3).</w:t>
      </w:r>
    </w:p>
    <w:p>
      <w:pPr>
        <w:pStyle w:val="P108"/>
      </w:pPr>
      <w:bookmarkStart w:id="6" w:name="s1s4"/>
      <w:bookmarkEnd w:id="6"/>
      <w:r>
        <w:tab/>
      </w:r>
      <w:r>
        <w:fldChar w:fldCharType="begin"/>
      </w:r>
      <w:r>
        <w:instrText>HYPERLINK "http://www.ontario.ca/fr/lois/reglement/120350" \l "s1s4"</w:instrText>
      </w:r>
      <w:r>
        <w:fldChar w:fldCharType="separate"/>
      </w:r>
      <w:r>
        <w:rPr>
          <w:rStyle w:val="C2"/>
          <w:lang w:val="en-US"/>
        </w:rPr>
        <w:t>(4)</w:t>
      </w:r>
      <w:r>
        <w:rPr>
          <w:rStyle w:val="C2"/>
          <w:lang w:val="en-US"/>
        </w:rPr>
        <w:fldChar w:fldCharType="end"/>
      </w:r>
      <w:r>
        <w:t>  In this Regulation, unless otherwise specified, a reference to a facility location is a reference to any part of the facility location. O. Reg. 350/12, s. 1 (4).</w:t>
      </w:r>
    </w:p>
    <w:p>
      <w:pPr>
        <w:pStyle w:val="P108"/>
      </w:pPr>
      <w:bookmarkStart w:id="7" w:name="s1s5"/>
      <w:bookmarkEnd w:id="7"/>
      <w:r>
        <w:tab/>
      </w:r>
      <w:r>
        <w:fldChar w:fldCharType="begin"/>
      </w:r>
      <w:r>
        <w:instrText>HYPERLINK "http://www.ontario.ca/fr/lois/reglement/120350" \l "s1s5"</w:instrText>
      </w:r>
      <w:r>
        <w:fldChar w:fldCharType="separate"/>
      </w:r>
      <w:r>
        <w:rPr>
          <w:rStyle w:val="C2"/>
          <w:lang w:val="en-US"/>
        </w:rPr>
        <w:t>(5)</w:t>
      </w:r>
      <w:r>
        <w:rPr>
          <w:rStyle w:val="C2"/>
          <w:lang w:val="en-US"/>
        </w:rPr>
        <w:fldChar w:fldCharType="end"/>
      </w:r>
      <w:r>
        <w:t>  In this Regulation, a reference to the Director means,</w:t>
      </w:r>
    </w:p>
    <w:p>
      <w:pPr>
        <w:pStyle w:val="P25"/>
      </w:pPr>
      <w:r>
        <w:tab/>
        <w:t>(a)</w:t>
        <w:tab/>
        <w:t>the Director appointed under section 5 of the Act in respect of the section of this Regulation in which the reference appears; or</w:t>
      </w:r>
    </w:p>
    <w:p>
      <w:pPr>
        <w:pStyle w:val="P25"/>
      </w:pPr>
      <w:r>
        <w:tab/>
        <w:t>(b)</w:t>
        <w:tab/>
        <w:t>if no Director described in clause (a) has been appointed, any Director appointed under section 5 of the Act in respect of Part II.2 of the Act. O. Reg. 350/12, s. 1 (5).</w:t>
      </w:r>
    </w:p>
    <w:p>
      <w:pPr>
        <w:pStyle w:val="P301"/>
      </w:pPr>
      <w:r>
        <w:t>Measurement of distance</w:t>
      </w:r>
    </w:p>
    <w:p>
      <w:pPr>
        <w:pStyle w:val="P99"/>
      </w:pPr>
      <w:r>
        <w:t xml:space="preserve">  </w:t>
      </w:r>
      <w:r>
        <w:rPr/>
        <w:tab/>
      </w:r>
      <w:r>
        <w:rPr/>
      </w:r>
      <w:r>
        <w:rPr/>
      </w:r>
      <w:r>
        <w:rPr/>
      </w:r>
      <w:r>
        <w:rPr>
          <w:rStyle w:val="C2"/>
        </w:rPr>
        <w:t>2.  (1)</w:t>
      </w:r>
      <w:r>
        <w:rPr/>
      </w:r>
      <w:r>
        <w:rPr/>
        <w:t xml:space="preserve">  For the purposes of this Regulation, a distance described in Column 1 of the following Table </w:t>
      </w:r>
      <w:r>
        <w:rPr>
          <w:highlight w:val="yellow"/>
        </w:rPr>
        <w:t>shall</w:t>
      </w:r>
      <w:r>
        <w:rPr/>
        <w:t xml:space="preserve"> be measured horizontally and in accordance with the rules set out opposite the distance in Column 2 of the Table:</w:t>
      </w:r>
    </w:p>
    <w:p>
      <w:pPr>
        <w:pStyle w:val="P61"/>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rPr>
          <w:cantSplit/>
          <w:trHeight w:hRule="atLeast" w:val="435"/>
        </w:trPr>
        <w:tc>
          <w:tcPr>
            <w:tcW w:w="718" w:type="dxa"/>
          </w:tcPr>
          <w:p>
            <w:pPr>
              <w:pStyle w:val="P163"/>
            </w:pPr>
            <w:r>
              <w:t>Item</w:t>
            </w:r>
          </w:p>
        </w:tc>
        <w:tc>
          <w:tcPr>
            <w:tcW w:w="1825" w:type="dxa"/>
          </w:tcPr>
          <w:p>
            <w:pPr>
              <w:pStyle w:val="P163"/>
            </w:pPr>
            <w:r>
              <w:t>Column 1</w:t>
            </w:r>
          </w:p>
          <w:p>
            <w:pPr>
              <w:pStyle w:val="P163"/>
            </w:pPr>
            <w:r>
              <w:t>Distance</w:t>
            </w:r>
          </w:p>
        </w:tc>
        <w:tc>
          <w:tcPr>
            <w:tcW w:w="7537" w:type="dxa"/>
          </w:tcPr>
          <w:p>
            <w:pPr>
              <w:pStyle w:val="P163"/>
            </w:pPr>
            <w:r>
              <w:t>Column 2</w:t>
            </w:r>
          </w:p>
          <w:p>
            <w:pPr>
              <w:pStyle w:val="P163"/>
            </w:pPr>
            <w:r>
              <w:t>Rules</w:t>
            </w:r>
          </w:p>
        </w:tc>
      </w:tr>
      <w:tr>
        <w:trPr>
          <w:cantSplit/>
          <w:trHeight w:hRule="atLeast" w:val="1035"/>
        </w:trPr>
        <w:tc>
          <w:tcPr>
            <w:tcW w:w="718" w:type="dxa"/>
          </w:tcPr>
          <w:p>
            <w:pPr>
              <w:pStyle w:val="P163"/>
            </w:pPr>
            <w:r>
              <w:t>1.</w:t>
            </w:r>
          </w:p>
        </w:tc>
        <w:tc>
          <w:tcPr>
            <w:tcW w:w="1825" w:type="dxa"/>
          </w:tcPr>
          <w:p>
            <w:pPr>
              <w:pStyle w:val="P163"/>
            </w:pPr>
            <w:r>
              <w:t>From a noise generating equipment unit to the property boundary of a noise receptor.</w:t>
            </w:r>
          </w:p>
        </w:tc>
        <w:tc>
          <w:tcPr>
            <w:tcW w:w="7537" w:type="dxa"/>
          </w:tcPr>
          <w:p>
            <w:pPr>
              <w:pStyle w:val="P163"/>
            </w:pPr>
            <w:r>
              <w:t>1.</w:t>
              <w:tab/>
              <w:t>Measure from the point that is located on the edge of the unit and closest to the property boundary of the noise receptor.</w:t>
            </w:r>
          </w:p>
          <w:p>
            <w:pPr>
              <w:pStyle w:val="P163"/>
            </w:pPr>
            <w:r>
              <w:t>2.</w:t>
              <w:tab/>
              <w:t>Measure to the point that is located on the property boundary of the noise receptor and closest to the point from which the measurement is made.</w:t>
            </w:r>
          </w:p>
        </w:tc>
      </w:tr>
      <w:tr>
        <w:trPr>
          <w:cantSplit/>
          <w:trHeight w:hRule="atLeast" w:val="1035"/>
        </w:trPr>
        <w:tc>
          <w:tcPr>
            <w:tcW w:w="718" w:type="dxa"/>
          </w:tcPr>
          <w:p>
            <w:pPr>
              <w:pStyle w:val="P163"/>
            </w:pPr>
            <w:r>
              <w:t>2.</w:t>
            </w:r>
          </w:p>
        </w:tc>
        <w:tc>
          <w:tcPr>
            <w:tcW w:w="1825" w:type="dxa"/>
          </w:tcPr>
          <w:p>
            <w:pPr>
              <w:pStyle w:val="P163"/>
            </w:pPr>
            <w:r>
              <w:t>From a solar photovoltaic collector panel to the property boundary of a solar facility.</w:t>
            </w:r>
          </w:p>
        </w:tc>
        <w:tc>
          <w:tcPr>
            <w:tcW w:w="7537" w:type="dxa"/>
          </w:tcPr>
          <w:p>
            <w:pPr>
              <w:pStyle w:val="P163"/>
            </w:pPr>
            <w:r>
              <w:t>1.</w:t>
              <w:tab/>
              <w:t>Measure from the point that is located on the edge of the panel and closest to the property boundary of the solar facility when the panel is at maximum tilt.</w:t>
            </w:r>
          </w:p>
          <w:p>
            <w:pPr>
              <w:pStyle w:val="P163"/>
            </w:pPr>
            <w:r>
              <w:t>2.</w:t>
              <w:tab/>
              <w:t>Measure to the point that is located on the property boundary of the solar facility and closest to the point from which the measurement is made.</w:t>
            </w:r>
          </w:p>
        </w:tc>
      </w:tr>
    </w:tbl>
    <w:p>
      <w:pPr>
        <w:pStyle w:val="P54"/>
      </w:pPr>
      <w:r>
        <w:t>O. Reg. 350/12, s. 2 (1).</w:t>
      </w:r>
    </w:p>
    <w:p>
      <w:pPr>
        <w:pStyle w:val="P108"/>
      </w:pPr>
      <w:bookmarkStart w:id="10" w:name="s2s2"/>
      <w:bookmarkEnd w:id="10"/>
      <w:r>
        <w:tab/>
      </w:r>
      <w:r>
        <w:fldChar w:fldCharType="begin"/>
      </w:r>
      <w:r>
        <w:instrText>HYPERLINK "http://www.ontario.ca/fr/lois/reglement/120350" \l "s2s2"</w:instrText>
      </w:r>
      <w:r>
        <w:fldChar w:fldCharType="separate"/>
      </w:r>
      <w:r>
        <w:rPr>
          <w:rStyle w:val="C2"/>
          <w:lang w:val="en-US"/>
        </w:rPr>
        <w:t>(2)</w:t>
      </w:r>
      <w:r>
        <w:rPr>
          <w:rStyle w:val="C2"/>
          <w:lang w:val="en-US"/>
        </w:rPr>
        <w:fldChar w:fldCharType="end"/>
      </w:r>
      <w:r>
        <w:t>  For the purposes of measuring a distance described in Item 2 of the Table to subsection (1), a solar facility does not include an off-property distribution line. O. Reg. 350/12, s. 2 (2).</w:t>
      </w:r>
    </w:p>
    <w:p>
      <w:pPr>
        <w:pStyle w:val="P301"/>
      </w:pPr>
      <w:r>
        <w:t>Prescribed activities, s. 20.21 (1) of the Act</w:t>
      </w:r>
    </w:p>
    <w:p>
      <w:pPr>
        <w:pStyle w:val="P99"/>
      </w:pPr>
      <w:bookmarkStart w:id="11" w:name="s3s1"/>
      <w:bookmarkEnd w:id="11"/>
      <w:r>
        <w:rPr>
          <w:b w:val="1"/>
        </w:rPr>
        <w:tab/>
      </w:r>
      <w:bookmarkStart w:id="12" w:name="BK2"/>
      <w:bookmarkEnd w:id="12"/>
      <w:r>
        <w:rPr>
          <w:b w:val="1"/>
        </w:rPr>
        <w:fldChar w:fldCharType="begin"/>
      </w:r>
      <w:r>
        <w:rPr>
          <w:b w:val="1"/>
        </w:rPr>
        <w:instrText xml:space="preserve"> HYPERLINK "http://www.ontario.ca/fr/lois/reglement/120350" \l "s3s1" </w:instrText>
      </w:r>
      <w:r>
        <w:rPr>
          <w:b w:val="1"/>
        </w:rPr>
        <w:fldChar w:fldCharType="separate"/>
      </w:r>
      <w:r>
        <w:rPr>
          <w:rStyle w:val="C2"/>
          <w:lang w:val="en-US"/>
        </w:rPr>
        <w:t>3.  (1)</w:t>
      </w:r>
      <w:r>
        <w:rPr>
          <w:b w:val="1"/>
        </w:rPr>
        <w:fldChar w:fldCharType="end"/>
      </w:r>
      <w:r>
        <w:t>  Subject to subsections (6) and (8), the following are prescribed activities for the purposes of subsection 20.21 (1) of the Act:</w:t>
      </w:r>
    </w:p>
    <w:p>
      <w:pPr>
        <w:pStyle w:val="P32"/>
      </w:pPr>
      <w:r>
        <w:tab/>
        <w:t>1.</w:t>
        <w:tab/>
        <w:t>The construction, installation, use, operation, changing or retiring of a solar facility that meets all of the criteria set out in subsection (2) and is situated at a facility location that meets the criteria set out in either paragraph 1 or 2 of subsection (4) if,</w:t>
      </w:r>
    </w:p>
    <w:p>
      <w:pPr>
        <w:pStyle w:val="P38"/>
      </w:pPr>
      <w:r>
        <w:tab/>
        <w:t>i.</w:t>
        <w:tab/>
        <w:t>the solar facility includes any equipment, apparatus, mechanism or thing that may discharge or from which may be discharged a contaminant into any part of the natural environment other than water, or</w:t>
      </w:r>
    </w:p>
    <w:p>
      <w:pPr>
        <w:pStyle w:val="P38"/>
      </w:pPr>
      <w:r>
        <w:tab/>
        <w:t>ii.</w:t>
        <w:tab/>
        <w:t>electricity generated at the solar facility is sold by the owner or operator of the facility. O. Reg. 350/12, s. 3 (1).</w:t>
      </w:r>
    </w:p>
    <w:p>
      <w:pPr>
        <w:pStyle w:val="P108"/>
      </w:pPr>
      <w:bookmarkStart w:id="13" w:name="s3s2"/>
      <w:bookmarkEnd w:id="13"/>
      <w:r>
        <w:tab/>
      </w:r>
      <w:r>
        <w:fldChar w:fldCharType="begin"/>
      </w:r>
      <w:r>
        <w:instrText>HYPERLINK "http://www.ontario.ca/fr/lois/reglement/120350" \l "s3s2"</w:instrText>
      </w:r>
      <w:r>
        <w:fldChar w:fldCharType="separate"/>
      </w:r>
      <w:r>
        <w:rPr>
          <w:rStyle w:val="C2"/>
          <w:lang w:val="en-US"/>
        </w:rPr>
        <w:t>(2)</w:t>
      </w:r>
      <w:r>
        <w:rPr>
          <w:rStyle w:val="C2"/>
          <w:lang w:val="en-US"/>
        </w:rPr>
        <w:fldChar w:fldCharType="end"/>
      </w:r>
      <w:r>
        <w:t>  The criteria referred to in subsection (1) with respect to a solar facility are the following:</w:t>
      </w:r>
    </w:p>
    <w:p>
      <w:pPr>
        <w:pStyle w:val="P32"/>
      </w:pPr>
      <w:r>
        <w:tab/>
        <w:t>1.</w:t>
        <w:tab/>
        <w:t>The solar photovoltaic collector panels at the facility are not mounted on the roof or wall of a building.</w:t>
      </w:r>
    </w:p>
    <w:p>
      <w:pPr>
        <w:pStyle w:val="P32"/>
      </w:pPr>
      <w:r>
        <w:tab/>
        <w:t>2.</w:t>
        <w:tab/>
        <w:t>The name plate capacity of the facility is greater than 10 kW and is less than or equal to 500 kW.</w:t>
      </w:r>
    </w:p>
    <w:p>
      <w:pPr>
        <w:pStyle w:val="P32"/>
      </w:pPr>
      <w:r>
        <w:tab/>
        <w:t>3.</w:t>
        <w:tab/>
        <w:t>The maximum power output of each transformer at the facility is less than or equal to 750 kVA.</w:t>
      </w:r>
    </w:p>
    <w:p>
      <w:pPr>
        <w:pStyle w:val="P32"/>
        <w:rPr>
          <w:b w:val="1"/>
        </w:rPr>
      </w:pPr>
      <w:r>
        <w:tab/>
        <w:t>4.</w:t>
        <w:tab/>
        <w:t>The facility does not include a noise generating equipment unit that has a sound power level greater than 90 dBA.</w:t>
      </w:r>
    </w:p>
    <w:p>
      <w:pPr>
        <w:pStyle w:val="P32"/>
      </w:pPr>
      <w:r>
        <w:t xml:space="preserve">  </w:t>
      </w:r>
      <w:r>
        <w:rPr/>
        <w:tab/>
        <w:t>5.</w:t>
        <w:tab/>
        <w:t xml:space="preserve">If the facility is located in an area of development control within the Niagara Escarpment Planning Area, any development permit </w:t>
      </w:r>
      <w:r>
        <w:rPr>
          <w:highlight w:val="cyan"/>
        </w:rPr>
        <w:t>required</w:t>
      </w:r>
      <w:r>
        <w:rPr/>
        <w:t xml:space="preserve"> under section 24 of the </w:t>
      </w:r>
      <w:r>
        <w:rPr>
          <w:rStyle w:val="C9"/>
        </w:rPr>
        <w:t>Niagara Escarpment Planning and Development Act</w:t>
      </w:r>
      <w:r>
        <w:rPr/>
        <w:t xml:space="preserve"> in respect of the facility has been issued and the requirements of this Regulation are not in conflict with any conditions of the permit. </w:t>
      </w:r>
    </w:p>
    <w:p>
      <w:pPr>
        <w:pStyle w:val="P32"/>
      </w:pPr>
      <w:r>
        <w:tab/>
        <w:t>6.</w:t>
        <w:tab/>
        <w:t>Subject to subsection (3), the distance between each noise generating equipment unit at the facility and the property boundary of any noise receptor is not less than the distance set out in Column 2 of the following Table opposite the sound power level of the noise generating equipment unit set out in Column 1 of the Table:</w:t>
      </w:r>
    </w:p>
    <w:p>
      <w:pPr>
        <w:pStyle w:val="P61"/>
      </w:pPr>
      <w:r>
        <w:t>Table</w:t>
      </w:r>
    </w:p>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Pr>
      <w:tblGrid/>
      <w:tr>
        <w:trPr>
          <w:cantSplit/>
          <w:trHeight w:hRule="atLeast" w:val="778"/>
        </w:trPr>
        <w:tc>
          <w:tcPr>
            <w:tcW w:w="537" w:type="dxa"/>
          </w:tcPr>
          <w:p>
            <w:pPr>
              <w:pStyle w:val="P163"/>
            </w:pPr>
            <w:r>
              <w:t>Item</w:t>
            </w:r>
          </w:p>
        </w:tc>
        <w:tc>
          <w:tcPr>
            <w:tcW w:w="1990" w:type="dxa"/>
          </w:tcPr>
          <w:p>
            <w:pPr>
              <w:pStyle w:val="P163"/>
            </w:pPr>
            <w:r>
              <w:t>Column 1</w:t>
            </w:r>
          </w:p>
          <w:p>
            <w:pPr>
              <w:pStyle w:val="P163"/>
            </w:pPr>
            <w:r>
              <w:t>Sound power level of noise generating equipment unit (dBA)</w:t>
            </w:r>
          </w:p>
        </w:tc>
        <w:tc>
          <w:tcPr>
            <w:tcW w:w="2153" w:type="dxa"/>
          </w:tcPr>
          <w:p>
            <w:pPr>
              <w:pStyle w:val="P163"/>
            </w:pPr>
            <w:r>
              <w:t>Column 2</w:t>
            </w:r>
          </w:p>
          <w:p>
            <w:pPr>
              <w:pStyle w:val="P163"/>
            </w:pPr>
            <w:r>
              <w:t>Distance (m)</w:t>
            </w:r>
          </w:p>
        </w:tc>
      </w:tr>
      <w:tr>
        <w:trPr>
          <w:cantSplit/>
        </w:trPr>
        <w:tc>
          <w:tcPr>
            <w:tcW w:w="537" w:type="dxa"/>
          </w:tcPr>
          <w:p>
            <w:pPr>
              <w:pStyle w:val="P163"/>
            </w:pPr>
            <w:r>
              <w:t>1.</w:t>
            </w:r>
          </w:p>
        </w:tc>
        <w:tc>
          <w:tcPr>
            <w:tcW w:w="1990" w:type="dxa"/>
          </w:tcPr>
          <w:p>
            <w:pPr>
              <w:pStyle w:val="P163"/>
            </w:pPr>
            <w:r>
              <w:t>≤ 65</w:t>
            </w:r>
          </w:p>
        </w:tc>
        <w:tc>
          <w:tcPr>
            <w:tcW w:w="2153" w:type="dxa"/>
          </w:tcPr>
          <w:p>
            <w:pPr>
              <w:pStyle w:val="P163"/>
            </w:pPr>
            <w:r>
              <w:t>10</w:t>
            </w:r>
          </w:p>
        </w:tc>
      </w:tr>
      <w:tr>
        <w:trPr>
          <w:cantSplit/>
        </w:trPr>
        <w:tc>
          <w:tcPr>
            <w:tcW w:w="537" w:type="dxa"/>
          </w:tcPr>
          <w:p>
            <w:pPr>
              <w:pStyle w:val="P163"/>
            </w:pPr>
            <w:r>
              <w:t>2.</w:t>
            </w:r>
          </w:p>
        </w:tc>
        <w:tc>
          <w:tcPr>
            <w:tcW w:w="1990" w:type="dxa"/>
          </w:tcPr>
          <w:p>
            <w:pPr>
              <w:pStyle w:val="P163"/>
            </w:pPr>
            <w:r>
              <w:t>&gt; 65 to ≤ 70</w:t>
            </w:r>
          </w:p>
        </w:tc>
        <w:tc>
          <w:tcPr>
            <w:tcW w:w="2153" w:type="dxa"/>
          </w:tcPr>
          <w:p>
            <w:pPr>
              <w:pStyle w:val="P163"/>
            </w:pPr>
            <w:r>
              <w:t>20</w:t>
            </w:r>
          </w:p>
        </w:tc>
      </w:tr>
      <w:tr>
        <w:trPr>
          <w:cantSplit/>
        </w:trPr>
        <w:tc>
          <w:tcPr>
            <w:tcW w:w="537" w:type="dxa"/>
          </w:tcPr>
          <w:p>
            <w:pPr>
              <w:pStyle w:val="P163"/>
            </w:pPr>
            <w:r>
              <w:t>3.</w:t>
            </w:r>
          </w:p>
        </w:tc>
        <w:tc>
          <w:tcPr>
            <w:tcW w:w="1990" w:type="dxa"/>
          </w:tcPr>
          <w:p>
            <w:pPr>
              <w:pStyle w:val="P163"/>
            </w:pPr>
            <w:r>
              <w:t xml:space="preserve">&gt; 70 to ≤ 75 </w:t>
            </w:r>
          </w:p>
        </w:tc>
        <w:tc>
          <w:tcPr>
            <w:tcW w:w="2153" w:type="dxa"/>
          </w:tcPr>
          <w:p>
            <w:pPr>
              <w:pStyle w:val="P163"/>
            </w:pPr>
            <w:r>
              <w:t>30</w:t>
            </w:r>
          </w:p>
        </w:tc>
      </w:tr>
      <w:tr>
        <w:trPr>
          <w:cantSplit/>
        </w:trPr>
        <w:tc>
          <w:tcPr>
            <w:tcW w:w="537" w:type="dxa"/>
          </w:tcPr>
          <w:p>
            <w:pPr>
              <w:pStyle w:val="P163"/>
            </w:pPr>
            <w:r>
              <w:t>4.</w:t>
            </w:r>
          </w:p>
        </w:tc>
        <w:tc>
          <w:tcPr>
            <w:tcW w:w="1990" w:type="dxa"/>
          </w:tcPr>
          <w:p>
            <w:pPr>
              <w:pStyle w:val="P163"/>
            </w:pPr>
            <w:r>
              <w:t xml:space="preserve">&gt; 75 to ≤ 80 </w:t>
            </w:r>
          </w:p>
        </w:tc>
        <w:tc>
          <w:tcPr>
            <w:tcW w:w="2153" w:type="dxa"/>
          </w:tcPr>
          <w:p>
            <w:pPr>
              <w:pStyle w:val="P163"/>
            </w:pPr>
            <w:r>
              <w:t>55</w:t>
            </w:r>
          </w:p>
        </w:tc>
      </w:tr>
      <w:tr>
        <w:trPr>
          <w:cantSplit/>
        </w:trPr>
        <w:tc>
          <w:tcPr>
            <w:tcW w:w="537" w:type="dxa"/>
          </w:tcPr>
          <w:p>
            <w:pPr>
              <w:pStyle w:val="P163"/>
            </w:pPr>
            <w:r>
              <w:t>5.</w:t>
            </w:r>
          </w:p>
        </w:tc>
        <w:tc>
          <w:tcPr>
            <w:tcW w:w="1990" w:type="dxa"/>
          </w:tcPr>
          <w:p>
            <w:pPr>
              <w:pStyle w:val="P163"/>
            </w:pPr>
            <w:r>
              <w:t>&gt; 80 to ≤ 85</w:t>
            </w:r>
          </w:p>
        </w:tc>
        <w:tc>
          <w:tcPr>
            <w:tcW w:w="2153" w:type="dxa"/>
          </w:tcPr>
          <w:p>
            <w:pPr>
              <w:pStyle w:val="P163"/>
            </w:pPr>
            <w:r>
              <w:t>100</w:t>
            </w:r>
          </w:p>
        </w:tc>
      </w:tr>
      <w:tr>
        <w:trPr>
          <w:cantSplit/>
        </w:trPr>
        <w:tc>
          <w:tcPr>
            <w:tcW w:w="537" w:type="dxa"/>
          </w:tcPr>
          <w:p>
            <w:pPr>
              <w:pStyle w:val="P163"/>
            </w:pPr>
            <w:r>
              <w:t>6.</w:t>
            </w:r>
          </w:p>
        </w:tc>
        <w:tc>
          <w:tcPr>
            <w:tcW w:w="1990" w:type="dxa"/>
          </w:tcPr>
          <w:p>
            <w:pPr>
              <w:pStyle w:val="P163"/>
            </w:pPr>
            <w:r>
              <w:t>&gt; 85 to ≤ 90</w:t>
            </w:r>
          </w:p>
        </w:tc>
        <w:tc>
          <w:tcPr>
            <w:tcW w:w="2153" w:type="dxa"/>
          </w:tcPr>
          <w:p>
            <w:pPr>
              <w:pStyle w:val="P163"/>
            </w:pPr>
            <w:r>
              <w:t>180</w:t>
            </w:r>
          </w:p>
        </w:tc>
      </w:tr>
    </w:tbl>
    <w:p>
      <w:pPr>
        <w:pStyle w:val="P32"/>
      </w:pPr>
      <w:r>
        <w:tab/>
        <w:t>7.</w:t>
        <w:tab/>
        <w:t>The distance between each solar photovoltaic collector panel and the property boundary of the facility is not less than 15 metres. O. Reg. 350/12, s. 3 (2).</w:t>
      </w:r>
    </w:p>
    <w:p>
      <w:pPr>
        <w:pStyle w:val="P108"/>
      </w:pPr>
      <w:r>
        <w:t xml:space="preserve">  </w:t>
      </w:r>
      <w:r>
        <w:rPr/>
        <w:tab/>
      </w:r>
      <w:r>
        <w:rPr/>
      </w:r>
      <w:r>
        <w:rPr/>
      </w:r>
      <w:r>
        <w:rPr/>
      </w:r>
      <w:r>
        <w:rPr>
          <w:rStyle w:val="C2"/>
        </w:rPr>
        <w:t>(3)</w:t>
      </w:r>
      <w:r>
        <w:rPr>
          <w:rStyle w:val="C2"/>
        </w:rPr>
      </w:r>
      <w:r>
        <w:rPr/>
        <w:t xml:space="preserve">  The criterion set out in paragraph 6 of subsection (2) is not </w:t>
      </w:r>
      <w:r>
        <w:rPr>
          <w:highlight w:val="cyan"/>
        </w:rPr>
        <w:t>required</w:t>
      </w:r>
      <w:r>
        <w:rPr/>
        <w:t xml:space="preserve"> to be met if the sound discharged from the facility does not result in a sound pressure level that, at any point on the property boundary of any noise receptor, exceeds,</w:t>
      </w:r>
    </w:p>
    <w:p>
      <w:pPr>
        <w:pStyle w:val="P25"/>
      </w:pPr>
      <w:r>
        <w:tab/>
        <w:t>(a)</w:t>
        <w:tab/>
        <w:t>40 dBA; or</w:t>
      </w:r>
    </w:p>
    <w:p>
      <w:pPr>
        <w:pStyle w:val="P25"/>
      </w:pPr>
      <w:r>
        <w:tab/>
        <w:t>(b)</w:t>
        <w:tab/>
        <w:t>where the lowest hourly ambient sound pressure level on the property boundary, excluding the sound discharged from the facility, is greater than 40 dBA, that ambient sound pressure level. O. Reg. 350/12, s. 3 (3).</w:t>
      </w:r>
    </w:p>
    <w:p>
      <w:pPr>
        <w:pStyle w:val="P108"/>
      </w:pPr>
      <w:bookmarkStart w:id="15" w:name="s3s4"/>
      <w:bookmarkEnd w:id="15"/>
      <w:r>
        <w:tab/>
      </w:r>
      <w:r>
        <w:fldChar w:fldCharType="begin"/>
      </w:r>
      <w:r>
        <w:instrText>HYPERLINK "http://www.ontario.ca/fr/lois/reglement/120350" \l "s3s4"</w:instrText>
      </w:r>
      <w:r>
        <w:fldChar w:fldCharType="separate"/>
      </w:r>
      <w:r>
        <w:rPr>
          <w:rStyle w:val="C2"/>
          <w:lang w:val="en-US"/>
        </w:rPr>
        <w:t>(4)</w:t>
      </w:r>
      <w:r>
        <w:rPr>
          <w:rStyle w:val="C2"/>
          <w:lang w:val="en-US"/>
        </w:rPr>
        <w:fldChar w:fldCharType="end"/>
      </w:r>
      <w:r>
        <w:t>  The criteria referred to in subsection (1) with respect to a facility location are the following:</w:t>
      </w:r>
    </w:p>
    <w:p>
      <w:pPr>
        <w:pStyle w:val="P32"/>
      </w:pPr>
      <w:r>
        <w:tab/>
        <w:t>1.</w:t>
        <w:tab/>
        <w:t>The area of the facility location does not exceed four hectares and the facility location is situated on a property that is zoned for industrial, commercial or institutional use and,</w:t>
      </w:r>
    </w:p>
    <w:p>
      <w:pPr>
        <w:pStyle w:val="P38"/>
      </w:pPr>
      <w:r>
        <w:tab/>
        <w:t>i.</w:t>
        <w:tab/>
        <w:t>the property is used for the use for which it is zoned, or</w:t>
      </w:r>
    </w:p>
    <w:p>
      <w:pPr>
        <w:pStyle w:val="P38"/>
      </w:pPr>
      <w:r>
        <w:tab/>
        <w:t>ii.</w:t>
        <w:tab/>
        <w:t>the concentration of a contaminant in the soil at the property exceeds the soil standard for subsurface soil for that contaminant set out in Table 5 of the Soil, Ground Water and Sediment Standards that is applicable to the use for which the property is zoned.</w:t>
      </w:r>
    </w:p>
    <w:p>
      <w:pPr>
        <w:pStyle w:val="P32"/>
      </w:pPr>
      <w:r>
        <w:tab/>
        <w:t>2.</w:t>
        <w:tab/>
        <w:t>The area of the facility location does not exceed three hectares and the facility location is situated on land that,</w:t>
      </w:r>
    </w:p>
    <w:p>
      <w:pPr>
        <w:pStyle w:val="P38"/>
      </w:pPr>
      <w:r>
        <w:tab/>
        <w:t>i.</w:t>
        <w:tab/>
        <w:t>is used for a farm operation activity, and</w:t>
      </w:r>
    </w:p>
    <w:p>
      <w:pPr>
        <w:pStyle w:val="P38"/>
        <w:rPr>
          <w:rStyle w:val="C9"/>
          <w:i w:val="0"/>
        </w:rPr>
      </w:pPr>
      <w:r>
        <w:tab/>
        <w:t>ii.</w:t>
        <w:tab/>
        <w:t xml:space="preserve">is not part of an area of settlement within the meaning of the </w:t>
      </w:r>
      <w:r>
        <w:rPr>
          <w:rStyle w:val="C9"/>
        </w:rPr>
        <w:t>Planning Act</w:t>
      </w:r>
      <w:r>
        <w:rPr>
          <w:rStyle w:val="C9"/>
          <w:i w:val="0"/>
        </w:rPr>
        <w:t>.</w:t>
      </w:r>
      <w:r>
        <w:t xml:space="preserve"> O. Reg. 350/12, s. 3 (4).</w:t>
      </w:r>
    </w:p>
    <w:p>
      <w:pPr>
        <w:pStyle w:val="P108"/>
      </w:pPr>
      <w:bookmarkStart w:id="16" w:name="s3s5"/>
      <w:bookmarkEnd w:id="16"/>
      <w:r>
        <w:tab/>
      </w:r>
      <w:r>
        <w:fldChar w:fldCharType="begin"/>
      </w:r>
      <w:r>
        <w:instrText>HYPERLINK "http://www.ontario.ca/fr/lois/reglement/120350" \l "s3s5"</w:instrText>
      </w:r>
      <w:r>
        <w:fldChar w:fldCharType="separate"/>
      </w:r>
      <w:r>
        <w:rPr>
          <w:rStyle w:val="C2"/>
          <w:lang w:val="en-US"/>
        </w:rPr>
        <w:t>(5)</w:t>
      </w:r>
      <w:r>
        <w:rPr>
          <w:rStyle w:val="C2"/>
          <w:lang w:val="en-US"/>
        </w:rPr>
        <w:fldChar w:fldCharType="end"/>
      </w:r>
      <w:r>
        <w:t>  For the purposes of subsection (4), a criterion set out in subparagraph 1 i or ii or 2 i or ii of that subsection is met if it is met immediately before construction of the solar facility begins. O. Reg. 350/12, s. 3 (5).</w:t>
      </w:r>
    </w:p>
    <w:p>
      <w:pPr>
        <w:pStyle w:val="P108"/>
      </w:pPr>
      <w:bookmarkStart w:id="17" w:name="s3s6"/>
      <w:bookmarkEnd w:id="17"/>
      <w:r>
        <w:tab/>
      </w:r>
      <w:r>
        <w:fldChar w:fldCharType="begin"/>
      </w:r>
      <w:r>
        <w:instrText>HYPERLINK "http://www.ontario.ca/fr/lois/reglement/120350" \l "s3s6"</w:instrText>
      </w:r>
      <w:r>
        <w:fldChar w:fldCharType="separate"/>
      </w:r>
      <w:r>
        <w:rPr>
          <w:rStyle w:val="C2"/>
          <w:lang w:val="en-US"/>
        </w:rPr>
        <w:t>(6)</w:t>
      </w:r>
      <w:r>
        <w:rPr>
          <w:rStyle w:val="C2"/>
          <w:lang w:val="en-US"/>
        </w:rPr>
        <w:fldChar w:fldCharType="end"/>
      </w:r>
      <w:r>
        <w:t>  This section does not apply in respect of activities engaged in at a solar facility that meets any of the following criteria:</w:t>
      </w:r>
    </w:p>
    <w:p>
      <w:pPr>
        <w:pStyle w:val="P32"/>
      </w:pPr>
      <w:r>
        <w:tab/>
        <w:t>1.</w:t>
        <w:tab/>
        <w:t xml:space="preserve">A solar facility that includes any associated or ancillary equipment, system or technology prescribed in paragraph 1 of subsection 1 (4) of Ontario Regulation 160/99 (Definitions and Exemptions) made under the </w:t>
      </w:r>
      <w:r>
        <w:rPr>
          <w:rStyle w:val="C9"/>
        </w:rPr>
        <w:t>Electricity Act, 1998</w:t>
      </w:r>
      <w:r>
        <w:rPr>
          <w:rStyle w:val="C9"/>
          <w:i w:val="0"/>
        </w:rPr>
        <w:t>,</w:t>
      </w:r>
      <w:r>
        <w:t xml:space="preserve"> other than,</w:t>
      </w:r>
    </w:p>
    <w:p>
      <w:pPr>
        <w:pStyle w:val="P38"/>
      </w:pPr>
      <w:r>
        <w:tab/>
        <w:t>i.</w:t>
        <w:tab/>
        <w:t>a distribution line that is used to distribute electricity within the facility, or</w:t>
      </w:r>
    </w:p>
    <w:p>
      <w:pPr>
        <w:pStyle w:val="P38"/>
      </w:pPr>
      <w:r>
        <w:tab/>
        <w:t>ii.</w:t>
        <w:tab/>
        <w:t>an off-property distribution line that does not exceed two kilometres in length.</w:t>
      </w:r>
    </w:p>
    <w:p>
      <w:pPr>
        <w:pStyle w:val="P32"/>
      </w:pPr>
      <w:r>
        <w:tab/>
        <w:t>2.</w:t>
        <w:tab/>
        <w:t>A solar facility that is located on a property that has other solar facilities located on the same property if,</w:t>
      </w:r>
    </w:p>
    <w:p>
      <w:pPr>
        <w:pStyle w:val="P38"/>
      </w:pPr>
      <w:r>
        <w:tab/>
        <w:t>i.</w:t>
        <w:tab/>
        <w:t>subject to subsection (7), the total name plate capacity of all of the solar facilities located on the property exceeds 500 kW,</w:t>
      </w:r>
    </w:p>
    <w:p>
      <w:pPr>
        <w:pStyle w:val="P38"/>
      </w:pPr>
      <w:r>
        <w:tab/>
        <w:t>ii.</w:t>
        <w:tab/>
        <w:t>the property is zoned for industrial, commercial or institutional use and the total area of all of the facility locations exceeds four hectares, or</w:t>
      </w:r>
    </w:p>
    <w:p>
      <w:pPr>
        <w:pStyle w:val="P38"/>
      </w:pPr>
      <w:r>
        <w:tab/>
        <w:t>iii.</w:t>
        <w:tab/>
        <w:t>the property is used for a farm operation activity and the total area of all of the facility locations exceeds three hectares.</w:t>
      </w:r>
    </w:p>
    <w:p>
      <w:pPr>
        <w:pStyle w:val="P32"/>
      </w:pPr>
      <w:r>
        <w:tab/>
        <w:t>3.</w:t>
        <w:tab/>
        <w:t>A solar facility in respect of which a renewable energy approval was in effect under Part V.0.1 of the Act on the day this section comes into force.</w:t>
      </w:r>
    </w:p>
    <w:p>
      <w:pPr>
        <w:pStyle w:val="P32"/>
      </w:pPr>
      <w:r>
        <w:tab/>
        <w:t>4.</w:t>
        <w:tab/>
        <w:t>A solar facility in respect of which an environmental compliance approval was in effect on the day this section comes into force.</w:t>
      </w:r>
    </w:p>
    <w:p>
      <w:pPr>
        <w:pStyle w:val="P32"/>
      </w:pPr>
      <w:r>
        <w:tab/>
        <w:t>5.</w:t>
        <w:tab/>
        <w:t>A solar facility that is,</w:t>
      </w:r>
    </w:p>
    <w:p>
      <w:pPr>
        <w:pStyle w:val="P38"/>
      </w:pPr>
      <w:r>
        <w:tab/>
        <w:t>i.</w:t>
        <w:tab/>
        <w:t>associated with a building or structure that contains one or more dwellings, and</w:t>
      </w:r>
    </w:p>
    <w:p>
      <w:pPr>
        <w:pStyle w:val="P38"/>
      </w:pPr>
      <w:r>
        <w:tab/>
        <w:t>ii.</w:t>
        <w:tab/>
        <w:t>used by the occupants of not more than three dwellings in the building or structure.</w:t>
      </w:r>
    </w:p>
    <w:p>
      <w:pPr>
        <w:pStyle w:val="P32"/>
      </w:pPr>
      <w:r>
        <w:tab/>
        <w:t>6.</w:t>
        <w:tab/>
        <w:t>A solar facility that is used in agriculture, unless electricity generated at the facility is sold by the owner or operator of the facility. O. Reg. 350/12, s. 3 (6).</w:t>
      </w:r>
    </w:p>
    <w:p>
      <w:pPr>
        <w:pStyle w:val="P108"/>
      </w:pPr>
      <w:bookmarkStart w:id="18" w:name="s3s7"/>
      <w:bookmarkEnd w:id="18"/>
      <w:r>
        <w:tab/>
      </w:r>
      <w:r>
        <w:fldChar w:fldCharType="begin"/>
      </w:r>
      <w:r>
        <w:instrText>HYPERLINK "http://www.ontario.ca/fr/lois/reglement/120350" \l "s3s7"</w:instrText>
      </w:r>
      <w:r>
        <w:fldChar w:fldCharType="separate"/>
      </w:r>
      <w:r>
        <w:rPr>
          <w:rStyle w:val="C2"/>
          <w:lang w:val="en-US"/>
        </w:rPr>
        <w:t>(7)</w:t>
      </w:r>
      <w:r>
        <w:rPr>
          <w:rStyle w:val="C2"/>
          <w:lang w:val="en-US"/>
        </w:rPr>
        <w:fldChar w:fldCharType="end"/>
      </w:r>
      <w:r>
        <w:t>  Subparagraph 2 i of subsection (6) does not apply in respect of a solar facility if, immediately after the solar facility is constructed or changed where the change results in an increase in the name plate capacity of the facility, the total name plate capacity of all of the solar facilities located on the property does not exceed 500 kW. O. Reg. 350/12, s. 3 (7).</w:t>
      </w:r>
    </w:p>
    <w:p>
      <w:pPr>
        <w:pStyle w:val="P108"/>
      </w:pPr>
      <w:bookmarkStart w:id="19" w:name="s3s8"/>
      <w:bookmarkEnd w:id="19"/>
      <w:r>
        <w:tab/>
      </w:r>
      <w:r>
        <w:fldChar w:fldCharType="begin"/>
      </w:r>
      <w:r>
        <w:instrText>HYPERLINK "http://www.ontario.ca/fr/lois/reglement/120350" \l "s3s8"</w:instrText>
      </w:r>
      <w:r>
        <w:fldChar w:fldCharType="separate"/>
      </w:r>
      <w:r>
        <w:rPr>
          <w:rStyle w:val="C2"/>
          <w:lang w:val="en-US"/>
        </w:rPr>
        <w:t>(8)</w:t>
      </w:r>
      <w:r>
        <w:rPr>
          <w:rStyle w:val="C2"/>
          <w:lang w:val="en-US"/>
        </w:rPr>
        <w:fldChar w:fldCharType="end"/>
      </w:r>
      <w:r>
        <w:t>  This section does not apply in respect of activities engaged in at a solar facility that is situated at a facility location that meets any of the following criteria:</w:t>
      </w:r>
    </w:p>
    <w:p>
      <w:pPr>
        <w:pStyle w:val="P32"/>
      </w:pPr>
      <w:r>
        <w:tab/>
        <w:t>1.</w:t>
        <w:tab/>
        <w:t>Subject to subsection (9), a facility location that is situated,</w:t>
      </w:r>
    </w:p>
    <w:p>
      <w:pPr>
        <w:pStyle w:val="P38"/>
      </w:pPr>
      <w:r>
        <w:tab/>
        <w:t>i.</w:t>
        <w:tab/>
        <w:t>within 250 metres of an archaeological site that is set out in records maintained by the Ministry of Tourism, Culture and Sport,</w:t>
      </w:r>
    </w:p>
    <w:p>
      <w:pPr>
        <w:pStyle w:val="P38"/>
      </w:pPr>
      <w:r>
        <w:tab/>
        <w:t>ii.</w:t>
        <w:tab/>
        <w:t>within an area that has been identified by a local municipality or an upper-tier municipality on an archaeological management plan as an area of archaeological potential, or</w:t>
      </w:r>
    </w:p>
    <w:p>
      <w:pPr>
        <w:pStyle w:val="P38"/>
      </w:pPr>
      <w:r>
        <w:tab/>
        <w:t>iii.</w:t>
        <w:tab/>
        <w:t xml:space="preserve">on a property on which a national historic site is located. </w:t>
      </w:r>
    </w:p>
    <w:p>
      <w:pPr>
        <w:pStyle w:val="P32"/>
      </w:pPr>
      <w:r>
        <w:tab/>
        <w:t>2.</w:t>
        <w:tab/>
        <w:t>A facility location that is situated within 30 metres of a water body.</w:t>
      </w:r>
    </w:p>
    <w:p>
      <w:pPr>
        <w:pStyle w:val="P32"/>
      </w:pPr>
      <w:r>
        <w:tab/>
        <w:t>3.</w:t>
        <w:tab/>
        <w:t>A facility location that is situated on more than one property. O. Reg. 350/12, s. 3 (8).</w:t>
      </w:r>
    </w:p>
    <w:p>
      <w:pPr>
        <w:pStyle w:val="P108"/>
      </w:pPr>
      <w:bookmarkStart w:id="20" w:name="s3s9"/>
      <w:bookmarkEnd w:id="20"/>
      <w:r>
        <w:tab/>
      </w:r>
      <w:r>
        <w:fldChar w:fldCharType="begin"/>
      </w:r>
      <w:r>
        <w:instrText>HYPERLINK "http://www.ontario.ca/fr/lois/reglement/120350" \l "s3s9"</w:instrText>
      </w:r>
      <w:r>
        <w:fldChar w:fldCharType="separate"/>
      </w:r>
      <w:r>
        <w:rPr>
          <w:rStyle w:val="C2"/>
          <w:lang w:val="en-US"/>
        </w:rPr>
        <w:t>(9)</w:t>
      </w:r>
      <w:r>
        <w:rPr>
          <w:rStyle w:val="C2"/>
          <w:lang w:val="en-US"/>
        </w:rPr>
        <w:fldChar w:fldCharType="end"/>
      </w:r>
      <w:r>
        <w:t>  Paragraph 1 of subsection (8) does not apply in respect of a facility location if, immediately after the solar facility is constructed or changed, where the change results in an increase in the name plate capacity of the facility, the facility location is not,</w:t>
      </w:r>
    </w:p>
    <w:p>
      <w:pPr>
        <w:pStyle w:val="P25"/>
      </w:pPr>
      <w:r>
        <w:tab/>
        <w:t>(a)</w:t>
        <w:tab/>
        <w:t>within 250 metres of an archaeological site mentioned in subparagraph 1 i of subsection (8);</w:t>
      </w:r>
    </w:p>
    <w:p>
      <w:pPr>
        <w:pStyle w:val="P25"/>
      </w:pPr>
      <w:r>
        <w:tab/>
        <w:t>(b)</w:t>
        <w:tab/>
        <w:t>within an area mentioned in subparagraph 1 ii of subsection (8); and</w:t>
      </w:r>
    </w:p>
    <w:p>
      <w:pPr>
        <w:pStyle w:val="P25"/>
      </w:pPr>
      <w:r>
        <w:tab/>
        <w:t>(c)</w:t>
        <w:tab/>
        <w:t>on a property mentioned in subparagraph 1 iii of subsection (8). O. Reg. 350/12, s. 3 (9).</w:t>
      </w:r>
    </w:p>
    <w:p>
      <w:pPr>
        <w:pStyle w:val="P108"/>
      </w:pPr>
      <w:bookmarkStart w:id="21" w:name="s3s10"/>
      <w:bookmarkEnd w:id="21"/>
      <w:r>
        <w:tab/>
      </w:r>
      <w:r>
        <w:fldChar w:fldCharType="begin"/>
      </w:r>
      <w:r>
        <w:instrText>HYPERLINK "http://www.ontario.ca/fr/lois/reglement/120350" \l "s3s10"</w:instrText>
      </w:r>
      <w:r>
        <w:fldChar w:fldCharType="separate"/>
      </w:r>
      <w:r>
        <w:rPr>
          <w:rStyle w:val="C2"/>
          <w:lang w:val="en-US"/>
        </w:rPr>
        <w:t>(10)</w:t>
      </w:r>
      <w:r>
        <w:rPr>
          <w:rStyle w:val="C2"/>
          <w:lang w:val="en-US"/>
        </w:rPr>
        <w:fldChar w:fldCharType="end"/>
      </w:r>
      <w:r>
        <w:t>  For the purposes of the following provisions, a facility location does not include any part of the facility location used solely for an off-property distribution line:</w:t>
      </w:r>
    </w:p>
    <w:p>
      <w:pPr>
        <w:pStyle w:val="P32"/>
      </w:pPr>
      <w:r>
        <w:tab/>
        <w:t>1.</w:t>
        <w:tab/>
        <w:t>Subsection (4).</w:t>
      </w:r>
    </w:p>
    <w:p>
      <w:pPr>
        <w:pStyle w:val="P32"/>
      </w:pPr>
      <w:r>
        <w:tab/>
        <w:t>2.</w:t>
        <w:tab/>
        <w:t>Subparagraphs 2 ii and iii of subsection (6).</w:t>
      </w:r>
    </w:p>
    <w:p>
      <w:pPr>
        <w:pStyle w:val="P32"/>
      </w:pPr>
      <w:r>
        <w:tab/>
        <w:t>3.</w:t>
        <w:tab/>
        <w:t>Paragraph 3 of subsection (8). O. Reg. 350/12, s. 3 (10).</w:t>
      </w:r>
    </w:p>
    <w:p>
      <w:pPr>
        <w:pStyle w:val="P301"/>
      </w:pPr>
      <w:r>
        <w:t>Registration exemptions, s. 20.21 (1) (a) and (b) of the Act</w:t>
      </w:r>
    </w:p>
    <w:p>
      <w:pPr>
        <w:pStyle w:val="P99"/>
      </w:pPr>
      <w:bookmarkStart w:id="22" w:name="s4"/>
      <w:bookmarkEnd w:id="22"/>
      <w:r>
        <w:tab/>
      </w:r>
      <w:bookmarkStart w:id="23" w:name="BK3"/>
      <w:bookmarkEnd w:id="23"/>
      <w:r>
        <w:fldChar w:fldCharType="begin"/>
      </w:r>
      <w:r>
        <w:instrText xml:space="preserve"> HYPERLINK "http://www.ontario.ca/fr/lois/reglement/120350" \l "s4" </w:instrText>
      </w:r>
      <w:r>
        <w:fldChar w:fldCharType="separate"/>
      </w:r>
      <w:r>
        <w:rPr>
          <w:rStyle w:val="C2"/>
          <w:lang w:val="en-US"/>
        </w:rPr>
        <w:t>4.</w:t>
      </w:r>
      <w:r>
        <w:fldChar w:fldCharType="end"/>
      </w:r>
      <w:r>
        <w:rPr>
          <w:b w:val="1"/>
        </w:rPr>
        <w:t>  </w:t>
      </w:r>
      <w:r>
        <w:t>A person who engages in an activity prescribed by section 3 is exempt from clauses 20.21 (1) (a) and (b) of the Act in respect of the activity if,</w:t>
      </w:r>
    </w:p>
    <w:p>
      <w:pPr>
        <w:pStyle w:val="P25"/>
      </w:pPr>
      <w:r>
        <w:tab/>
        <w:t>(a)</w:t>
        <w:tab/>
        <w:t xml:space="preserve">the activity is engaged in at a solar facility in respect of which the person has previously registered an activity prescribed by section 3 of this Regulation; and </w:t>
      </w:r>
    </w:p>
    <w:p>
      <w:pPr>
        <w:pStyle w:val="P25"/>
      </w:pPr>
      <w:r>
        <w:tab/>
        <w:t>(b)</w:t>
        <w:tab/>
        <w:t>the registration in respect of the previously registered activity is not suspended and has not been removed from the Registry. O. Reg. 350/12, s. 4.</w:t>
      </w:r>
    </w:p>
    <w:p>
      <w:pPr>
        <w:pStyle w:val="P301"/>
      </w:pPr>
      <w:r>
        <w:t>Activity requirements, s. 20.21 (1) (c) of the Act — notice</w:t>
      </w:r>
    </w:p>
    <w:p>
      <w:pPr>
        <w:pStyle w:val="P99"/>
      </w:pPr>
      <w:r>
        <w:t xml:space="preserve">  </w:t>
      </w:r>
      <w:r>
        <w:rPr/>
        <w:tab/>
      </w:r>
      <w:r>
        <w:rPr/>
      </w:r>
      <w:r>
        <w:rPr/>
      </w:r>
      <w:r>
        <w:rPr/>
      </w:r>
      <w:r>
        <w:rPr>
          <w:rStyle w:val="C2"/>
        </w:rPr>
        <w:t>5.  (1)</w:t>
      </w:r>
      <w:r>
        <w:rPr/>
      </w:r>
      <w:r>
        <w:rPr/>
        <w:t xml:space="preserve">  For the purposes of clause 20.21 (1) (c) of the Act, a person who engages in an activity prescribed by section 3 of this Regulation </w:t>
      </w:r>
      <w:r>
        <w:rPr>
          <w:highlight w:val="yellow"/>
        </w:rPr>
        <w:t>shall</w:t>
      </w:r>
      <w:r>
        <w:rPr/>
        <w:t xml:space="preserve"> distribute a written notice of the activity in a form approved by the Director to the following persons before engaging in the activity:</w:t>
      </w:r>
    </w:p>
    <w:p>
      <w:pPr>
        <w:pStyle w:val="P32"/>
      </w:pPr>
      <w:r>
        <w:tab/>
        <w:t>1.</w:t>
        <w:tab/>
        <w:t>Every owner or occupant of a property adjacent to the property on which the facility location is situated.</w:t>
      </w:r>
    </w:p>
    <w:p>
      <w:pPr>
        <w:pStyle w:val="P32"/>
      </w:pPr>
      <w:r>
        <w:tab/>
        <w:t>2.</w:t>
        <w:tab/>
        <w:t>The clerk of each local municipality and upper-tier municipality in which the facility location is situated.</w:t>
      </w:r>
    </w:p>
    <w:p>
      <w:pPr>
        <w:pStyle w:val="P32"/>
      </w:pPr>
      <w:r>
        <w:tab/>
        <w:t>3.</w:t>
        <w:tab/>
        <w:t>The secretary of each Local Services Board of a board area in which the facility location is situated.</w:t>
      </w:r>
    </w:p>
    <w:p>
      <w:pPr>
        <w:pStyle w:val="P32"/>
      </w:pPr>
      <w:r>
        <w:tab/>
        <w:t>4.</w:t>
        <w:tab/>
        <w:t>The secretary-treasurer of a planning board that has jurisdiction in an area in which the facility location is situated.</w:t>
      </w:r>
    </w:p>
    <w:p>
      <w:pPr>
        <w:pStyle w:val="P32"/>
      </w:pPr>
      <w:r>
        <w:tab/>
        <w:t>5.</w:t>
        <w:tab/>
        <w:t>The chair of the Niagara Escarpment Commission, if the facility location is situated in the Niagara Escarpment Planning Area.</w:t>
      </w:r>
    </w:p>
    <w:p>
      <w:pPr>
        <w:pStyle w:val="P32"/>
      </w:pPr>
      <w:r>
        <w:tab/>
        <w:t>6.</w:t>
        <w:tab/>
        <w:t>The secretary of every company operating an oil or natural gas pipeline, if a pipeline right of way for the pipeline is located within 200 metres of the facility location. O. Reg. 350/12, s. 5 (1).</w:t>
      </w:r>
    </w:p>
    <w:p>
      <w:pPr>
        <w:pStyle w:val="P108"/>
      </w:pPr>
      <w:r>
        <w:t xml:space="preserve">  </w:t>
      </w:r>
      <w:r>
        <w:rPr/>
        <w:tab/>
      </w:r>
      <w:r>
        <w:rPr/>
      </w:r>
      <w:r>
        <w:rPr/>
      </w:r>
      <w:r>
        <w:rPr/>
      </w:r>
      <w:r>
        <w:rPr>
          <w:rStyle w:val="C2"/>
        </w:rPr>
        <w:t>(2)</w:t>
      </w:r>
      <w:r>
        <w:rPr>
          <w:rStyle w:val="C2"/>
        </w:rPr>
      </w:r>
      <w:r>
        <w:rPr/>
        <w:t xml:space="preserve">  The notice </w:t>
      </w:r>
      <w:r>
        <w:rPr>
          <w:highlight w:val="yellow"/>
        </w:rPr>
        <w:t>shall</w:t>
      </w:r>
      <w:r>
        <w:rPr/>
        <w:t xml:space="preserve"> be distributed,</w:t>
      </w:r>
    </w:p>
    <w:p>
      <w:pPr>
        <w:pStyle w:val="P25"/>
      </w:pPr>
      <w:r>
        <w:tab/>
        <w:t>(a)</w:t>
        <w:tab/>
        <w:t>at least 30 days before the activity is registered; or</w:t>
      </w:r>
    </w:p>
    <w:p>
      <w:pPr>
        <w:pStyle w:val="P25"/>
      </w:pPr>
      <w:r>
        <w:tab/>
        <w:t>(b)</w:t>
        <w:tab/>
        <w:t>if the activity would result in an increase in the name plate capacity of the solar facility but is exempt from clauses 20.21 (1) (a) and (b) of the Act, at least 30 days before the activity commences. O. Reg. 350/12, s. 5 (2).</w:t>
      </w:r>
    </w:p>
    <w:p>
      <w:pPr>
        <w:pStyle w:val="P301"/>
      </w:pPr>
      <w:r>
        <w:t>Activity requirements, s. 20.21 (1) (c) of the Act — general</w:t>
      </w:r>
    </w:p>
    <w:p>
      <w:pPr>
        <w:pStyle w:val="P99"/>
      </w:pPr>
      <w:r>
        <w:t xml:space="preserve">  </w:t>
      </w:r>
      <w:r>
        <w:rPr/>
        <w:tab/>
      </w:r>
      <w:r>
        <w:rPr/>
      </w:r>
      <w:r>
        <w:rPr/>
      </w:r>
      <w:r>
        <w:rPr/>
      </w:r>
      <w:r>
        <w:rPr>
          <w:rStyle w:val="C2"/>
        </w:rPr>
        <w:t>6.</w:t>
      </w:r>
      <w:r>
        <w:rPr/>
      </w:r>
      <w:r>
        <w:rPr>
          <w:b/>
        </w:rPr>
        <w:t xml:space="preserve">  </w:t>
      </w:r>
      <w:r>
        <w:rPr/>
        <w:t xml:space="preserve">For the purposes of clause 20.21 (1) (c) of the Act, a person who engages in an activity prescribed by section 3 of this Regulation </w:t>
      </w:r>
      <w:r>
        <w:rPr>
          <w:highlight w:val="yellow"/>
        </w:rPr>
        <w:t>shall</w:t>
      </w:r>
      <w:r>
        <w:rPr/>
        <w:t xml:space="preserve"> ensure that the following requirements are complied with:</w:t>
      </w:r>
    </w:p>
    <w:p>
      <w:pPr>
        <w:pStyle w:val="P32"/>
      </w:pPr>
      <w:r>
        <w:t xml:space="preserve">  </w:t>
      </w:r>
      <w:r>
        <w:rPr/>
        <w:tab/>
        <w:t>1.</w:t>
        <w:tab/>
        <w:t>E</w:t>
      </w:r>
      <w:r>
        <w:rPr/>
        <w:t xml:space="preserve">ach component of the solar facility </w:t>
      </w:r>
      <w:r>
        <w:rPr>
          <w:highlight w:val="yellow"/>
        </w:rPr>
        <w:t>shall</w:t>
      </w:r>
      <w:r>
        <w:rPr/>
        <w:t xml:space="preserve"> be used, operated, maintained and retired in a manner that satisfies the recommendations of the manufacturer of the component.</w:t>
      </w:r>
    </w:p>
    <w:p>
      <w:pPr>
        <w:pStyle w:val="P32"/>
      </w:pPr>
      <w:r>
        <w:t xml:space="preserve">  </w:t>
      </w:r>
      <w:r>
        <w:rPr/>
        <w:tab/>
        <w:t>2.</w:t>
        <w:tab/>
        <w:t xml:space="preserve">External light fixtures at the solar facility </w:t>
      </w:r>
      <w:r>
        <w:rPr>
          <w:highlight w:val="yellow"/>
        </w:rPr>
        <w:t>shall</w:t>
      </w:r>
      <w:r>
        <w:rPr/>
        <w:t xml:space="preserve"> be full cutoff light fixtures as specified by the manufacturer of the fixtures.</w:t>
      </w:r>
    </w:p>
    <w:p>
      <w:pPr>
        <w:pStyle w:val="P32"/>
      </w:pPr>
      <w:r>
        <w:t xml:space="preserve">  </w:t>
      </w:r>
      <w:r>
        <w:rPr/>
        <w:tab/>
        <w:t>3.</w:t>
        <w:tab/>
        <w:t xml:space="preserve">From the time that construction of the solar facility begins, a sign </w:t>
      </w:r>
      <w:r>
        <w:rPr>
          <w:highlight w:val="yellow"/>
        </w:rPr>
        <w:t>shall</w:t>
      </w:r>
      <w:r>
        <w:rPr/>
        <w:t xml:space="preserve"> be posted in a prominent location at the facility location identifying the owner or operator of the solar facility and the name and contact information of a person to contact in an emergency.</w:t>
      </w:r>
    </w:p>
    <w:p>
      <w:pPr>
        <w:pStyle w:val="P32"/>
      </w:pPr>
      <w:r>
        <w:t xml:space="preserve">  </w:t>
      </w:r>
      <w:r>
        <w:rPr/>
        <w:tab/>
        <w:t>4.</w:t>
        <w:tab/>
        <w:t xml:space="preserve">No more than 50,000 litres of water </w:t>
      </w:r>
      <w:r>
        <w:rPr>
          <w:highlight w:val="yellow"/>
        </w:rPr>
        <w:t>shall</w:t>
      </w:r>
      <w:r>
        <w:rPr/>
        <w:t xml:space="preserve"> be taken on any day by any means for the purposes of the construction, installation, use, operation, changing and retiring of the solar facility.</w:t>
      </w:r>
    </w:p>
    <w:p>
      <w:pPr>
        <w:pStyle w:val="P32"/>
      </w:pPr>
      <w:r>
        <w:t xml:space="preserve">  </w:t>
      </w:r>
      <w:r>
        <w:rPr/>
        <w:tab/>
        <w:t>5.</w:t>
        <w:tab/>
        <w:t xml:space="preserve">If the person receives a complaint with respect to the facility and the complaint relates to the natural environment, the district manager of the Ministry for the district in which the facility is located </w:t>
      </w:r>
      <w:r>
        <w:rPr>
          <w:highlight w:val="yellow"/>
        </w:rPr>
        <w:t>shall</w:t>
      </w:r>
      <w:r>
        <w:rPr/>
        <w:t xml:space="preserve"> be notified of the complaint no later than two business days after the complaint is received. O. Reg. 350/12, s. 6.</w:t>
      </w:r>
    </w:p>
    <w:p>
      <w:pPr>
        <w:pStyle w:val="P301"/>
      </w:pPr>
      <w:r>
        <w:t>Records</w:t>
      </w:r>
    </w:p>
    <w:p>
      <w:pPr>
        <w:pStyle w:val="P99"/>
      </w:pPr>
      <w:r>
        <w:t xml:space="preserve">  </w:t>
      </w:r>
      <w:r>
        <w:rPr/>
        <w:tab/>
      </w:r>
      <w:r>
        <w:rPr/>
      </w:r>
      <w:r>
        <w:rPr/>
      </w:r>
      <w:r>
        <w:rPr/>
      </w:r>
      <w:r>
        <w:rPr>
          <w:rStyle w:val="C2"/>
        </w:rPr>
        <w:t>7.  (1)</w:t>
      </w:r>
      <w:r>
        <w:rPr/>
      </w:r>
      <w:r>
        <w:rPr/>
        <w:t xml:space="preserve">  A person who engages in an activity prescribed by section 3 </w:t>
      </w:r>
      <w:r>
        <w:rPr>
          <w:highlight w:val="yellow"/>
        </w:rPr>
        <w:t>shall</w:t>
      </w:r>
      <w:r>
        <w:rPr/>
        <w:t xml:space="preserve"> ensure that each of the following records is retained for a period of five years from the day it is created:</w:t>
      </w:r>
    </w:p>
    <w:p>
      <w:pPr>
        <w:pStyle w:val="P32"/>
      </w:pPr>
      <w:r>
        <w:tab/>
        <w:t>1.</w:t>
        <w:tab/>
        <w:t xml:space="preserve">A record of the following information with respect to each inspection, maintenance and repair of any noise generating equipment unit, micro-inverter or solar photovoltaic collector panel that is used at the solar facility: </w:t>
      </w:r>
    </w:p>
    <w:p>
      <w:pPr>
        <w:pStyle w:val="P38"/>
      </w:pPr>
      <w:r>
        <w:tab/>
        <w:t>i.</w:t>
        <w:tab/>
        <w:t>The date and a summary of the inspection, maintenance or repair.</w:t>
      </w:r>
    </w:p>
    <w:p>
      <w:pPr>
        <w:pStyle w:val="P38"/>
      </w:pPr>
      <w:r>
        <w:tab/>
        <w:t>ii.</w:t>
        <w:tab/>
        <w:t>The name of the person who performed the inspection, maintenance or repair.</w:t>
      </w:r>
    </w:p>
    <w:p>
      <w:pPr>
        <w:pStyle w:val="P38"/>
      </w:pPr>
      <w:r>
        <w:tab/>
        <w:t>iii.</w:t>
        <w:tab/>
        <w:t>If the person referred to in subparagraph ii is an employee, the name of the person’s employer or the name of the business that employs the person.</w:t>
      </w:r>
    </w:p>
    <w:p>
      <w:pPr>
        <w:pStyle w:val="P38"/>
      </w:pPr>
      <w:r>
        <w:tab/>
        <w:t>iv.</w:t>
        <w:tab/>
        <w:t>A summary of any unsatisfactory conditions observed or discovered and the steps taken to correct such conditions.</w:t>
      </w:r>
    </w:p>
    <w:p>
      <w:pPr>
        <w:pStyle w:val="P32"/>
      </w:pPr>
      <w:r>
        <w:tab/>
        <w:t>2.</w:t>
        <w:tab/>
        <w:t>A copy of every document relating to each inspection, maintenance and repair mentioned in paragraph 1.</w:t>
      </w:r>
    </w:p>
    <w:p>
      <w:pPr>
        <w:pStyle w:val="P32"/>
      </w:pPr>
      <w:r>
        <w:tab/>
        <w:t>3.</w:t>
        <w:tab/>
        <w:t>A record of the following information with respect to each complaint received by the person with respect to the solar facility, if the complaint relates to the natural environment:</w:t>
      </w:r>
    </w:p>
    <w:p>
      <w:pPr>
        <w:pStyle w:val="P38"/>
      </w:pPr>
      <w:r>
        <w:tab/>
        <w:t>i.</w:t>
        <w:tab/>
        <w:t>The date and time when the complaint was received.</w:t>
      </w:r>
    </w:p>
    <w:p>
      <w:pPr>
        <w:pStyle w:val="P38"/>
      </w:pPr>
      <w:r>
        <w:tab/>
        <w:t>ii.</w:t>
        <w:tab/>
        <w:t>A copy of the complaint, if it is a written complaint.</w:t>
      </w:r>
    </w:p>
    <w:p>
      <w:pPr>
        <w:pStyle w:val="P38"/>
      </w:pPr>
      <w:r>
        <w:tab/>
        <w:t>iii.</w:t>
        <w:tab/>
        <w:t>A summary of the complaint, if it is not a written complaint.</w:t>
      </w:r>
    </w:p>
    <w:p>
      <w:pPr>
        <w:pStyle w:val="P38"/>
      </w:pPr>
      <w:r>
        <w:tab/>
        <w:t>iv.</w:t>
        <w:tab/>
        <w:t>A summary of measures taken, if any, to address the complaint. O. Reg. 350/12, s. 7 (1).</w:t>
      </w:r>
    </w:p>
    <w:p>
      <w:pPr>
        <w:pStyle w:val="P108"/>
        <w:rPr>
          <w:lang w:eastAsia="en-CA"/>
        </w:rPr>
      </w:pPr>
      <w:r>
        <w:t xml:space="preserve">  </w:t>
      </w:r>
      <w:r>
        <w:rPr/>
        <w:tab/>
      </w:r>
      <w:r>
        <w:rPr/>
      </w:r>
      <w:r>
        <w:rPr/>
      </w:r>
      <w:r>
        <w:rPr/>
      </w:r>
      <w:r>
        <w:rPr>
          <w:rStyle w:val="C2"/>
        </w:rPr>
        <w:t>(2)</w:t>
      </w:r>
      <w:r>
        <w:rPr>
          <w:rStyle w:val="C2"/>
        </w:rPr>
      </w:r>
      <w:r>
        <w:rPr/>
        <w:t xml:space="preserve">  </w:t>
      </w:r>
      <w:r>
        <w:rPr/>
        <w:t xml:space="preserve">A person who engages in an activity prescribed by section 3 </w:t>
      </w:r>
      <w:r>
        <w:rPr>
          <w:highlight w:val="yellow"/>
        </w:rPr>
        <w:t>shall</w:t>
      </w:r>
      <w:r>
        <w:rPr/>
        <w:t xml:space="preserve"> ensure that each of the following records in respect of an item is retained for the period during which the item is used or operated as part of the solar facility:</w:t>
      </w:r>
    </w:p>
    <w:p>
      <w:pPr>
        <w:pStyle w:val="P32"/>
      </w:pPr>
      <w:r>
        <w:tab/>
        <w:t>1.</w:t>
        <w:tab/>
        <w:t>Documentation from the manufacturer of the solar photovoltaic collector</w:t>
      </w:r>
      <w:r>
        <w:rPr>
          <w:b w:val="1"/>
        </w:rPr>
        <w:t xml:space="preserve"> </w:t>
      </w:r>
      <w:r>
        <w:t>panels and inverters at the facility that confirms the name plate capacity of the facility.</w:t>
      </w:r>
    </w:p>
    <w:p>
      <w:pPr>
        <w:pStyle w:val="P32"/>
      </w:pPr>
      <w:r>
        <w:tab/>
        <w:t>2.</w:t>
        <w:tab/>
        <w:t>Documents relating to the recommendations of the manufacturer of each item mentioned in paragraph 1 of subsection (1) with respect to the use, operation and maintenance of the item.</w:t>
      </w:r>
      <w:r>
        <w:rPr>
          <w:lang w:eastAsia="en-CA"/>
        </w:rPr>
        <w:t xml:space="preserve"> O. Reg. 350/12, s. 7 (2).</w:t>
      </w:r>
    </w:p>
    <w:p>
      <w:pPr>
        <w:pStyle w:val="P108"/>
      </w:pPr>
      <w:r>
        <w:t xml:space="preserve">  </w:t>
      </w:r>
      <w:r>
        <w:rPr/>
        <w:tab/>
      </w:r>
      <w:r>
        <w:rPr/>
      </w:r>
      <w:r>
        <w:rPr/>
      </w:r>
      <w:r>
        <w:rPr/>
      </w:r>
      <w:r>
        <w:rPr>
          <w:rStyle w:val="C2"/>
        </w:rPr>
        <w:t>(3)</w:t>
      </w:r>
      <w:r>
        <w:rPr>
          <w:rStyle w:val="C2"/>
        </w:rPr>
      </w:r>
      <w:r>
        <w:rPr/>
        <w:t xml:space="preserve">  </w:t>
      </w:r>
      <w:r>
        <w:rPr/>
        <w:t xml:space="preserve">A person who engages in an activity prescribed by section 3 </w:t>
      </w:r>
      <w:r>
        <w:rPr>
          <w:highlight w:val="yellow"/>
        </w:rPr>
        <w:t>shall</w:t>
      </w:r>
      <w:r>
        <w:rPr/>
        <w:t xml:space="preserve"> ensure that each of the following records is</w:t>
      </w:r>
      <w:r>
        <w:rPr/>
        <w:t xml:space="preserve"> retained for the period during which the solar facility operates:</w:t>
      </w:r>
    </w:p>
    <w:p>
      <w:pPr>
        <w:pStyle w:val="P32"/>
      </w:pPr>
      <w:r>
        <w:tab/>
        <w:t>1.</w:t>
        <w:tab/>
        <w:t>Documentation from,</w:t>
      </w:r>
    </w:p>
    <w:p>
      <w:pPr>
        <w:pStyle w:val="P38"/>
      </w:pPr>
      <w:r>
        <w:tab/>
        <w:t>i.</w:t>
        <w:tab/>
        <w:t>the Ministry of Tourism, Culture and Sport, confirming that the facility location is not within 250 metres of an archaeological site that is set out in records maintained by that Ministry,</w:t>
      </w:r>
    </w:p>
    <w:p>
      <w:pPr>
        <w:pStyle w:val="P38"/>
      </w:pPr>
      <w:r>
        <w:tab/>
        <w:t>ii.</w:t>
        <w:tab/>
        <w:t>the local municipality and upper-tier municipality in which the facility location is situated, confirming that the facility location is not within an area that has been identified by the municipality on an archaeological management plan, and</w:t>
      </w:r>
    </w:p>
    <w:p>
      <w:pPr>
        <w:pStyle w:val="P38"/>
      </w:pPr>
      <w:r>
        <w:tab/>
        <w:t>iii.</w:t>
        <w:tab/>
        <w:t>Parks Canada, the Ministry of Tourism, Culture and Sport or the local municipality or upper-tier municipality in which the facility location is situated, confirming that the facility location is not situated on a property on which a national historic site is located.</w:t>
      </w:r>
    </w:p>
    <w:p>
      <w:pPr>
        <w:pStyle w:val="P32"/>
      </w:pPr>
      <w:r>
        <w:tab/>
        <w:t>2.</w:t>
        <w:tab/>
        <w:t>If the facility does not meet the criterion set out in paragraph 6 of subsection 3 (2), a copy of a report prepared by a professional engineer or a person working under the supervision of a professional engineer, concluding that the sound discharged from the facility does not result in a sound pressure level that, at any point on the property boundary of any noise receptor, exceeds the sound pressure level described in clause 3 (3) (a) or (b).</w:t>
      </w:r>
    </w:p>
    <w:p>
      <w:pPr>
        <w:pStyle w:val="P32"/>
      </w:pPr>
      <w:r>
        <w:tab/>
        <w:t>3.</w:t>
        <w:tab/>
        <w:t>If the facility location is situated on property that is zoned for industrial, commercial or institutional use and meets the criterion set out in subparagraph 1 ii of subsection 3 (4) and does not meet the criterion set out in subparagraph 1 i of that subsection, a copy of an environmental site assessment concluding that the former criterion is met. O. Reg. 350/12, s. 7 (3).</w:t>
      </w:r>
    </w:p>
    <w:p>
      <w:pPr>
        <w:pStyle w:val="P99"/>
      </w:pPr>
      <w:bookmarkStart w:id="33" w:name="s8"/>
      <w:bookmarkEnd w:id="33"/>
      <w:r>
        <w:tab/>
      </w:r>
      <w:r>
        <w:fldChar w:fldCharType="begin"/>
      </w:r>
      <w:r>
        <w:instrText>HYPERLINK "http://www.ontario.ca/fr/lois/reglement/120350" \l "s8"</w:instrText>
      </w:r>
      <w:r>
        <w:fldChar w:fldCharType="separate"/>
      </w:r>
      <w:r>
        <w:rPr>
          <w:rStyle w:val="C2"/>
          <w:lang w:val="en-US"/>
        </w:rPr>
        <w:t>8.</w:t>
      </w:r>
      <w:r>
        <w:rPr>
          <w:rStyle w:val="C2"/>
          <w:lang w:val="en-US"/>
        </w:rPr>
        <w:fldChar w:fldCharType="end"/>
      </w:r>
      <w:r>
        <w:t>  </w:t>
      </w:r>
      <w:r>
        <w:rPr>
          <w:rStyle w:val="C10"/>
        </w:rPr>
        <w:t>Omitted</w:t>
      </w:r>
      <w:r>
        <w:t xml:space="preserve"> (</w:t>
      </w:r>
      <w:r>
        <w:rPr>
          <w:rStyle w:val="C10"/>
        </w:rPr>
        <w:t>provides for coming into force of provisions of this Regulation</w:t>
      </w:r>
      <w:r>
        <w:t>). O. Reg. 350/12, s. 8.</w:t>
      </w:r>
    </w:p>
    <w:p>
      <w:pPr>
        <w:pStyle w:val="P99"/>
      </w:pPr>
    </w:p>
    <w:p>
      <w:r>
        <w:fldChar w:fldCharType="begin"/>
      </w:r>
      <w:r>
        <w:instrText>HYPERLINK "http://www.ontario.ca/fr/lois/reglement/120350"</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695"/>
      <w:suff w:val="tab"/>
      <w:lvlText w:val="%1."/>
      <w:lvlJc w:val="left"/>
      <w:pPr>
        <w:ind w:hanging="360" w:left="1800"/>
        <w:tabs>
          <w:tab w:val="left" w:pos="1800" w:leader="none"/>
        </w:tabs>
      </w:pPr>
      <w:rPr/>
    </w:lvl>
    <w:lvl w:ilvl="1" w:tplc="30A1D281">
      <w:start w:val="1"/>
      <w:numFmt w:val="decimal"/>
      <w:suff w:val="tab"/>
      <w:lvlText w:val="%1."/>
      <w:lvlJc w:val="left"/>
      <w:pPr/>
      <w:rPr/>
    </w:lvl>
    <w:lvl w:ilvl="2" w:tplc="59EDBD2F">
      <w:start w:val="1"/>
      <w:numFmt w:val="decimal"/>
      <w:suff w:val="tab"/>
      <w:lvlText w:val="%1."/>
      <w:lvlJc w:val="left"/>
      <w:pPr/>
      <w:rPr/>
    </w:lvl>
    <w:lvl w:ilvl="3" w:tplc="798A9DE1">
      <w:start w:val="1"/>
      <w:numFmt w:val="decimal"/>
      <w:suff w:val="tab"/>
      <w:lvlText w:val="%1."/>
      <w:lvlJc w:val="left"/>
      <w:pPr/>
      <w:rPr/>
    </w:lvl>
    <w:lvl w:ilvl="4" w:tplc="3F091DDC">
      <w:start w:val="1"/>
      <w:numFmt w:val="decimal"/>
      <w:suff w:val="tab"/>
      <w:lvlText w:val="%1."/>
      <w:lvlJc w:val="left"/>
      <w:pPr/>
      <w:rPr/>
    </w:lvl>
    <w:lvl w:ilvl="5" w:tplc="45F03470">
      <w:start w:val="1"/>
      <w:numFmt w:val="decimal"/>
      <w:suff w:val="tab"/>
      <w:lvlText w:val="%1."/>
      <w:lvlJc w:val="left"/>
      <w:pPr/>
      <w:rPr/>
    </w:lvl>
    <w:lvl w:ilvl="6" w:tplc="51BC954C">
      <w:start w:val="1"/>
      <w:numFmt w:val="decimal"/>
      <w:suff w:val="tab"/>
      <w:lvlText w:val="%1."/>
      <w:lvlJc w:val="left"/>
      <w:pPr/>
      <w:rPr/>
    </w:lvl>
    <w:lvl w:ilvl="7" w:tplc="42348129">
      <w:start w:val="1"/>
      <w:numFmt w:val="decimal"/>
      <w:suff w:val="tab"/>
      <w:lvlText w:val="%1."/>
      <w:lvlJc w:val="left"/>
      <w:pPr/>
      <w:rPr/>
    </w:lvl>
    <w:lvl w:ilvl="8" w:tplc="5EDD08CB">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2D4D0FBA">
      <w:start w:val="1"/>
      <w:numFmt w:val="decimal"/>
      <w:suff w:val="tab"/>
      <w:lvlText w:val="%1."/>
      <w:lvlJc w:val="left"/>
      <w:pPr/>
      <w:rPr/>
    </w:lvl>
    <w:lvl w:ilvl="2" w:tplc="1A6533E6">
      <w:start w:val="1"/>
      <w:numFmt w:val="decimal"/>
      <w:suff w:val="tab"/>
      <w:lvlText w:val="%1."/>
      <w:lvlJc w:val="left"/>
      <w:pPr/>
      <w:rPr/>
    </w:lvl>
    <w:lvl w:ilvl="3" w:tplc="09F268F5">
      <w:start w:val="1"/>
      <w:numFmt w:val="decimal"/>
      <w:suff w:val="tab"/>
      <w:lvlText w:val="%1."/>
      <w:lvlJc w:val="left"/>
      <w:pPr/>
      <w:rPr/>
    </w:lvl>
    <w:lvl w:ilvl="4" w:tplc="190567F9">
      <w:start w:val="1"/>
      <w:numFmt w:val="decimal"/>
      <w:suff w:val="tab"/>
      <w:lvlText w:val="%1."/>
      <w:lvlJc w:val="left"/>
      <w:pPr/>
      <w:rPr/>
    </w:lvl>
    <w:lvl w:ilvl="5" w:tplc="60E73B0C">
      <w:start w:val="1"/>
      <w:numFmt w:val="decimal"/>
      <w:suff w:val="tab"/>
      <w:lvlText w:val="%1."/>
      <w:lvlJc w:val="left"/>
      <w:pPr/>
      <w:rPr/>
    </w:lvl>
    <w:lvl w:ilvl="6" w:tplc="60995ADF">
      <w:start w:val="1"/>
      <w:numFmt w:val="decimal"/>
      <w:suff w:val="tab"/>
      <w:lvlText w:val="%1."/>
      <w:lvlJc w:val="left"/>
      <w:pPr/>
      <w:rPr/>
    </w:lvl>
    <w:lvl w:ilvl="7" w:tplc="05357E07">
      <w:start w:val="1"/>
      <w:numFmt w:val="decimal"/>
      <w:suff w:val="tab"/>
      <w:lvlText w:val="%1."/>
      <w:lvlJc w:val="left"/>
      <w:pPr/>
      <w:rPr/>
    </w:lvl>
    <w:lvl w:ilvl="8" w:tplc="2452D3A8">
      <w:start w:val="1"/>
      <w:numFmt w:val="decimal"/>
      <w:suff w:val="tab"/>
      <w:lvlText w:val="%1."/>
      <w:lvlJc w:val="left"/>
      <w:pPr/>
      <w:rPr/>
    </w:lvl>
  </w:abstractNum>
  <w:abstractNum w:abstractNumId="2">
    <w:nsid w:val="00000082"/>
    <w:multiLevelType w:val="hybridMultilevel"/>
    <w:lvl w:ilvl="0">
      <w:start w:val="1"/>
      <w:numFmt w:val="decimal"/>
      <w:pStyle w:val="P693"/>
      <w:suff w:val="tab"/>
      <w:lvlText w:val="%1."/>
      <w:lvlJc w:val="left"/>
      <w:pPr>
        <w:ind w:hanging="360" w:left="1080"/>
        <w:tabs>
          <w:tab w:val="left" w:pos="1080" w:leader="none"/>
        </w:tabs>
      </w:pPr>
      <w:rPr/>
    </w:lvl>
    <w:lvl w:ilvl="1" w:tplc="365D0D71">
      <w:start w:val="1"/>
      <w:numFmt w:val="decimal"/>
      <w:suff w:val="tab"/>
      <w:lvlText w:val="%1."/>
      <w:lvlJc w:val="left"/>
      <w:pPr/>
      <w:rPr/>
    </w:lvl>
    <w:lvl w:ilvl="2" w:tplc="3AA8286E">
      <w:start w:val="1"/>
      <w:numFmt w:val="decimal"/>
      <w:suff w:val="tab"/>
      <w:lvlText w:val="%1."/>
      <w:lvlJc w:val="left"/>
      <w:pPr/>
      <w:rPr/>
    </w:lvl>
    <w:lvl w:ilvl="3" w:tplc="3950A0DB">
      <w:start w:val="1"/>
      <w:numFmt w:val="decimal"/>
      <w:suff w:val="tab"/>
      <w:lvlText w:val="%1."/>
      <w:lvlJc w:val="left"/>
      <w:pPr/>
      <w:rPr/>
    </w:lvl>
    <w:lvl w:ilvl="4" w:tplc="2AF787FF">
      <w:start w:val="1"/>
      <w:numFmt w:val="decimal"/>
      <w:suff w:val="tab"/>
      <w:lvlText w:val="%1."/>
      <w:lvlJc w:val="left"/>
      <w:pPr/>
      <w:rPr/>
    </w:lvl>
    <w:lvl w:ilvl="5" w:tplc="27DE1AB7">
      <w:start w:val="1"/>
      <w:numFmt w:val="decimal"/>
      <w:suff w:val="tab"/>
      <w:lvlText w:val="%1."/>
      <w:lvlJc w:val="left"/>
      <w:pPr/>
      <w:rPr/>
    </w:lvl>
    <w:lvl w:ilvl="6" w:tplc="092083B0">
      <w:start w:val="1"/>
      <w:numFmt w:val="decimal"/>
      <w:suff w:val="tab"/>
      <w:lvlText w:val="%1."/>
      <w:lvlJc w:val="left"/>
      <w:pPr/>
      <w:rPr/>
    </w:lvl>
    <w:lvl w:ilvl="7" w:tplc="66BA0526">
      <w:start w:val="1"/>
      <w:numFmt w:val="decimal"/>
      <w:suff w:val="tab"/>
      <w:lvlText w:val="%1."/>
      <w:lvlJc w:val="left"/>
      <w:pPr/>
      <w:rPr/>
    </w:lvl>
    <w:lvl w:ilvl="8" w:tplc="75F37BF3">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35A2C159">
      <w:start w:val="1"/>
      <w:numFmt w:val="decimal"/>
      <w:suff w:val="tab"/>
      <w:lvlText w:val="%1."/>
      <w:lvlJc w:val="left"/>
      <w:pPr/>
      <w:rPr/>
    </w:lvl>
    <w:lvl w:ilvl="2" w:tplc="4D67C0DC">
      <w:start w:val="1"/>
      <w:numFmt w:val="decimal"/>
      <w:suff w:val="tab"/>
      <w:lvlText w:val="%1."/>
      <w:lvlJc w:val="left"/>
      <w:pPr/>
      <w:rPr/>
    </w:lvl>
    <w:lvl w:ilvl="3" w:tplc="7FB72DDF">
      <w:start w:val="1"/>
      <w:numFmt w:val="decimal"/>
      <w:suff w:val="tab"/>
      <w:lvlText w:val="%1."/>
      <w:lvlJc w:val="left"/>
      <w:pPr/>
      <w:rPr/>
    </w:lvl>
    <w:lvl w:ilvl="4" w:tplc="43D5695F">
      <w:start w:val="1"/>
      <w:numFmt w:val="decimal"/>
      <w:suff w:val="tab"/>
      <w:lvlText w:val="%1."/>
      <w:lvlJc w:val="left"/>
      <w:pPr/>
      <w:rPr/>
    </w:lvl>
    <w:lvl w:ilvl="5" w:tplc="6EF4CECE">
      <w:start w:val="1"/>
      <w:numFmt w:val="decimal"/>
      <w:suff w:val="tab"/>
      <w:lvlText w:val="%1."/>
      <w:lvlJc w:val="left"/>
      <w:pPr/>
      <w:rPr/>
    </w:lvl>
    <w:lvl w:ilvl="6" w:tplc="1B77D987">
      <w:start w:val="1"/>
      <w:numFmt w:val="decimal"/>
      <w:suff w:val="tab"/>
      <w:lvlText w:val="%1."/>
      <w:lvlJc w:val="left"/>
      <w:pPr/>
      <w:rPr/>
    </w:lvl>
    <w:lvl w:ilvl="7" w:tplc="1971AFFA">
      <w:start w:val="1"/>
      <w:numFmt w:val="decimal"/>
      <w:suff w:val="tab"/>
      <w:lvlText w:val="%1."/>
      <w:lvlJc w:val="left"/>
      <w:pPr/>
      <w:rPr/>
    </w:lvl>
    <w:lvl w:ilvl="8" w:tplc="2E1AB244">
      <w:start w:val="1"/>
      <w:numFmt w:val="decimal"/>
      <w:suff w:val="tab"/>
      <w:lvlText w:val="%1."/>
      <w:lvlJc w:val="left"/>
      <w:pPr/>
      <w:rPr/>
    </w:lvl>
  </w:abstractNum>
  <w:abstractNum w:abstractNumId="4">
    <w:nsid w:val="00000080"/>
    <w:multiLevelType w:val="hybridMultilevel"/>
    <w:lvl w:ilvl="0">
      <w:start w:val="1"/>
      <w:numFmt w:val="bullet"/>
      <w:pStyle w:val="P685"/>
      <w:suff w:val="tab"/>
      <w:lvlText w:val=""/>
      <w:lvlJc w:val="left"/>
      <w:pPr>
        <w:ind w:hanging="360" w:left="1800"/>
        <w:tabs>
          <w:tab w:val="left" w:pos="1800" w:leader="none"/>
        </w:tabs>
      </w:pPr>
      <w:rPr>
        <w:rFonts w:ascii="Symbol" w:hAnsi="Symbol"/>
      </w:rPr>
    </w:lvl>
    <w:lvl w:ilvl="1" w:tplc="133BEB4B">
      <w:start w:val="1"/>
      <w:numFmt w:val="decimal"/>
      <w:suff w:val="tab"/>
      <w:lvlText w:val="%1."/>
      <w:lvlJc w:val="left"/>
      <w:pPr/>
      <w:rPr/>
    </w:lvl>
    <w:lvl w:ilvl="2" w:tplc="078ECE9C">
      <w:start w:val="1"/>
      <w:numFmt w:val="decimal"/>
      <w:suff w:val="tab"/>
      <w:lvlText w:val="%1."/>
      <w:lvlJc w:val="left"/>
      <w:pPr/>
      <w:rPr/>
    </w:lvl>
    <w:lvl w:ilvl="3" w:tplc="3798171A">
      <w:start w:val="1"/>
      <w:numFmt w:val="decimal"/>
      <w:suff w:val="tab"/>
      <w:lvlText w:val="%1."/>
      <w:lvlJc w:val="left"/>
      <w:pPr/>
      <w:rPr/>
    </w:lvl>
    <w:lvl w:ilvl="4" w:tplc="52FBD7A6">
      <w:start w:val="1"/>
      <w:numFmt w:val="decimal"/>
      <w:suff w:val="tab"/>
      <w:lvlText w:val="%1."/>
      <w:lvlJc w:val="left"/>
      <w:pPr/>
      <w:rPr/>
    </w:lvl>
    <w:lvl w:ilvl="5" w:tplc="2E68C3D4">
      <w:start w:val="1"/>
      <w:numFmt w:val="decimal"/>
      <w:suff w:val="tab"/>
      <w:lvlText w:val="%1."/>
      <w:lvlJc w:val="left"/>
      <w:pPr/>
      <w:rPr/>
    </w:lvl>
    <w:lvl w:ilvl="6" w:tplc="63E15C0D">
      <w:start w:val="1"/>
      <w:numFmt w:val="decimal"/>
      <w:suff w:val="tab"/>
      <w:lvlText w:val="%1."/>
      <w:lvlJc w:val="left"/>
      <w:pPr/>
      <w:rPr/>
    </w:lvl>
    <w:lvl w:ilvl="7" w:tplc="26A55EC6">
      <w:start w:val="1"/>
      <w:numFmt w:val="decimal"/>
      <w:suff w:val="tab"/>
      <w:lvlText w:val="%1."/>
      <w:lvlJc w:val="left"/>
      <w:pPr/>
      <w:rPr/>
    </w:lvl>
    <w:lvl w:ilvl="8" w:tplc="4B6964C5">
      <w:start w:val="1"/>
      <w:numFmt w:val="decimal"/>
      <w:suff w:val="tab"/>
      <w:lvlText w:val="%1."/>
      <w:lvlJc w:val="left"/>
      <w:pPr/>
      <w:rPr/>
    </w:lvl>
  </w:abstractNum>
  <w:abstractNum w:abstractNumId="5">
    <w:nsid w:val="0000007F"/>
    <w:multiLevelType w:val="hybridMultilevel"/>
    <w:lvl w:ilvl="0">
      <w:start w:val="1"/>
      <w:numFmt w:val="bullet"/>
      <w:pStyle w:val="P684"/>
      <w:suff w:val="tab"/>
      <w:lvlText w:val=""/>
      <w:lvlJc w:val="left"/>
      <w:pPr>
        <w:ind w:hanging="360" w:left="1440"/>
        <w:tabs>
          <w:tab w:val="left" w:pos="1440" w:leader="none"/>
        </w:tabs>
      </w:pPr>
      <w:rPr>
        <w:rFonts w:ascii="Symbol" w:hAnsi="Symbol"/>
      </w:rPr>
    </w:lvl>
    <w:lvl w:ilvl="1" w:tplc="31D2B777">
      <w:start w:val="1"/>
      <w:numFmt w:val="decimal"/>
      <w:suff w:val="tab"/>
      <w:lvlText w:val="%1."/>
      <w:lvlJc w:val="left"/>
      <w:pPr/>
      <w:rPr/>
    </w:lvl>
    <w:lvl w:ilvl="2" w:tplc="66048314">
      <w:start w:val="1"/>
      <w:numFmt w:val="decimal"/>
      <w:suff w:val="tab"/>
      <w:lvlText w:val="%1."/>
      <w:lvlJc w:val="left"/>
      <w:pPr/>
      <w:rPr/>
    </w:lvl>
    <w:lvl w:ilvl="3" w:tplc="0DE32C79">
      <w:start w:val="1"/>
      <w:numFmt w:val="decimal"/>
      <w:suff w:val="tab"/>
      <w:lvlText w:val="%1."/>
      <w:lvlJc w:val="left"/>
      <w:pPr/>
      <w:rPr/>
    </w:lvl>
    <w:lvl w:ilvl="4" w:tplc="185841EE">
      <w:start w:val="1"/>
      <w:numFmt w:val="decimal"/>
      <w:suff w:val="tab"/>
      <w:lvlText w:val="%1."/>
      <w:lvlJc w:val="left"/>
      <w:pPr/>
      <w:rPr/>
    </w:lvl>
    <w:lvl w:ilvl="5" w:tplc="7C3AE80A">
      <w:start w:val="1"/>
      <w:numFmt w:val="decimal"/>
      <w:suff w:val="tab"/>
      <w:lvlText w:val="%1."/>
      <w:lvlJc w:val="left"/>
      <w:pPr/>
      <w:rPr/>
    </w:lvl>
    <w:lvl w:ilvl="6" w:tplc="2E88CA84">
      <w:start w:val="1"/>
      <w:numFmt w:val="decimal"/>
      <w:suff w:val="tab"/>
      <w:lvlText w:val="%1."/>
      <w:lvlJc w:val="left"/>
      <w:pPr/>
      <w:rPr/>
    </w:lvl>
    <w:lvl w:ilvl="7" w:tplc="758074F7">
      <w:start w:val="1"/>
      <w:numFmt w:val="decimal"/>
      <w:suff w:val="tab"/>
      <w:lvlText w:val="%1."/>
      <w:lvlJc w:val="left"/>
      <w:pPr/>
      <w:rPr/>
    </w:lvl>
    <w:lvl w:ilvl="8" w:tplc="767D146F">
      <w:start w:val="1"/>
      <w:numFmt w:val="decimal"/>
      <w:suff w:val="tab"/>
      <w:lvlText w:val="%1."/>
      <w:lvlJc w:val="left"/>
      <w:pPr/>
      <w:rPr/>
    </w:lvl>
  </w:abstractNum>
  <w:abstractNum w:abstractNumId="6">
    <w:nsid w:val="0000007E"/>
    <w:multiLevelType w:val="hybridMultilevel"/>
    <w:lvl w:ilvl="0">
      <w:start w:val="1"/>
      <w:numFmt w:val="bullet"/>
      <w:pStyle w:val="P683"/>
      <w:suff w:val="tab"/>
      <w:lvlText w:val=""/>
      <w:lvlJc w:val="left"/>
      <w:pPr>
        <w:ind w:hanging="360" w:left="1080"/>
        <w:tabs>
          <w:tab w:val="left" w:pos="1080" w:leader="none"/>
        </w:tabs>
      </w:pPr>
      <w:rPr>
        <w:rFonts w:ascii="Symbol" w:hAnsi="Symbol"/>
      </w:rPr>
    </w:lvl>
    <w:lvl w:ilvl="1" w:tplc="4CCCDC51">
      <w:start w:val="1"/>
      <w:numFmt w:val="decimal"/>
      <w:suff w:val="tab"/>
      <w:lvlText w:val="%1."/>
      <w:lvlJc w:val="left"/>
      <w:pPr/>
      <w:rPr/>
    </w:lvl>
    <w:lvl w:ilvl="2" w:tplc="05AA4B82">
      <w:start w:val="1"/>
      <w:numFmt w:val="decimal"/>
      <w:suff w:val="tab"/>
      <w:lvlText w:val="%1."/>
      <w:lvlJc w:val="left"/>
      <w:pPr/>
      <w:rPr/>
    </w:lvl>
    <w:lvl w:ilvl="3" w:tplc="320FA377">
      <w:start w:val="1"/>
      <w:numFmt w:val="decimal"/>
      <w:suff w:val="tab"/>
      <w:lvlText w:val="%1."/>
      <w:lvlJc w:val="left"/>
      <w:pPr/>
      <w:rPr/>
    </w:lvl>
    <w:lvl w:ilvl="4" w:tplc="706A1B31">
      <w:start w:val="1"/>
      <w:numFmt w:val="decimal"/>
      <w:suff w:val="tab"/>
      <w:lvlText w:val="%1."/>
      <w:lvlJc w:val="left"/>
      <w:pPr/>
      <w:rPr/>
    </w:lvl>
    <w:lvl w:ilvl="5" w:tplc="584F18B5">
      <w:start w:val="1"/>
      <w:numFmt w:val="decimal"/>
      <w:suff w:val="tab"/>
      <w:lvlText w:val="%1."/>
      <w:lvlJc w:val="left"/>
      <w:pPr/>
      <w:rPr/>
    </w:lvl>
    <w:lvl w:ilvl="6" w:tplc="4FFCB87C">
      <w:start w:val="1"/>
      <w:numFmt w:val="decimal"/>
      <w:suff w:val="tab"/>
      <w:lvlText w:val="%1."/>
      <w:lvlJc w:val="left"/>
      <w:pPr/>
      <w:rPr/>
    </w:lvl>
    <w:lvl w:ilvl="7" w:tplc="7AB7C144">
      <w:start w:val="1"/>
      <w:numFmt w:val="decimal"/>
      <w:suff w:val="tab"/>
      <w:lvlText w:val="%1."/>
      <w:lvlJc w:val="left"/>
      <w:pPr/>
      <w:rPr/>
    </w:lvl>
    <w:lvl w:ilvl="8" w:tplc="0C91C0CF">
      <w:start w:val="1"/>
      <w:numFmt w:val="decimal"/>
      <w:suff w:val="tab"/>
      <w:lvlText w:val="%1."/>
      <w:lvlJc w:val="left"/>
      <w:pPr/>
      <w:rPr/>
    </w:lvl>
  </w:abstractNum>
  <w:abstractNum w:abstractNumId="7">
    <w:nsid w:val="0000007D"/>
    <w:multiLevelType w:val="hybridMultilevel"/>
    <w:lvl w:ilvl="0">
      <w:start w:val="1"/>
      <w:numFmt w:val="bullet"/>
      <w:pStyle w:val="P682"/>
      <w:suff w:val="tab"/>
      <w:lvlText w:val=""/>
      <w:lvlJc w:val="left"/>
      <w:pPr>
        <w:ind w:hanging="360" w:left="720"/>
        <w:tabs>
          <w:tab w:val="left" w:pos="720" w:leader="none"/>
        </w:tabs>
      </w:pPr>
      <w:rPr>
        <w:rFonts w:ascii="Symbol" w:hAnsi="Symbol"/>
      </w:rPr>
    </w:lvl>
    <w:lvl w:ilvl="1" w:tplc="7FF83F3D">
      <w:start w:val="1"/>
      <w:numFmt w:val="decimal"/>
      <w:suff w:val="tab"/>
      <w:lvlText w:val="%1."/>
      <w:lvlJc w:val="left"/>
      <w:pPr/>
      <w:rPr/>
    </w:lvl>
    <w:lvl w:ilvl="2" w:tplc="6977A65A">
      <w:start w:val="1"/>
      <w:numFmt w:val="decimal"/>
      <w:suff w:val="tab"/>
      <w:lvlText w:val="%1."/>
      <w:lvlJc w:val="left"/>
      <w:pPr/>
      <w:rPr/>
    </w:lvl>
    <w:lvl w:ilvl="3" w:tplc="2B706517">
      <w:start w:val="1"/>
      <w:numFmt w:val="decimal"/>
      <w:suff w:val="tab"/>
      <w:lvlText w:val="%1."/>
      <w:lvlJc w:val="left"/>
      <w:pPr/>
      <w:rPr/>
    </w:lvl>
    <w:lvl w:ilvl="4" w:tplc="6E7A8F6D">
      <w:start w:val="1"/>
      <w:numFmt w:val="decimal"/>
      <w:suff w:val="tab"/>
      <w:lvlText w:val="%1."/>
      <w:lvlJc w:val="left"/>
      <w:pPr/>
      <w:rPr/>
    </w:lvl>
    <w:lvl w:ilvl="5" w:tplc="7F93B7FE">
      <w:start w:val="1"/>
      <w:numFmt w:val="decimal"/>
      <w:suff w:val="tab"/>
      <w:lvlText w:val="%1."/>
      <w:lvlJc w:val="left"/>
      <w:pPr/>
      <w:rPr/>
    </w:lvl>
    <w:lvl w:ilvl="6" w:tplc="32CC89C7">
      <w:start w:val="1"/>
      <w:numFmt w:val="decimal"/>
      <w:suff w:val="tab"/>
      <w:lvlText w:val="%1."/>
      <w:lvlJc w:val="left"/>
      <w:pPr/>
      <w:rPr/>
    </w:lvl>
    <w:lvl w:ilvl="7" w:tplc="03F060FF">
      <w:start w:val="1"/>
      <w:numFmt w:val="decimal"/>
      <w:suff w:val="tab"/>
      <w:lvlText w:val="%1."/>
      <w:lvlJc w:val="left"/>
      <w:pPr/>
      <w:rPr/>
    </w:lvl>
    <w:lvl w:ilvl="8" w:tplc="71F992BB">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53EA9B0B">
      <w:start w:val="1"/>
      <w:numFmt w:val="decimal"/>
      <w:suff w:val="tab"/>
      <w:lvlText w:val="%1."/>
      <w:lvlJc w:val="left"/>
      <w:pPr/>
      <w:rPr/>
    </w:lvl>
    <w:lvl w:ilvl="2" w:tplc="636135CA">
      <w:start w:val="1"/>
      <w:numFmt w:val="decimal"/>
      <w:suff w:val="tab"/>
      <w:lvlText w:val="%1."/>
      <w:lvlJc w:val="left"/>
      <w:pPr/>
      <w:rPr/>
    </w:lvl>
    <w:lvl w:ilvl="3" w:tplc="0C3F659A">
      <w:start w:val="1"/>
      <w:numFmt w:val="decimal"/>
      <w:suff w:val="tab"/>
      <w:lvlText w:val="%1."/>
      <w:lvlJc w:val="left"/>
      <w:pPr/>
      <w:rPr/>
    </w:lvl>
    <w:lvl w:ilvl="4" w:tplc="556F44CD">
      <w:start w:val="1"/>
      <w:numFmt w:val="decimal"/>
      <w:suff w:val="tab"/>
      <w:lvlText w:val="%1."/>
      <w:lvlJc w:val="left"/>
      <w:pPr/>
      <w:rPr/>
    </w:lvl>
    <w:lvl w:ilvl="5" w:tplc="04522A38">
      <w:start w:val="1"/>
      <w:numFmt w:val="decimal"/>
      <w:suff w:val="tab"/>
      <w:lvlText w:val="%1."/>
      <w:lvlJc w:val="left"/>
      <w:pPr/>
      <w:rPr/>
    </w:lvl>
    <w:lvl w:ilvl="6" w:tplc="5C74B5F1">
      <w:start w:val="1"/>
      <w:numFmt w:val="decimal"/>
      <w:suff w:val="tab"/>
      <w:lvlText w:val="%1."/>
      <w:lvlJc w:val="left"/>
      <w:pPr/>
      <w:rPr/>
    </w:lvl>
    <w:lvl w:ilvl="7" w:tplc="50FC8DBE">
      <w:start w:val="1"/>
      <w:numFmt w:val="decimal"/>
      <w:suff w:val="tab"/>
      <w:lvlText w:val="%1."/>
      <w:lvlJc w:val="left"/>
      <w:pPr/>
      <w:rPr/>
    </w:lvl>
    <w:lvl w:ilvl="8" w:tplc="34E74EAF">
      <w:start w:val="1"/>
      <w:numFmt w:val="decimal"/>
      <w:suff w:val="tab"/>
      <w:lvlText w:val="%1."/>
      <w:lvlJc w:val="left"/>
      <w:pPr/>
      <w:rPr/>
    </w:lvl>
  </w:abstractNum>
  <w:abstractNum w:abstractNumId="9">
    <w:nsid w:val="00000077"/>
    <w:multiLevelType w:val="hybridMultilevel"/>
    <w:lvl w:ilvl="0">
      <w:start w:val="1"/>
      <w:numFmt w:val="bullet"/>
      <w:pStyle w:val="P681"/>
      <w:suff w:val="tab"/>
      <w:lvlText w:val=""/>
      <w:lvlJc w:val="left"/>
      <w:pPr>
        <w:ind w:hanging="360" w:left="360"/>
        <w:tabs>
          <w:tab w:val="left" w:pos="360" w:leader="none"/>
        </w:tabs>
      </w:pPr>
      <w:rPr>
        <w:rFonts w:ascii="Symbol" w:hAnsi="Symbol"/>
      </w:rPr>
    </w:lvl>
    <w:lvl w:ilvl="1" w:tplc="4921A88D">
      <w:start w:val="1"/>
      <w:numFmt w:val="decimal"/>
      <w:suff w:val="tab"/>
      <w:lvlText w:val="%1."/>
      <w:lvlJc w:val="left"/>
      <w:pPr/>
      <w:rPr/>
    </w:lvl>
    <w:lvl w:ilvl="2" w:tplc="1D4A806B">
      <w:start w:val="1"/>
      <w:numFmt w:val="decimal"/>
      <w:suff w:val="tab"/>
      <w:lvlText w:val="%1."/>
      <w:lvlJc w:val="left"/>
      <w:pPr/>
      <w:rPr/>
    </w:lvl>
    <w:lvl w:ilvl="3" w:tplc="512CD8D0">
      <w:start w:val="1"/>
      <w:numFmt w:val="decimal"/>
      <w:suff w:val="tab"/>
      <w:lvlText w:val="%1."/>
      <w:lvlJc w:val="left"/>
      <w:pPr/>
      <w:rPr/>
    </w:lvl>
    <w:lvl w:ilvl="4" w:tplc="512E645A">
      <w:start w:val="1"/>
      <w:numFmt w:val="decimal"/>
      <w:suff w:val="tab"/>
      <w:lvlText w:val="%1."/>
      <w:lvlJc w:val="left"/>
      <w:pPr/>
      <w:rPr/>
    </w:lvl>
    <w:lvl w:ilvl="5" w:tplc="4E54F466">
      <w:start w:val="1"/>
      <w:numFmt w:val="decimal"/>
      <w:suff w:val="tab"/>
      <w:lvlText w:val="%1."/>
      <w:lvlJc w:val="left"/>
      <w:pPr/>
      <w:rPr/>
    </w:lvl>
    <w:lvl w:ilvl="6" w:tplc="7877BA5E">
      <w:start w:val="1"/>
      <w:numFmt w:val="decimal"/>
      <w:suff w:val="tab"/>
      <w:lvlText w:val="%1."/>
      <w:lvlJc w:val="left"/>
      <w:pPr/>
      <w:rPr/>
    </w:lvl>
    <w:lvl w:ilvl="7" w:tplc="700B0443">
      <w:start w:val="1"/>
      <w:numFmt w:val="decimal"/>
      <w:suff w:val="tab"/>
      <w:lvlText w:val="%1."/>
      <w:lvlJc w:val="left"/>
      <w:pPr/>
      <w:rPr/>
    </w:lvl>
    <w:lvl w:ilvl="8" w:tplc="4CA4D3A7">
      <w:start w:val="1"/>
      <w:numFmt w:val="decimal"/>
      <w:suff w:val="tab"/>
      <w:lvlText w:val="%1."/>
      <w:lvlJc w:val="left"/>
      <w:pPr/>
      <w:rPr/>
    </w:lvl>
  </w:abstractNum>
  <w:abstractNum w:abstractNumId="10">
    <w:nsid w:val="2A665186"/>
    <w:multiLevelType w:val="multilevel"/>
    <w:tmpl w:val="0409001D"/>
    <w:styleLink w:val="N2"/>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left"/>
      <w:pPr>
        <w:ind w:hanging="360" w:left="1080"/>
        <w:tabs>
          <w:tab w:val="left" w:pos="108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abstractNum w:abstractNumId="11">
    <w:nsid w:val="46D93CE4"/>
    <w:multiLevelType w:val="multilevel"/>
    <w:tmpl w:val="0409001D"/>
    <w:styleLink w:val="N1"/>
    <w:lvl w:ilvl="0">
      <w:start w:val="1"/>
      <w:numFmt w:val="decimal"/>
      <w:suff w:val="tab"/>
      <w:lvlText w:val="%1."/>
      <w:lvlJc w:val="left"/>
      <w:pPr>
        <w:ind w:hanging="360" w:left="360"/>
        <w:tabs>
          <w:tab w:val="left" w:pos="360" w:leader="none"/>
        </w:tabs>
      </w:pPr>
      <w:rPr/>
    </w:lvl>
    <w:lvl w:ilvl="1">
      <w:start w:val="1"/>
      <w:numFmt w:val="decimal"/>
      <w:suff w:val="tab"/>
      <w:lvlText w:val="%1.%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180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12">
    <w:nsid w:val="54CC708A"/>
    <w:multiLevelType w:val="multilevel"/>
    <w:tmpl w:val="0409001D"/>
    <w:styleLink w:val="N3"/>
    <w:lvl w:ilvl="0">
      <w:start w:val="1"/>
      <w:numFmt w:val="upperRoman"/>
      <w:pStyle w:val="P1"/>
      <w:suff w:val="tab"/>
      <w:lvlText w:val="Article %1."/>
      <w:lvlJc w:val="left"/>
      <w:pPr>
        <w:ind w:firstLine="0" w:left="0"/>
        <w:tabs>
          <w:tab w:val="left" w:pos="1440" w:leader="none"/>
        </w:tabs>
      </w:pPr>
      <w:rPr/>
    </w:lvl>
    <w:lvl w:ilvl="1">
      <w:start w:val="1"/>
      <w:numFmt w:val="decimalZero"/>
      <w:pStyle w:val="P2"/>
      <w:isLgl w:val="1"/>
      <w:suff w:val="tab"/>
      <w:lvlText w:val="Section %1.%2"/>
      <w:lvlJc w:val="left"/>
      <w:pPr>
        <w:ind w:firstLine="0" w:left="0"/>
        <w:tabs>
          <w:tab w:val="left" w:pos="1440" w:leader="none"/>
        </w:tabs>
      </w:pPr>
      <w:rPr/>
    </w:lvl>
    <w:lvl w:ilvl="2">
      <w:start w:val="1"/>
      <w:numFmt w:val="lowerLetter"/>
      <w:pStyle w:val="P3"/>
      <w:suff w:val="tab"/>
      <w:lvlText w:val="(%3)"/>
      <w:lvlJc w:val="left"/>
      <w:pPr>
        <w:ind w:hanging="432" w:left="720"/>
        <w:tabs>
          <w:tab w:val="left" w:pos="720" w:leader="none"/>
        </w:tabs>
      </w:pPr>
      <w:rPr/>
    </w:lvl>
    <w:lvl w:ilvl="3">
      <w:start w:val="1"/>
      <w:numFmt w:val="lowerRoman"/>
      <w:pStyle w:val="P4"/>
      <w:suff w:val="tab"/>
      <w:lvlText w:val="(%4)"/>
      <w:lvlJc w:val="right"/>
      <w:pPr>
        <w:ind w:hanging="144" w:left="864"/>
        <w:tabs>
          <w:tab w:val="left" w:pos="864" w:leader="none"/>
        </w:tabs>
      </w:pPr>
      <w:rPr/>
    </w:lvl>
    <w:lvl w:ilvl="4">
      <w:start w:val="1"/>
      <w:numFmt w:val="decimal"/>
      <w:pStyle w:val="P5"/>
      <w:suff w:val="tab"/>
      <w:lvlText w:val="%5)"/>
      <w:lvlJc w:val="left"/>
      <w:pPr>
        <w:ind w:hanging="432" w:left="1008"/>
        <w:tabs>
          <w:tab w:val="left" w:pos="1008" w:leader="none"/>
        </w:tabs>
      </w:pPr>
      <w:rPr/>
    </w:lvl>
    <w:lvl w:ilvl="5">
      <w:start w:val="1"/>
      <w:numFmt w:val="lowerLetter"/>
      <w:pStyle w:val="P6"/>
      <w:suff w:val="tab"/>
      <w:lvlText w:val="%6)"/>
      <w:lvlJc w:val="left"/>
      <w:pPr>
        <w:ind w:hanging="432" w:left="1152"/>
        <w:tabs>
          <w:tab w:val="left" w:pos="1152" w:leader="none"/>
        </w:tabs>
      </w:pPr>
      <w:rPr/>
    </w:lvl>
    <w:lvl w:ilvl="6">
      <w:start w:val="1"/>
      <w:numFmt w:val="lowerRoman"/>
      <w:pStyle w:val="P7"/>
      <w:suff w:val="tab"/>
      <w:lvlText w:val="%7)"/>
      <w:lvlJc w:val="right"/>
      <w:pPr>
        <w:ind w:hanging="288" w:left="1296"/>
        <w:tabs>
          <w:tab w:val="left" w:pos="1296" w:leader="none"/>
        </w:tabs>
      </w:pPr>
      <w:rPr/>
    </w:lvl>
    <w:lvl w:ilvl="7">
      <w:start w:val="1"/>
      <w:numFmt w:val="lowerLetter"/>
      <w:pStyle w:val="P8"/>
      <w:suff w:val="tab"/>
      <w:lvlText w:val="%8."/>
      <w:lvlJc w:val="left"/>
      <w:pPr>
        <w:ind w:hanging="432" w:left="1440"/>
        <w:tabs>
          <w:tab w:val="left" w:pos="1440" w:leader="none"/>
        </w:tabs>
      </w:pPr>
      <w:rPr/>
    </w:lvl>
    <w:lvl w:ilvl="8">
      <w:start w:val="1"/>
      <w:numFmt w:val="lowerRoman"/>
      <w:pStyle w:val="P9"/>
      <w:suff w:val="tab"/>
      <w:lvlText w:val="%9."/>
      <w:lvlJc w:val="right"/>
      <w:pPr>
        <w:ind w:hanging="144" w:left="1584"/>
        <w:tabs>
          <w:tab w:val="left" w:pos="1584" w:leader="none"/>
        </w:tabs>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numPr>
        <w:numId w:val="13"/>
      </w:numPr>
      <w:spacing w:before="240" w:after="60" w:beforeAutospacing="0" w:afterAutospacing="0"/>
      <w:outlineLvl w:val="0"/>
    </w:pPr>
    <w:rPr>
      <w:rFonts w:ascii="Arial" w:hAnsi="Arial"/>
      <w:b w:val="1"/>
      <w:sz w:val="32"/>
    </w:rPr>
  </w:style>
  <w:style w:type="paragraph" w:styleId="P2">
    <w:name w:val="heading 2"/>
    <w:basedOn w:val="P0"/>
    <w:next w:val="P0"/>
    <w:qFormat/>
    <w:pPr>
      <w:keepNext w:val="1"/>
      <w:numPr>
        <w:ilvl w:val="1"/>
        <w:numId w:val="13"/>
      </w:numPr>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numPr>
        <w:ilvl w:val="2"/>
        <w:numId w:val="13"/>
      </w:numPr>
      <w:spacing w:before="240" w:after="60" w:beforeAutospacing="0" w:afterAutospacing="0"/>
      <w:outlineLvl w:val="2"/>
    </w:pPr>
    <w:rPr>
      <w:rFonts w:ascii="Arial" w:hAnsi="Arial"/>
      <w:b w:val="1"/>
      <w:sz w:val="26"/>
    </w:rPr>
  </w:style>
  <w:style w:type="paragraph" w:styleId="P4">
    <w:name w:val="heading 4"/>
    <w:basedOn w:val="P0"/>
    <w:next w:val="P0"/>
    <w:qFormat/>
    <w:pPr>
      <w:keepNext w:val="1"/>
      <w:numPr>
        <w:ilvl w:val="3"/>
        <w:numId w:val="13"/>
      </w:numPr>
      <w:spacing w:before="240" w:after="60" w:beforeAutospacing="0" w:afterAutospacing="0"/>
      <w:outlineLvl w:val="3"/>
    </w:pPr>
    <w:rPr>
      <w:b w:val="1"/>
      <w:sz w:val="28"/>
    </w:rPr>
  </w:style>
  <w:style w:type="paragraph" w:styleId="P5">
    <w:name w:val="heading 5"/>
    <w:basedOn w:val="P0"/>
    <w:next w:val="P0"/>
    <w:qFormat/>
    <w:pPr>
      <w:numPr>
        <w:ilvl w:val="4"/>
        <w:numId w:val="13"/>
      </w:numPr>
      <w:spacing w:before="240" w:after="60" w:beforeAutospacing="0" w:afterAutospacing="0"/>
      <w:outlineLvl w:val="4"/>
    </w:pPr>
    <w:rPr>
      <w:b w:val="1"/>
      <w:i w:val="1"/>
      <w:sz w:val="26"/>
    </w:rPr>
  </w:style>
  <w:style w:type="paragraph" w:styleId="P6">
    <w:name w:val="heading 6"/>
    <w:basedOn w:val="P0"/>
    <w:next w:val="P0"/>
    <w:qFormat/>
    <w:pPr>
      <w:numPr>
        <w:ilvl w:val="5"/>
        <w:numId w:val="13"/>
      </w:numPr>
      <w:spacing w:before="240" w:after="60" w:beforeAutospacing="0" w:afterAutospacing="0"/>
      <w:outlineLvl w:val="5"/>
    </w:pPr>
    <w:rPr>
      <w:b w:val="1"/>
      <w:sz w:val="22"/>
    </w:rPr>
  </w:style>
  <w:style w:type="paragraph" w:styleId="P7">
    <w:name w:val="heading 7"/>
    <w:basedOn w:val="P0"/>
    <w:next w:val="P0"/>
    <w:qFormat/>
    <w:pPr>
      <w:numPr>
        <w:ilvl w:val="6"/>
        <w:numId w:val="13"/>
      </w:numPr>
      <w:spacing w:before="240" w:after="60" w:beforeAutospacing="0" w:afterAutospacing="0"/>
      <w:outlineLvl w:val="6"/>
    </w:pPr>
    <w:rPr>
      <w:sz w:val="24"/>
    </w:rPr>
  </w:style>
  <w:style w:type="paragraph" w:styleId="P8">
    <w:name w:val="heading 8"/>
    <w:basedOn w:val="P0"/>
    <w:next w:val="P0"/>
    <w:qFormat/>
    <w:pPr>
      <w:numPr>
        <w:ilvl w:val="7"/>
        <w:numId w:val="13"/>
      </w:numPr>
      <w:spacing w:before="240" w:after="60" w:beforeAutospacing="0" w:afterAutospacing="0"/>
      <w:outlineLvl w:val="7"/>
    </w:pPr>
    <w:rPr>
      <w:i w:val="1"/>
      <w:sz w:val="24"/>
    </w:rPr>
  </w:style>
  <w:style w:type="paragraph" w:styleId="P9">
    <w:name w:val="heading 9"/>
    <w:basedOn w:val="P0"/>
    <w:next w:val="P0"/>
    <w:qFormat/>
    <w:pPr>
      <w:numPr>
        <w:ilvl w:val="8"/>
        <w:numId w:val="13"/>
      </w:num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amendednote-f"/>
    <w:basedOn w:val="P10"/>
    <w:pPr/>
    <w:rPr>
      <w:lang w:val="fr-CA"/>
    </w:rPr>
  </w:style>
  <w:style w:type="paragraph" w:styleId="P15">
    <w:name w:val="regnumber-f"/>
    <w:basedOn w:val="P11"/>
    <w:pPr/>
    <w:rPr>
      <w:lang w:val="fr-CA"/>
    </w:rPr>
  </w:style>
  <w:style w:type="paragraph" w:styleId="P16">
    <w:name w:val="regtitle-f"/>
    <w:basedOn w:val="P12"/>
    <w:pPr/>
    <w:rPr>
      <w:lang w:val="fr-CA"/>
    </w:rPr>
  </w:style>
  <w:style w:type="paragraph" w:styleId="P17">
    <w:name w:val="version-f"/>
    <w:basedOn w:val="P13"/>
    <w:pPr/>
    <w:rPr>
      <w:lang w:val="fr-CA"/>
    </w:rPr>
  </w:style>
  <w:style w:type="paragraph" w:styleId="P18">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19">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0">
    <w:name w:val="ConsolidationPeriod-e"/>
    <w:pPr>
      <w:widowControl w:val="0"/>
      <w:spacing w:lineRule="exact" w:line="190" w:before="90" w:beforeAutospacing="0" w:afterAutospacing="0"/>
    </w:pPr>
    <w:rPr>
      <w:color w:val="FF0000"/>
      <w:sz w:val="18"/>
      <w:lang w:eastAsia="en-US"/>
    </w:rPr>
  </w:style>
  <w:style w:type="paragraph" w:styleId="P21">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2">
    <w:name w:val="assent-f"/>
    <w:basedOn w:val="P21"/>
    <w:pPr/>
    <w:rPr>
      <w:lang w:val="fr-CA"/>
    </w:rPr>
  </w:style>
  <w:style w:type="paragraph" w:styleId="P23">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4">
    <w:name w:val="chapter-f"/>
    <w:basedOn w:val="P23"/>
    <w:pPr/>
    <w:rPr>
      <w:lang w:val="fr-CA"/>
    </w:rPr>
  </w:style>
  <w:style w:type="paragraph" w:styleId="P25">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6">
    <w:name w:val="clause-f"/>
    <w:basedOn w:val="P25"/>
    <w:pPr/>
    <w:rPr>
      <w:lang w:val="fr-CA"/>
    </w:rPr>
  </w:style>
  <w:style w:type="paragraph" w:styleId="P27">
    <w:name w:val="defclause-e"/>
    <w:basedOn w:val="P25"/>
    <w:pPr/>
    <w:rPr/>
  </w:style>
  <w:style w:type="paragraph" w:styleId="P28">
    <w:name w:val="defclause-f"/>
    <w:basedOn w:val="P25"/>
    <w:pPr/>
    <w:rPr>
      <w:lang w:val="fr-CA"/>
    </w:rPr>
  </w:style>
  <w:style w:type="paragraph" w:styleId="P29">
    <w:name w:val="definition-e"/>
    <w:pPr>
      <w:tabs>
        <w:tab w:val="left" w:pos="0" w:leader="none"/>
      </w:tabs>
      <w:spacing w:lineRule="exact" w:line="209" w:before="111" w:beforeAutospacing="0" w:afterAutospacing="0"/>
      <w:ind w:hanging="189" w:left="189"/>
      <w:jc w:val="both"/>
    </w:pPr>
    <w:rPr>
      <w:lang w:val="en-GB" w:eastAsia="en-US"/>
    </w:rPr>
  </w:style>
  <w:style w:type="paragraph" w:styleId="P30">
    <w:name w:val="definition-f"/>
    <w:basedOn w:val="P29"/>
    <w:pPr/>
    <w:rPr>
      <w:lang w:val="fr-CA"/>
    </w:rPr>
  </w:style>
  <w:style w:type="paragraph" w:styleId="P31">
    <w:name w:val="defparagraph-e"/>
    <w:basedOn w:val="P32"/>
    <w:pPr/>
    <w:rPr/>
  </w:style>
  <w:style w:type="paragraph" w:styleId="P3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3">
    <w:name w:val="defparagraph-f"/>
    <w:basedOn w:val="P32"/>
    <w:pPr/>
    <w:rPr>
      <w:lang w:val="fr-CA"/>
    </w:rPr>
  </w:style>
  <w:style w:type="paragraph" w:styleId="P34">
    <w:name w:val="defsubclause-e"/>
    <w:basedOn w:val="P35"/>
    <w:pPr/>
    <w:rPr/>
  </w:style>
  <w:style w:type="paragraph" w:styleId="P35">
    <w:name w:val="subclause-e"/>
    <w:basedOn w:val="P25"/>
    <w:pPr>
      <w:tabs>
        <w:tab w:val="clear" w:pos="418" w:leader="none"/>
        <w:tab w:val="clear" w:pos="538" w:leader="none"/>
        <w:tab w:val="right" w:pos="838" w:leader="none"/>
        <w:tab w:val="left" w:pos="955" w:leader="none"/>
      </w:tabs>
      <w:ind w:hanging="955" w:left="955"/>
    </w:pPr>
    <w:rPr/>
  </w:style>
  <w:style w:type="paragraph" w:styleId="P36">
    <w:name w:val="defsubclause-f"/>
    <w:basedOn w:val="P35"/>
    <w:pPr/>
    <w:rPr>
      <w:lang w:val="fr-CA"/>
    </w:rPr>
  </w:style>
  <w:style w:type="paragraph" w:styleId="P37">
    <w:name w:val="defsubpara-e"/>
    <w:basedOn w:val="P38"/>
    <w:pPr/>
    <w:rPr/>
  </w:style>
  <w:style w:type="paragraph" w:styleId="P38">
    <w:name w:val="subpara-e"/>
    <w:basedOn w:val="P32"/>
    <w:pPr>
      <w:tabs>
        <w:tab w:val="clear" w:pos="418" w:leader="none"/>
        <w:tab w:val="clear" w:pos="538" w:leader="none"/>
        <w:tab w:val="right" w:pos="837" w:leader="none"/>
        <w:tab w:val="left" w:pos="956" w:leader="none"/>
      </w:tabs>
      <w:ind w:hanging="955" w:left="955"/>
    </w:pPr>
    <w:rPr/>
  </w:style>
  <w:style w:type="paragraph" w:styleId="P39">
    <w:name w:val="defsubpara-f"/>
    <w:basedOn w:val="P38"/>
    <w:pPr/>
    <w:rPr>
      <w:lang w:val="fr-CA"/>
    </w:rPr>
  </w:style>
  <w:style w:type="paragraph" w:styleId="P40">
    <w:name w:val="defsubsubclause-e"/>
    <w:basedOn w:val="P41"/>
    <w:pPr/>
    <w:rPr/>
  </w:style>
  <w:style w:type="paragraph" w:styleId="P41">
    <w:name w:val="subsubclause-e"/>
    <w:basedOn w:val="P25"/>
    <w:pPr>
      <w:tabs>
        <w:tab w:val="clear" w:pos="418" w:leader="none"/>
        <w:tab w:val="clear" w:pos="538" w:leader="none"/>
        <w:tab w:val="right" w:pos="1315" w:leader="none"/>
        <w:tab w:val="left" w:pos="1435" w:leader="none"/>
      </w:tabs>
      <w:ind w:hanging="1435" w:left="1435"/>
    </w:pPr>
    <w:rPr/>
  </w:style>
  <w:style w:type="paragraph" w:styleId="P42">
    <w:name w:val="defsubsubclause-f"/>
    <w:basedOn w:val="P41"/>
    <w:pPr/>
    <w:rPr>
      <w:lang w:val="fr-CA"/>
    </w:rPr>
  </w:style>
  <w:style w:type="paragraph" w:styleId="P43">
    <w:name w:val="defsubsubpara-e"/>
    <w:basedOn w:val="P44"/>
    <w:pPr/>
    <w:rPr/>
  </w:style>
  <w:style w:type="paragraph" w:styleId="P44">
    <w:name w:val="subsubpara-e"/>
    <w:basedOn w:val="P32"/>
    <w:pPr>
      <w:tabs>
        <w:tab w:val="clear" w:pos="418" w:leader="none"/>
        <w:tab w:val="clear" w:pos="538" w:leader="none"/>
        <w:tab w:val="right" w:pos="1315" w:leader="none"/>
        <w:tab w:val="left" w:pos="1435" w:leader="none"/>
      </w:tabs>
      <w:ind w:hanging="1435" w:left="1435"/>
    </w:pPr>
    <w:rPr/>
  </w:style>
  <w:style w:type="paragraph" w:styleId="P45">
    <w:name w:val="defsubsubpara-f"/>
    <w:basedOn w:val="P44"/>
    <w:pPr/>
    <w:rPr>
      <w:lang w:val="fr-CA"/>
    </w:rPr>
  </w:style>
  <w:style w:type="paragraph" w:styleId="P46">
    <w:name w:val="ellipsis-e"/>
    <w:pPr>
      <w:tabs>
        <w:tab w:val="left" w:pos="0" w:leader="none"/>
      </w:tabs>
      <w:spacing w:lineRule="exact" w:line="209" w:before="111" w:beforeAutospacing="0" w:afterAutospacing="0"/>
      <w:jc w:val="center"/>
    </w:pPr>
    <w:rPr>
      <w:lang w:val="en-GB" w:eastAsia="en-US"/>
    </w:rPr>
  </w:style>
  <w:style w:type="paragraph" w:styleId="P47">
    <w:name w:val="ellipsis-f"/>
    <w:basedOn w:val="P46"/>
    <w:pPr/>
    <w:rPr>
      <w:lang w:val="fr-CA"/>
    </w:rPr>
  </w:style>
  <w:style w:type="paragraph" w:styleId="P48">
    <w:name w:val="End Tumble-e"/>
    <w:pPr>
      <w:tabs>
        <w:tab w:val="left" w:pos="0" w:leader="none"/>
      </w:tabs>
      <w:suppressAutoHyphens w:val="1"/>
      <w:spacing w:lineRule="exact" w:line="200" w:before="120" w:beforeAutospacing="0" w:afterAutospacing="0"/>
      <w:jc w:val="both"/>
    </w:pPr>
    <w:rPr>
      <w:lang w:val="en-GB" w:eastAsia="en-US"/>
    </w:rPr>
  </w:style>
  <w:style w:type="paragraph" w:styleId="P49">
    <w:name w:val="End Tumble-f"/>
    <w:basedOn w:val="P48"/>
    <w:pPr/>
    <w:rPr>
      <w:lang w:val="fr-CA"/>
    </w:rPr>
  </w:style>
  <w:style w:type="paragraph" w:styleId="P50">
    <w:name w:val="equation-e"/>
    <w:basedOn w:val="P0"/>
    <w:pPr>
      <w:suppressAutoHyphens w:val="1"/>
      <w:spacing w:before="111" w:beforeAutospacing="0" w:afterAutospacing="0"/>
      <w:jc w:val="center"/>
    </w:pPr>
    <w:rPr>
      <w:lang w:val="en-GB"/>
    </w:rPr>
  </w:style>
  <w:style w:type="paragraph" w:styleId="P51">
    <w:name w:val="equation-f"/>
    <w:basedOn w:val="P50"/>
    <w:pPr/>
    <w:rPr>
      <w:lang w:val="fr-CA"/>
    </w:rPr>
  </w:style>
  <w:style w:type="paragraph" w:styleId="P52">
    <w:name w:val="firstdef-e"/>
    <w:basedOn w:val="P29"/>
    <w:pPr/>
    <w:rPr/>
  </w:style>
  <w:style w:type="paragraph" w:styleId="P53">
    <w:name w:val="firstdef-f"/>
    <w:basedOn w:val="P29"/>
    <w:pPr/>
    <w:rPr>
      <w:lang w:val="fr-CA"/>
    </w:rPr>
  </w:style>
  <w:style w:type="paragraph" w:styleId="P54">
    <w:name w:val="footnote-e"/>
    <w:pPr>
      <w:tabs>
        <w:tab w:val="left" w:pos="0" w:leader="none"/>
      </w:tabs>
      <w:spacing w:lineRule="exact" w:line="209" w:before="111" w:beforeAutospacing="0" w:afterAutospacing="0"/>
      <w:jc w:val="right"/>
    </w:pPr>
    <w:rPr>
      <w:lang w:val="en-GB" w:eastAsia="en-US"/>
    </w:rPr>
  </w:style>
  <w:style w:type="paragraph" w:styleId="P5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6">
    <w:name w:val="heading1-f"/>
    <w:basedOn w:val="P55"/>
    <w:pPr/>
    <w:rPr>
      <w:lang w:val="fr-CA"/>
    </w:rPr>
  </w:style>
  <w:style w:type="paragraph" w:styleId="P5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8">
    <w:name w:val="heading2-f"/>
    <w:basedOn w:val="P57"/>
    <w:pPr/>
    <w:rPr>
      <w:lang w:val="fr-CA"/>
    </w:rPr>
  </w:style>
  <w:style w:type="paragraph" w:styleId="P5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0">
    <w:name w:val="heading3-f"/>
    <w:basedOn w:val="P59"/>
    <w:pPr/>
    <w:rPr>
      <w:lang w:val="fr-CA"/>
    </w:rPr>
  </w:style>
  <w:style w:type="paragraph" w:styleId="P6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2">
    <w:name w:val="headingx-f"/>
    <w:basedOn w:val="P61"/>
    <w:pPr/>
    <w:rPr>
      <w:lang w:val="fr-CA"/>
    </w:rPr>
  </w:style>
  <w:style w:type="paragraph" w:styleId="P63">
    <w:name w:val="insert-e"/>
    <w:pPr>
      <w:keepNext w:val="1"/>
      <w:spacing w:lineRule="exact" w:line="179" w:before="230" w:beforeAutospacing="0" w:afterAutospacing="0"/>
      <w:jc w:val="both"/>
    </w:pPr>
    <w:rPr>
      <w:b w:val="1"/>
      <w:i w:val="1"/>
      <w:lang w:val="en-GB" w:eastAsia="en-US"/>
    </w:rPr>
  </w:style>
  <w:style w:type="paragraph" w:styleId="P64">
    <w:name w:val="insert-f"/>
    <w:basedOn w:val="P63"/>
    <w:pPr/>
    <w:rPr>
      <w:lang w:val="fr-CA"/>
    </w:rPr>
  </w:style>
  <w:style w:type="paragraph" w:styleId="P65">
    <w:name w:val="line-e"/>
    <w:pPr>
      <w:tabs>
        <w:tab w:val="left" w:pos="0" w:leader="none"/>
      </w:tabs>
      <w:spacing w:lineRule="exact" w:line="209" w:before="60" w:after="60" w:beforeAutospacing="0" w:afterAutospacing="0"/>
      <w:jc w:val="center"/>
    </w:pPr>
    <w:rPr>
      <w:lang w:val="en-GB" w:eastAsia="en-US"/>
    </w:rPr>
  </w:style>
  <w:style w:type="paragraph" w:styleId="P66">
    <w:name w:val="line-f"/>
    <w:basedOn w:val="P65"/>
    <w:pPr/>
    <w:rPr>
      <w:lang w:val="fr-CA"/>
    </w:rPr>
  </w:style>
  <w:style w:type="paragraph" w:styleId="P6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8">
    <w:name w:val="longtitle-f"/>
    <w:basedOn w:val="P67"/>
    <w:pPr/>
    <w:rPr>
      <w:lang w:val="fr-CA"/>
    </w:rPr>
  </w:style>
  <w:style w:type="paragraph" w:styleId="P6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0">
    <w:name w:val="minnote-f"/>
    <w:basedOn w:val="P69"/>
    <w:pPr/>
    <w:rPr>
      <w:lang w:val="fr-CA"/>
    </w:rPr>
  </w:style>
  <w:style w:type="paragraph" w:styleId="P7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2">
    <w:name w:val="number-f"/>
    <w:basedOn w:val="P71"/>
    <w:pPr/>
    <w:rPr>
      <w:lang w:val="fr-CA"/>
    </w:rPr>
  </w:style>
  <w:style w:type="paragraph" w:styleId="P73">
    <w:name w:val="paragraph-f"/>
    <w:basedOn w:val="P32"/>
    <w:pPr/>
    <w:rPr>
      <w:lang w:val="fr-CA"/>
    </w:rPr>
  </w:style>
  <w:style w:type="paragraph" w:styleId="P7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5">
    <w:name w:val="paranoindt-f"/>
    <w:basedOn w:val="P74"/>
    <w:pPr/>
    <w:rPr>
      <w:lang w:val="fr-CA"/>
    </w:rPr>
  </w:style>
  <w:style w:type="paragraph" w:styleId="P7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7">
    <w:name w:val="parawindt-f"/>
    <w:basedOn w:val="P76"/>
    <w:pPr/>
    <w:rPr>
      <w:lang w:val="fr-CA"/>
    </w:rPr>
  </w:style>
  <w:style w:type="paragraph" w:styleId="P7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79">
    <w:name w:val="parawtab-f"/>
    <w:basedOn w:val="P78"/>
    <w:pPr/>
    <w:rPr>
      <w:lang w:val="fr-CA"/>
    </w:rPr>
  </w:style>
  <w:style w:type="paragraph" w:styleId="P80">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1">
    <w:name w:val="partnum-f"/>
    <w:basedOn w:val="P80"/>
    <w:pPr/>
    <w:rPr>
      <w:lang w:val="fr-CA"/>
    </w:rPr>
  </w:style>
  <w:style w:type="paragraph" w:styleId="P82">
    <w:name w:val="Pclause-e"/>
    <w:basedOn w:val="P25"/>
    <w:pPr/>
    <w:rPr>
      <w:b w:val="1"/>
    </w:rPr>
  </w:style>
  <w:style w:type="paragraph" w:styleId="P83">
    <w:name w:val="Pclause-f"/>
    <w:basedOn w:val="P82"/>
    <w:pPr/>
    <w:rPr>
      <w:lang w:val="fr-CA"/>
    </w:rPr>
  </w:style>
  <w:style w:type="paragraph" w:styleId="P84">
    <w:name w:val="Pheading1-e"/>
    <w:basedOn w:val="P55"/>
    <w:pPr/>
    <w:rPr>
      <w:b w:val="1"/>
    </w:rPr>
  </w:style>
  <w:style w:type="paragraph" w:styleId="P85">
    <w:name w:val="Pheading1-f"/>
    <w:basedOn w:val="P84"/>
    <w:pPr/>
    <w:rPr>
      <w:lang w:val="fr-CA"/>
    </w:rPr>
  </w:style>
  <w:style w:type="paragraph" w:styleId="P86">
    <w:name w:val="Pheading2-e"/>
    <w:basedOn w:val="P57"/>
    <w:pPr/>
    <w:rPr>
      <w:b w:val="1"/>
    </w:rPr>
  </w:style>
  <w:style w:type="paragraph" w:styleId="P87">
    <w:name w:val="Pheading2-f"/>
    <w:basedOn w:val="P86"/>
    <w:pPr/>
    <w:rPr>
      <w:lang w:val="fr-CA"/>
    </w:rPr>
  </w:style>
  <w:style w:type="paragraph" w:styleId="P88">
    <w:name w:val="Pheading3-e"/>
    <w:basedOn w:val="P59"/>
    <w:pPr/>
    <w:rPr>
      <w:b w:val="1"/>
    </w:rPr>
  </w:style>
  <w:style w:type="paragraph" w:styleId="P89">
    <w:name w:val="Pheading3-f"/>
    <w:basedOn w:val="P88"/>
    <w:pPr/>
    <w:rPr>
      <w:lang w:val="fr-CA"/>
    </w:rPr>
  </w:style>
  <w:style w:type="paragraph" w:styleId="P90">
    <w:name w:val="Pheadingx-e"/>
    <w:basedOn w:val="P61"/>
    <w:pPr/>
    <w:rPr>
      <w:b w:val="1"/>
    </w:rPr>
  </w:style>
  <w:style w:type="paragraph" w:styleId="P91">
    <w:name w:val="Pheadingx-f"/>
    <w:basedOn w:val="P90"/>
    <w:pPr/>
    <w:rPr>
      <w:lang w:val="fr-CA"/>
    </w:rPr>
  </w:style>
  <w:style w:type="paragraph" w:styleId="P92">
    <w:name w:val="Pnote-e"/>
    <w:link w:val="C17"/>
    <w:pPr>
      <w:shd w:val="pct15" w:fill="FFFFFF"/>
      <w:tabs>
        <w:tab w:val="left" w:pos="0" w:leader="none"/>
      </w:tabs>
      <w:spacing w:lineRule="exact" w:line="179" w:before="100" w:beforeAutospacing="0" w:afterAutospacing="0"/>
      <w:jc w:val="both"/>
    </w:pPr>
    <w:rPr>
      <w:b w:val="1"/>
      <w:sz w:val="16"/>
      <w:lang w:val="en-GB" w:eastAsia="en-US"/>
    </w:rPr>
  </w:style>
  <w:style w:type="paragraph" w:styleId="P93">
    <w:name w:val="Pnote-f"/>
    <w:basedOn w:val="P92"/>
    <w:pPr/>
    <w:rPr>
      <w:lang w:val="fr-CA"/>
    </w:rPr>
  </w:style>
  <w:style w:type="paragraph" w:styleId="P94">
    <w:name w:val="Pparagraph-e"/>
    <w:basedOn w:val="P32"/>
    <w:pPr/>
    <w:rPr>
      <w:b w:val="1"/>
    </w:rPr>
  </w:style>
  <w:style w:type="paragraph" w:styleId="P95">
    <w:name w:val="Pparagraph-f"/>
    <w:basedOn w:val="P94"/>
    <w:pPr/>
    <w:rPr>
      <w:lang w:val="fr-CA"/>
    </w:rPr>
  </w:style>
  <w:style w:type="paragraph" w:styleId="P96">
    <w:name w:val="preamble-e"/>
    <w:pPr>
      <w:tabs>
        <w:tab w:val="left" w:pos="189" w:leader="none"/>
      </w:tabs>
      <w:spacing w:lineRule="exact" w:line="209" w:before="111" w:beforeAutospacing="0" w:afterAutospacing="0"/>
      <w:jc w:val="both"/>
    </w:pPr>
    <w:rPr>
      <w:lang w:val="en-GB" w:eastAsia="en-US"/>
    </w:rPr>
  </w:style>
  <w:style w:type="paragraph" w:styleId="P97">
    <w:name w:val="preamble-f"/>
    <w:basedOn w:val="P96"/>
    <w:pPr/>
    <w:rPr>
      <w:lang w:val="fr-CA"/>
    </w:rPr>
  </w:style>
  <w:style w:type="paragraph" w:styleId="P98">
    <w:name w:val="Psection-e"/>
    <w:basedOn w:val="P99"/>
    <w:pPr/>
    <w:rPr>
      <w:b w:val="1"/>
    </w:rPr>
  </w:style>
  <w:style w:type="paragraph" w:styleId="P9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0">
    <w:name w:val="Psection-f"/>
    <w:basedOn w:val="P98"/>
    <w:pPr/>
    <w:rPr>
      <w:lang w:val="fr-CA"/>
    </w:rPr>
  </w:style>
  <w:style w:type="paragraph" w:styleId="P101">
    <w:name w:val="tableheadingrev-e"/>
    <w:basedOn w:val="P102"/>
    <w:pPr/>
    <w:rPr>
      <w:caps w:val="0"/>
    </w:rPr>
  </w:style>
  <w:style w:type="paragraph" w:styleId="P10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3">
    <w:name w:val="Psubclause-e"/>
    <w:basedOn w:val="P35"/>
    <w:pPr/>
    <w:rPr>
      <w:b w:val="1"/>
    </w:rPr>
  </w:style>
  <w:style w:type="paragraph" w:styleId="P104">
    <w:name w:val="Psubclause-f"/>
    <w:basedOn w:val="P103"/>
    <w:pPr/>
    <w:rPr>
      <w:lang w:val="fr-CA"/>
    </w:rPr>
  </w:style>
  <w:style w:type="paragraph" w:styleId="P105">
    <w:name w:val="Psubpara-e"/>
    <w:basedOn w:val="P38"/>
    <w:pPr/>
    <w:rPr>
      <w:b w:val="1"/>
    </w:rPr>
  </w:style>
  <w:style w:type="paragraph" w:styleId="P106">
    <w:name w:val="Psubpara-f"/>
    <w:basedOn w:val="P105"/>
    <w:pPr/>
    <w:rPr>
      <w:lang w:val="fr-CA"/>
    </w:rPr>
  </w:style>
  <w:style w:type="paragraph" w:styleId="P107">
    <w:name w:val="Psubsection-e"/>
    <w:basedOn w:val="P108"/>
    <w:pPr/>
    <w:rPr>
      <w:b w:val="1"/>
    </w:rPr>
  </w:style>
  <w:style w:type="paragraph" w:styleId="P108">
    <w:name w:val="subsection-e"/>
    <w:basedOn w:val="P99"/>
    <w:pPr/>
    <w:rPr/>
  </w:style>
  <w:style w:type="paragraph" w:styleId="P109">
    <w:name w:val="Psubsection-f"/>
    <w:basedOn w:val="P107"/>
    <w:pPr/>
    <w:rPr>
      <w:lang w:val="fr-CA"/>
    </w:rPr>
  </w:style>
  <w:style w:type="paragraph" w:styleId="P110">
    <w:name w:val="Psubsubclause-e"/>
    <w:basedOn w:val="P41"/>
    <w:pPr/>
    <w:rPr>
      <w:b w:val="1"/>
    </w:rPr>
  </w:style>
  <w:style w:type="paragraph" w:styleId="P111">
    <w:name w:val="Psubsubclause-f"/>
    <w:basedOn w:val="P110"/>
    <w:pPr/>
    <w:rPr>
      <w:lang w:val="fr-CA"/>
    </w:rPr>
  </w:style>
  <w:style w:type="paragraph" w:styleId="P112">
    <w:name w:val="Psubsubpara-e"/>
    <w:basedOn w:val="P44"/>
    <w:pPr/>
    <w:rPr>
      <w:b w:val="1"/>
    </w:rPr>
  </w:style>
  <w:style w:type="paragraph" w:styleId="P113">
    <w:name w:val="Psubsubpara-f"/>
    <w:basedOn w:val="P112"/>
    <w:pPr/>
    <w:rPr>
      <w:lang w:val="fr-CA"/>
    </w:rPr>
  </w:style>
  <w:style w:type="paragraph" w:styleId="P114">
    <w:name w:val="Psubsubsubclause-e"/>
    <w:basedOn w:val="P115"/>
    <w:pPr/>
    <w:rPr>
      <w:b w:val="1"/>
    </w:rPr>
  </w:style>
  <w:style w:type="paragraph" w:styleId="P115">
    <w:name w:val="subsubsubclause-e"/>
    <w:basedOn w:val="P25"/>
    <w:pPr>
      <w:tabs>
        <w:tab w:val="clear" w:pos="418" w:leader="none"/>
        <w:tab w:val="clear" w:pos="538" w:leader="none"/>
        <w:tab w:val="right" w:pos="1675" w:leader="none"/>
        <w:tab w:val="left" w:pos="1793" w:leader="none"/>
      </w:tabs>
      <w:ind w:hanging="1793" w:left="1793"/>
    </w:pPr>
    <w:rPr/>
  </w:style>
  <w:style w:type="paragraph" w:styleId="P116">
    <w:name w:val="Psubsubsubclause-f"/>
    <w:basedOn w:val="P114"/>
    <w:pPr/>
    <w:rPr>
      <w:lang w:val="fr-CA"/>
    </w:rPr>
  </w:style>
  <w:style w:type="paragraph" w:styleId="P117">
    <w:name w:val="Psubsubsubpara-e"/>
    <w:basedOn w:val="P118"/>
    <w:pPr/>
    <w:rPr>
      <w:b w:val="1"/>
    </w:rPr>
  </w:style>
  <w:style w:type="paragraph" w:styleId="P118">
    <w:name w:val="subsubsubpara-e"/>
    <w:basedOn w:val="P32"/>
    <w:pPr>
      <w:tabs>
        <w:tab w:val="clear" w:pos="418" w:leader="none"/>
        <w:tab w:val="clear" w:pos="538" w:leader="none"/>
        <w:tab w:val="right" w:pos="1675" w:leader="none"/>
        <w:tab w:val="left" w:pos="1793" w:leader="none"/>
      </w:tabs>
      <w:ind w:hanging="1793" w:left="1793"/>
    </w:pPr>
    <w:rPr/>
  </w:style>
  <w:style w:type="paragraph" w:styleId="P119">
    <w:name w:val="Psubsubsubpara-f"/>
    <w:basedOn w:val="P117"/>
    <w:pPr/>
    <w:rPr>
      <w:lang w:val="fr-CA"/>
    </w:rPr>
  </w:style>
  <w:style w:type="paragraph" w:styleId="P120">
    <w:name w:val="scanned-e"/>
    <w:pPr>
      <w:spacing w:before="151" w:beforeAutospacing="0" w:afterAutospacing="0"/>
      <w:jc w:val="both"/>
    </w:pPr>
    <w:rPr>
      <w:lang w:val="en-GB" w:eastAsia="en-US"/>
    </w:rPr>
  </w:style>
  <w:style w:type="paragraph" w:styleId="P121">
    <w:name w:val="scanned-f"/>
    <w:basedOn w:val="P120"/>
    <w:pPr/>
    <w:rPr>
      <w:lang w:val="fr-CA"/>
    </w:rPr>
  </w:style>
  <w:style w:type="paragraph" w:styleId="P12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3">
    <w:name w:val="schedule-f"/>
    <w:basedOn w:val="P122"/>
    <w:pPr/>
    <w:rPr>
      <w:lang w:val="fr-CA"/>
    </w:rPr>
  </w:style>
  <w:style w:type="paragraph" w:styleId="P124">
    <w:name w:val="Sclause-e"/>
    <w:basedOn w:val="P25"/>
    <w:pPr>
      <w:ind w:firstLine="0"/>
    </w:pPr>
    <w:rPr/>
  </w:style>
  <w:style w:type="paragraph" w:styleId="P125">
    <w:name w:val="Sclause-f"/>
    <w:basedOn w:val="P124"/>
    <w:pPr/>
    <w:rPr>
      <w:lang w:val="fr-CA"/>
    </w:rPr>
  </w:style>
  <w:style w:type="paragraph" w:styleId="P126">
    <w:name w:val="Sdefclause-e"/>
    <w:basedOn w:val="P25"/>
    <w:pPr>
      <w:tabs>
        <w:tab w:val="left" w:pos="0" w:leader="none"/>
      </w:tabs>
      <w:ind w:firstLine="0"/>
    </w:pPr>
    <w:rPr/>
  </w:style>
  <w:style w:type="paragraph" w:styleId="P127">
    <w:name w:val="Sdefclause-f"/>
    <w:basedOn w:val="P126"/>
    <w:pPr/>
    <w:rPr>
      <w:lang w:val="fr-CA"/>
    </w:rPr>
  </w:style>
  <w:style w:type="paragraph" w:styleId="P128">
    <w:name w:val="Sdefinition-e"/>
    <w:basedOn w:val="P29"/>
    <w:pPr>
      <w:ind w:firstLine="0" w:left="190"/>
    </w:pPr>
    <w:rPr/>
  </w:style>
  <w:style w:type="paragraph" w:styleId="P129">
    <w:name w:val="Sdefinition-f"/>
    <w:basedOn w:val="P128"/>
    <w:pPr/>
    <w:rPr>
      <w:lang w:val="fr-CA"/>
    </w:rPr>
  </w:style>
  <w:style w:type="paragraph" w:styleId="P130">
    <w:name w:val="Sdefpara-e"/>
    <w:basedOn w:val="P32"/>
    <w:pPr>
      <w:tabs>
        <w:tab w:val="left" w:pos="0" w:leader="none"/>
      </w:tabs>
      <w:ind w:firstLine="0"/>
    </w:pPr>
    <w:rPr/>
  </w:style>
  <w:style w:type="paragraph" w:styleId="P131">
    <w:name w:val="Sdefpara-f"/>
    <w:basedOn w:val="P130"/>
    <w:pPr/>
    <w:rPr>
      <w:lang w:val="fr-CA"/>
    </w:rPr>
  </w:style>
  <w:style w:type="paragraph" w:styleId="P132">
    <w:name w:val="section-f"/>
    <w:basedOn w:val="P99"/>
    <w:pPr/>
    <w:rPr>
      <w:lang w:val="fr-CA"/>
    </w:rPr>
  </w:style>
  <w:style w:type="paragraph" w:styleId="P133">
    <w:name w:val="shorttitle-f"/>
    <w:basedOn w:val="P18"/>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6"/>
    <w:pPr>
      <w:ind w:left="557"/>
    </w:pPr>
    <w:rPr/>
  </w:style>
  <w:style w:type="paragraph" w:styleId="P136">
    <w:name w:val="Sparagraph-e"/>
    <w:basedOn w:val="P32"/>
    <w:pPr>
      <w:ind w:firstLine="0"/>
    </w:pPr>
    <w:rPr/>
  </w:style>
  <w:style w:type="paragraph" w:styleId="P137">
    <w:name w:val="Sparagraph-f"/>
    <w:basedOn w:val="P136"/>
    <w:pPr/>
    <w:rPr>
      <w:lang w:val="fr-CA"/>
    </w:rPr>
  </w:style>
  <w:style w:type="paragraph" w:styleId="P138">
    <w:name w:val="SPsection-e"/>
    <w:basedOn w:val="P99"/>
    <w:pPr/>
    <w:rPr>
      <w:b w:val="1"/>
    </w:rPr>
  </w:style>
  <w:style w:type="paragraph" w:styleId="P139">
    <w:name w:val="SPsection-f"/>
    <w:basedOn w:val="P138"/>
    <w:pPr/>
    <w:rPr>
      <w:lang w:val="fr-CA"/>
    </w:rPr>
  </w:style>
  <w:style w:type="paragraph" w:styleId="P140">
    <w:name w:val="SPsubsection-e"/>
    <w:basedOn w:val="P108"/>
    <w:pPr/>
    <w:rPr>
      <w:b w:val="1"/>
    </w:rPr>
  </w:style>
  <w:style w:type="paragraph" w:styleId="P141">
    <w:name w:val="SPsubsection-f"/>
    <w:basedOn w:val="P140"/>
    <w:pPr/>
    <w:rPr>
      <w:lang w:val="fr-CA"/>
    </w:rPr>
  </w:style>
  <w:style w:type="paragraph" w:styleId="P142">
    <w:name w:val="Ssection-e"/>
    <w:basedOn w:val="P99"/>
    <w:pPr/>
    <w:rPr/>
  </w:style>
  <w:style w:type="paragraph" w:styleId="P143">
    <w:name w:val="Ssection-f"/>
    <w:basedOn w:val="P142"/>
    <w:pPr/>
    <w:rPr>
      <w:lang w:val="fr-CA"/>
    </w:rPr>
  </w:style>
  <w:style w:type="paragraph" w:styleId="P144">
    <w:name w:val="Ssubclause-e"/>
    <w:basedOn w:val="P35"/>
    <w:pPr>
      <w:ind w:firstLine="0"/>
    </w:pPr>
    <w:rPr/>
  </w:style>
  <w:style w:type="paragraph" w:styleId="P145">
    <w:name w:val="Ssubclause-f"/>
    <w:basedOn w:val="P144"/>
    <w:pPr/>
    <w:rPr>
      <w:lang w:val="fr-CA"/>
    </w:rPr>
  </w:style>
  <w:style w:type="paragraph" w:styleId="P146">
    <w:name w:val="Ssubpara-e"/>
    <w:basedOn w:val="P38"/>
    <w:pPr>
      <w:ind w:firstLine="0"/>
    </w:pPr>
    <w:rPr/>
  </w:style>
  <w:style w:type="paragraph" w:styleId="P147">
    <w:name w:val="Ssubpara-f"/>
    <w:basedOn w:val="P146"/>
    <w:pPr/>
    <w:rPr>
      <w:lang w:val="fr-CA"/>
    </w:rPr>
  </w:style>
  <w:style w:type="paragraph" w:styleId="P148">
    <w:name w:val="Ssubsection-e"/>
    <w:basedOn w:val="P108"/>
    <w:pPr/>
    <w:rPr/>
  </w:style>
  <w:style w:type="paragraph" w:styleId="P149">
    <w:name w:val="Ssubsection-f"/>
    <w:basedOn w:val="P148"/>
    <w:pPr/>
    <w:rPr>
      <w:lang w:val="fr-CA"/>
    </w:rPr>
  </w:style>
  <w:style w:type="paragraph" w:styleId="P150">
    <w:name w:val="Ssubsubclause-e"/>
    <w:basedOn w:val="P41"/>
    <w:pPr>
      <w:ind w:firstLine="0"/>
    </w:pPr>
    <w:rPr/>
  </w:style>
  <w:style w:type="paragraph" w:styleId="P151">
    <w:name w:val="Ssubsubclause-f"/>
    <w:basedOn w:val="P150"/>
    <w:pPr/>
    <w:rPr>
      <w:lang w:val="fr-CA"/>
    </w:rPr>
  </w:style>
  <w:style w:type="paragraph" w:styleId="P152">
    <w:name w:val="Ssubsubpara-e"/>
    <w:basedOn w:val="P44"/>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5"/>
    <w:pPr/>
    <w:rPr>
      <w:lang w:val="fr-CA"/>
    </w:rPr>
  </w:style>
  <w:style w:type="paragraph" w:styleId="P157">
    <w:name w:val="subpara-f"/>
    <w:basedOn w:val="P38"/>
    <w:pPr/>
    <w:rPr>
      <w:lang w:val="fr-CA"/>
    </w:rPr>
  </w:style>
  <w:style w:type="paragraph" w:styleId="P158">
    <w:name w:val="subsection-f"/>
    <w:basedOn w:val="P108"/>
    <w:pPr/>
    <w:rPr>
      <w:lang w:val="fr-CA"/>
    </w:rPr>
  </w:style>
  <w:style w:type="paragraph" w:styleId="P159">
    <w:name w:val="subsubclause-f"/>
    <w:basedOn w:val="P41"/>
    <w:pPr/>
    <w:rPr>
      <w:lang w:val="fr-CA"/>
    </w:rPr>
  </w:style>
  <w:style w:type="paragraph" w:styleId="P160">
    <w:name w:val="subsubpara-f"/>
    <w:basedOn w:val="P44"/>
    <w:pPr/>
    <w:rPr>
      <w:lang w:val="fr-CA"/>
    </w:rPr>
  </w:style>
  <w:style w:type="paragraph" w:styleId="P161">
    <w:name w:val="subsubsubclause-f"/>
    <w:basedOn w:val="P115"/>
    <w:pPr/>
    <w:rPr>
      <w:lang w:val="fr-CA"/>
    </w:rPr>
  </w:style>
  <w:style w:type="paragraph" w:styleId="P162">
    <w:name w:val="subsubsubpara-f"/>
    <w:basedOn w:val="P118"/>
    <w:pPr/>
    <w:rPr>
      <w:lang w:val="fr-CA"/>
    </w:rPr>
  </w:style>
  <w:style w:type="paragraph" w:styleId="P163">
    <w:name w:val="table-e"/>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6"/>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0"/>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4"/>
    <w:pPr/>
    <w:rPr>
      <w:lang w:val="fr-CA"/>
    </w:rPr>
  </w:style>
  <w:style w:type="paragraph" w:styleId="P192">
    <w:name w:val="footer"/>
    <w:basedOn w:val="P0"/>
    <w:pPr>
      <w:tabs>
        <w:tab w:val="center" w:pos="4320" w:leader="none"/>
        <w:tab w:val="right" w:pos="8640" w:leader="none"/>
      </w:tabs>
    </w:pPr>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19"/>
    <w:pPr/>
    <w:rPr>
      <w:lang w:val="fr-CA"/>
    </w:rPr>
  </w:style>
  <w:style w:type="paragraph" w:styleId="P196">
    <w:name w:val="tableheading-f"/>
    <w:basedOn w:val="P102"/>
    <w:pPr/>
    <w:rPr>
      <w:lang w:val="fr-CA"/>
    </w:rPr>
  </w:style>
  <w:style w:type="paragraph" w:styleId="P197">
    <w:name w:val="Ypreamble-e"/>
    <w:basedOn w:val="P96"/>
    <w:pPr>
      <w:shd w:val="clear" w:fill="D9D9D9"/>
      <w:tabs>
        <w:tab w:val="left" w:pos="0" w:leader="none"/>
      </w:tabs>
    </w:pPr>
    <w:rPr/>
  </w:style>
  <w:style w:type="paragraph" w:styleId="P198">
    <w:name w:val="Ypartnum-e"/>
    <w:basedOn w:val="P80"/>
    <w:pPr>
      <w:shd w:val="clear" w:fill="D9D9D9"/>
    </w:pPr>
    <w:rPr/>
  </w:style>
  <w:style w:type="paragraph" w:styleId="P199">
    <w:name w:val="Yheading1-e"/>
    <w:basedOn w:val="P55"/>
    <w:pPr>
      <w:shd w:val="clear" w:fill="D9D9D9"/>
    </w:pPr>
    <w:rPr/>
  </w:style>
  <w:style w:type="paragraph" w:styleId="P200">
    <w:name w:val="Yheading2-e"/>
    <w:basedOn w:val="P57"/>
    <w:pPr>
      <w:shd w:val="clear" w:fill="D9D9D9"/>
    </w:pPr>
    <w:rPr/>
  </w:style>
  <w:style w:type="paragraph" w:styleId="P201">
    <w:name w:val="Yheading3-e"/>
    <w:basedOn w:val="P59"/>
    <w:pPr>
      <w:shd w:val="clear" w:fill="D9D9D9"/>
    </w:pPr>
    <w:rPr/>
  </w:style>
  <w:style w:type="paragraph" w:styleId="P202">
    <w:name w:val="Ytableheading-e"/>
    <w:basedOn w:val="P102"/>
    <w:pPr>
      <w:shd w:val="clear" w:fill="D9D9D9"/>
    </w:pPr>
    <w:rPr/>
  </w:style>
  <w:style w:type="paragraph" w:styleId="P203">
    <w:name w:val="Yfirstdef-e"/>
    <w:basedOn w:val="P52"/>
    <w:pPr>
      <w:shd w:val="clear" w:fill="D9D9D9"/>
    </w:pPr>
    <w:rPr/>
  </w:style>
  <w:style w:type="paragraph" w:styleId="P204">
    <w:name w:val="Ydefinition-e"/>
    <w:basedOn w:val="P29"/>
    <w:pPr>
      <w:shd w:val="clear" w:fill="D9D9D9"/>
    </w:pPr>
    <w:rPr/>
  </w:style>
  <w:style w:type="paragraph" w:styleId="P205">
    <w:name w:val="Ydefclause-e"/>
    <w:basedOn w:val="P27"/>
    <w:pPr>
      <w:shd w:val="clear" w:fill="D9D9D9"/>
    </w:pPr>
    <w:rPr/>
  </w:style>
  <w:style w:type="paragraph" w:styleId="P206">
    <w:name w:val="YSdefclause-e"/>
    <w:basedOn w:val="P126"/>
    <w:pPr>
      <w:shd w:val="clear" w:fill="D9D9D9"/>
    </w:pPr>
    <w:rPr/>
  </w:style>
  <w:style w:type="paragraph" w:styleId="P207">
    <w:name w:val="Ydefsubclause-e"/>
    <w:basedOn w:val="P34"/>
    <w:pPr>
      <w:shd w:val="clear" w:fill="D9D9D9"/>
    </w:pPr>
    <w:rPr/>
  </w:style>
  <w:style w:type="paragraph" w:styleId="P208">
    <w:name w:val="Ydefsubsubclause-e"/>
    <w:basedOn w:val="P40"/>
    <w:pPr>
      <w:shd w:val="clear" w:fill="D9D9D9"/>
    </w:pPr>
    <w:rPr/>
  </w:style>
  <w:style w:type="paragraph" w:styleId="P209">
    <w:name w:val="Ydefparagraph-e"/>
    <w:basedOn w:val="P31"/>
    <w:pPr>
      <w:shd w:val="clear" w:fill="D9D9D9"/>
    </w:pPr>
    <w:rPr/>
  </w:style>
  <w:style w:type="paragraph" w:styleId="P210">
    <w:name w:val="YSdefpara-e"/>
    <w:basedOn w:val="P130"/>
    <w:pPr>
      <w:shd w:val="clear" w:fill="D9D9D9"/>
    </w:pPr>
    <w:rPr/>
  </w:style>
  <w:style w:type="paragraph" w:styleId="P211">
    <w:name w:val="Ydefsubpara-e"/>
    <w:basedOn w:val="P37"/>
    <w:pPr>
      <w:shd w:val="clear" w:fill="D9D9D9"/>
    </w:pPr>
    <w:rPr/>
  </w:style>
  <w:style w:type="paragraph" w:styleId="P212">
    <w:name w:val="Ydefsubsubpara-e"/>
    <w:basedOn w:val="P43"/>
    <w:pPr>
      <w:shd w:val="clear" w:fill="D9D9D9"/>
    </w:pPr>
    <w:rPr/>
  </w:style>
  <w:style w:type="paragraph" w:styleId="P213">
    <w:name w:val="Ysection-e"/>
    <w:basedOn w:val="P99"/>
    <w:pPr>
      <w:shd w:val="clear" w:fill="D9D9D9"/>
    </w:pPr>
    <w:rPr/>
  </w:style>
  <w:style w:type="paragraph" w:styleId="P214">
    <w:name w:val="YSsection-e"/>
    <w:basedOn w:val="P142"/>
    <w:pPr>
      <w:shd w:val="clear" w:fill="D9D9D9"/>
    </w:pPr>
    <w:rPr/>
  </w:style>
  <w:style w:type="paragraph" w:styleId="P215">
    <w:name w:val="Ysubsection-e"/>
    <w:basedOn w:val="P108"/>
    <w:pPr>
      <w:shd w:val="clear" w:fill="D9D9D9"/>
    </w:pPr>
    <w:rPr/>
  </w:style>
  <w:style w:type="paragraph" w:styleId="P216">
    <w:name w:val="YSsubsection-e"/>
    <w:basedOn w:val="P148"/>
    <w:pPr>
      <w:shd w:val="clear" w:fill="D9D9D9"/>
    </w:pPr>
    <w:rPr/>
  </w:style>
  <w:style w:type="paragraph" w:styleId="P217">
    <w:name w:val="Yclause-e"/>
    <w:basedOn w:val="P25"/>
    <w:pPr>
      <w:shd w:val="clear" w:fill="D9D9D9"/>
    </w:pPr>
    <w:rPr/>
  </w:style>
  <w:style w:type="paragraph" w:styleId="P218">
    <w:name w:val="YSclause-e"/>
    <w:basedOn w:val="P124"/>
    <w:pPr>
      <w:shd w:val="clear" w:fill="D9D9D9"/>
    </w:pPr>
    <w:rPr/>
  </w:style>
  <w:style w:type="paragraph" w:styleId="P219">
    <w:name w:val="Ysubclause-e"/>
    <w:basedOn w:val="P35"/>
    <w:pPr>
      <w:shd w:val="clear" w:fill="D9D9D9"/>
    </w:pPr>
    <w:rPr/>
  </w:style>
  <w:style w:type="paragraph" w:styleId="P220">
    <w:name w:val="YSsubclause-e"/>
    <w:basedOn w:val="P144"/>
    <w:pPr>
      <w:shd w:val="clear" w:fill="D9D9D9"/>
    </w:pPr>
    <w:rPr/>
  </w:style>
  <w:style w:type="paragraph" w:styleId="P221">
    <w:name w:val="Ysubsubclause-e"/>
    <w:basedOn w:val="P41"/>
    <w:pPr>
      <w:shd w:val="clear" w:fill="D9D9D9"/>
    </w:pPr>
    <w:rPr/>
  </w:style>
  <w:style w:type="paragraph" w:styleId="P222">
    <w:name w:val="YSsubsubclause-e"/>
    <w:basedOn w:val="P150"/>
    <w:pPr>
      <w:shd w:val="clear" w:fill="D9D9D9"/>
    </w:pPr>
    <w:rPr/>
  </w:style>
  <w:style w:type="paragraph" w:styleId="P223">
    <w:name w:val="Ysubsubsubclause-e"/>
    <w:basedOn w:val="P115"/>
    <w:pPr>
      <w:shd w:val="clear" w:fill="D9D9D9"/>
    </w:pPr>
    <w:rPr/>
  </w:style>
  <w:style w:type="paragraph" w:styleId="P224">
    <w:name w:val="Yparagraph-e"/>
    <w:basedOn w:val="P32"/>
    <w:pPr>
      <w:shd w:val="clear" w:fill="D9D9D9"/>
    </w:pPr>
    <w:rPr/>
  </w:style>
  <w:style w:type="paragraph" w:styleId="P225">
    <w:name w:val="Yparanoindt-e"/>
    <w:basedOn w:val="P74"/>
    <w:pPr>
      <w:shd w:val="clear" w:fill="D9D9D9"/>
    </w:pPr>
    <w:rPr/>
  </w:style>
  <w:style w:type="paragraph" w:styleId="P226">
    <w:name w:val="Yparawindt-e"/>
    <w:basedOn w:val="P76"/>
    <w:pPr>
      <w:shd w:val="clear" w:fill="D9D9D9"/>
      <w:ind w:left="278"/>
    </w:pPr>
    <w:rPr/>
  </w:style>
  <w:style w:type="paragraph" w:styleId="P227">
    <w:name w:val="Yparawtab-e"/>
    <w:basedOn w:val="P78"/>
    <w:pPr>
      <w:shd w:val="clear" w:fill="D9D9D9"/>
    </w:pPr>
    <w:rPr/>
  </w:style>
  <w:style w:type="paragraph" w:styleId="P228">
    <w:name w:val="YSparagraph-e"/>
    <w:basedOn w:val="P136"/>
    <w:pPr>
      <w:shd w:val="clear" w:fill="D9D9D9"/>
    </w:pPr>
    <w:rPr/>
  </w:style>
  <w:style w:type="paragraph" w:styleId="P229">
    <w:name w:val="Ysubpara-e"/>
    <w:basedOn w:val="P38"/>
    <w:pPr>
      <w:shd w:val="clear" w:fill="D9D9D9"/>
    </w:pPr>
    <w:rPr/>
  </w:style>
  <w:style w:type="paragraph" w:styleId="P230">
    <w:name w:val="YSsubpara-e"/>
    <w:basedOn w:val="P146"/>
    <w:pPr>
      <w:shd w:val="clear" w:fill="D9D9D9"/>
    </w:pPr>
    <w:rPr/>
  </w:style>
  <w:style w:type="paragraph" w:styleId="P231">
    <w:name w:val="Ysubsubpara-e"/>
    <w:basedOn w:val="P44"/>
    <w:pPr>
      <w:shd w:val="clear" w:fill="D9D9D9"/>
    </w:pPr>
    <w:rPr/>
  </w:style>
  <w:style w:type="paragraph" w:styleId="P232">
    <w:name w:val="YSsubsubpara-e"/>
    <w:basedOn w:val="P152"/>
    <w:pPr>
      <w:shd w:val="clear" w:fill="D9D9D9"/>
    </w:pPr>
    <w:rPr/>
  </w:style>
  <w:style w:type="paragraph" w:styleId="P233">
    <w:name w:val="Ysubsubsubpara-e"/>
    <w:basedOn w:val="P118"/>
    <w:pPr>
      <w:shd w:val="clear" w:fill="D9D9D9"/>
    </w:pPr>
    <w:rPr/>
  </w:style>
  <w:style w:type="paragraph" w:styleId="P234">
    <w:name w:val="Yequation-e"/>
    <w:basedOn w:val="P50"/>
    <w:pPr>
      <w:shd w:val="clear" w:fill="D9D9D9"/>
    </w:pPr>
    <w:rPr/>
  </w:style>
  <w:style w:type="paragraph" w:styleId="P235">
    <w:name w:val="YPsection-e"/>
    <w:basedOn w:val="P99"/>
    <w:pPr>
      <w:shd w:val="clear" w:fill="D9D9D9"/>
    </w:pPr>
    <w:rPr>
      <w:b w:val="1"/>
    </w:rPr>
  </w:style>
  <w:style w:type="paragraph" w:styleId="P236">
    <w:name w:val="YSPsection-e"/>
    <w:basedOn w:val="P138"/>
    <w:pPr>
      <w:shd w:val="clear" w:fill="D9D9D9"/>
    </w:pPr>
    <w:rPr/>
  </w:style>
  <w:style w:type="paragraph" w:styleId="P237">
    <w:name w:val="YPsubsection-e"/>
    <w:basedOn w:val="P108"/>
    <w:pPr>
      <w:shd w:val="clear" w:fill="D9D9D9"/>
    </w:pPr>
    <w:rPr>
      <w:b w:val="1"/>
    </w:rPr>
  </w:style>
  <w:style w:type="paragraph" w:styleId="P238">
    <w:name w:val="YSPsubsection-e"/>
    <w:basedOn w:val="P140"/>
    <w:pPr>
      <w:shd w:val="clear" w:fill="D9D9D9"/>
    </w:pPr>
    <w:rPr/>
  </w:style>
  <w:style w:type="paragraph" w:styleId="P239">
    <w:name w:val="YPclause-e"/>
    <w:basedOn w:val="P25"/>
    <w:pPr>
      <w:shd w:val="clear" w:fill="D9D9D9"/>
    </w:pPr>
    <w:rPr>
      <w:b w:val="1"/>
    </w:rPr>
  </w:style>
  <w:style w:type="paragraph" w:styleId="P240">
    <w:name w:val="YPsubclause-e"/>
    <w:basedOn w:val="P35"/>
    <w:pPr>
      <w:shd w:val="clear" w:fill="D9D9D9"/>
    </w:pPr>
    <w:rPr>
      <w:b w:val="1"/>
    </w:rPr>
  </w:style>
  <w:style w:type="paragraph" w:styleId="P241">
    <w:name w:val="YPsubsubclause-e"/>
    <w:basedOn w:val="P41"/>
    <w:pPr>
      <w:shd w:val="clear" w:fill="D9D9D9"/>
    </w:pPr>
    <w:rPr>
      <w:b w:val="1"/>
    </w:rPr>
  </w:style>
  <w:style w:type="paragraph" w:styleId="P242">
    <w:name w:val="YPsubsubsubclause-e"/>
    <w:basedOn w:val="P115"/>
    <w:pPr>
      <w:shd w:val="clear" w:fill="D9D9D9"/>
    </w:pPr>
    <w:rPr>
      <w:b w:val="1"/>
    </w:rPr>
  </w:style>
  <w:style w:type="paragraph" w:styleId="P243">
    <w:name w:val="YPparagraph-e"/>
    <w:basedOn w:val="P32"/>
    <w:pPr>
      <w:shd w:val="clear" w:fill="D9D9D9"/>
    </w:pPr>
    <w:rPr>
      <w:b w:val="1"/>
    </w:rPr>
  </w:style>
  <w:style w:type="paragraph" w:styleId="P244">
    <w:name w:val="YPsubpara-e"/>
    <w:basedOn w:val="P38"/>
    <w:pPr>
      <w:shd w:val="clear" w:fill="D9D9D9"/>
    </w:pPr>
    <w:rPr>
      <w:b w:val="1"/>
    </w:rPr>
  </w:style>
  <w:style w:type="paragraph" w:styleId="P245">
    <w:name w:val="YPsubsubpara-e"/>
    <w:basedOn w:val="P44"/>
    <w:pPr>
      <w:shd w:val="clear" w:fill="D9D9D9"/>
    </w:pPr>
    <w:rPr>
      <w:b w:val="1"/>
    </w:rPr>
  </w:style>
  <w:style w:type="paragraph" w:styleId="P246">
    <w:name w:val="YPsubsubsubpara-e"/>
    <w:basedOn w:val="P118"/>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8"/>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2"/>
    <w:pPr/>
    <w:rPr/>
  </w:style>
  <w:style w:type="paragraph" w:styleId="P30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02">
    <w:name w:val="headnote-f"/>
    <w:basedOn w:val="P301"/>
    <w:pPr/>
    <w:rPr>
      <w:lang w:val="fr-CA"/>
    </w:rPr>
  </w:style>
  <w:style w:type="paragraph" w:styleId="P303">
    <w:name w:val="defPnote-f"/>
    <w:basedOn w:val="P92"/>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2"/>
    <w:pPr>
      <w:ind w:left="240"/>
    </w:pPr>
    <w:rPr/>
  </w:style>
  <w:style w:type="paragraph" w:styleId="P363">
    <w:name w:val="YprocPnote-f"/>
    <w:basedOn w:val="P362"/>
    <w:pPr/>
    <w:rPr>
      <w:lang w:val="fr-CA"/>
    </w:rPr>
  </w:style>
  <w:style w:type="paragraph" w:styleId="P364">
    <w:name w:val="StatuteHeader"/>
    <w:basedOn w:val="P0"/>
    <w:pPr>
      <w:tabs>
        <w:tab w:val="center" w:pos="5040" w:leader="none"/>
        <w:tab w:val="right" w:pos="10080" w:leader="none"/>
      </w:tabs>
    </w:pPr>
    <w:rPr>
      <w:lang w:val="en-GB"/>
    </w:rPr>
  </w:style>
  <w:style w:type="paragraph" w:styleId="P365">
    <w:name w:val="Notice"/>
    <w:basedOn w:val="P69"/>
    <w:pPr>
      <w:spacing w:before="80" w:after="0" w:beforeAutospacing="0" w:afterAutospacing="0"/>
    </w:pPr>
    <w:rPr>
      <w:i w:val="0"/>
      <w:color w:val="FF0000"/>
    </w:rPr>
  </w:style>
  <w:style w:type="paragraph" w:styleId="P366">
    <w:name w:val="procparagraph-e"/>
    <w:basedOn w:val="P32"/>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5"/>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8"/>
    <w:pPr/>
    <w:rPr/>
  </w:style>
  <w:style w:type="paragraph" w:styleId="P383">
    <w:name w:val="transsection-f"/>
    <w:basedOn w:val="P100"/>
    <w:pPr/>
    <w:rPr/>
  </w:style>
  <w:style w:type="paragraph" w:styleId="P384">
    <w:name w:val="transsubsection-e"/>
    <w:basedOn w:val="P107"/>
    <w:pPr/>
    <w:rPr/>
  </w:style>
  <w:style w:type="paragraph" w:styleId="P385">
    <w:name w:val="transsubsection-f"/>
    <w:basedOn w:val="P109"/>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99"/>
    <w:pPr/>
    <w:rPr/>
  </w:style>
  <w:style w:type="paragraph" w:styleId="P392">
    <w:name w:val="Standard-f"/>
    <w:basedOn w:val="P132"/>
    <w:pPr/>
    <w:rPr/>
  </w:style>
  <w:style w:type="paragraph" w:styleId="P393">
    <w:name w:val="Ppartnum-e"/>
    <w:basedOn w:val="P80"/>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1"/>
    <w:pPr>
      <w:shd w:val="clear" w:fill="D9D9D9"/>
    </w:pPr>
    <w:rPr/>
  </w:style>
  <w:style w:type="paragraph" w:styleId="P398">
    <w:name w:val="Yschedule-e"/>
    <w:basedOn w:val="P122"/>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69"/>
    <w:pPr>
      <w:shd w:val="clear" w:fill="D9D9D9"/>
    </w:pPr>
    <w:rPr/>
  </w:style>
  <w:style w:type="paragraph" w:styleId="P41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17">
    <w:name w:val="regaction-e"/>
    <w:basedOn w:val="P0"/>
    <w:pPr>
      <w:keepNext w:val="1"/>
      <w:suppressAutoHyphens w:val="1"/>
      <w:jc w:val="center"/>
    </w:pPr>
    <w:rPr>
      <w:lang w:val="en-GB"/>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6"/>
    <w:pPr>
      <w:ind w:left="835"/>
    </w:pPr>
    <w:rPr/>
  </w:style>
  <w:style w:type="paragraph" w:styleId="P462">
    <w:name w:val="equationind1-f"/>
    <w:basedOn w:val="P463"/>
    <w:pPr/>
    <w:rPr>
      <w:lang w:val="fr-CA"/>
    </w:rPr>
  </w:style>
  <w:style w:type="paragraph" w:styleId="P463">
    <w:name w:val="equationind1-e"/>
    <w:basedOn w:val="P32"/>
    <w:pPr/>
    <w:rPr/>
  </w:style>
  <w:style w:type="paragraph" w:styleId="P464">
    <w:name w:val="equationind2-e"/>
    <w:basedOn w:val="P38"/>
    <w:pPr/>
    <w:rPr/>
  </w:style>
  <w:style w:type="paragraph" w:styleId="P465">
    <w:name w:val="equationind2-f"/>
    <w:basedOn w:val="P464"/>
    <w:pPr/>
    <w:rPr>
      <w:lang w:val="fr-CA"/>
    </w:rPr>
  </w:style>
  <w:style w:type="paragraph" w:styleId="P466">
    <w:name w:val="equationind3-e"/>
    <w:basedOn w:val="P44"/>
    <w:pPr/>
    <w:rPr/>
  </w:style>
  <w:style w:type="paragraph" w:styleId="P467">
    <w:name w:val="equationind3-f"/>
    <w:basedOn w:val="P466"/>
    <w:pPr/>
    <w:rPr>
      <w:lang w:val="fr-CA"/>
    </w:rPr>
  </w:style>
  <w:style w:type="paragraph" w:styleId="P468">
    <w:name w:val="equationind4-e"/>
    <w:basedOn w:val="P118"/>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4"/>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4"/>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0"/>
    <w:pPr/>
    <w:rPr>
      <w:b w:val="0"/>
      <w:caps w:val="0"/>
    </w:rPr>
  </w:style>
  <w:style w:type="paragraph" w:styleId="P492">
    <w:name w:val="partnumRevoked-f"/>
    <w:basedOn w:val="P491"/>
    <w:pPr/>
    <w:rPr>
      <w:lang w:val="fr-CA"/>
    </w:rPr>
  </w:style>
  <w:style w:type="paragraph" w:styleId="P493">
    <w:name w:val="scheduleRevoked-e"/>
    <w:basedOn w:val="P122"/>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5"/>
    <w:pPr/>
    <w:rPr/>
  </w:style>
  <w:style w:type="paragraph" w:styleId="P522">
    <w:name w:val="heading1x-f"/>
    <w:basedOn w:val="P56"/>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1"/>
    <w:pPr/>
    <w:rPr/>
  </w:style>
  <w:style w:type="paragraph" w:styleId="P530">
    <w:name w:val="tableheadingRepeal-f"/>
    <w:basedOn w:val="P531"/>
    <w:pPr/>
    <w:rPr/>
  </w:style>
  <w:style w:type="paragraph" w:styleId="P531">
    <w:name w:val="tableheadingrev-f"/>
    <w:basedOn w:val="P101"/>
    <w:pPr/>
    <w:rPr>
      <w:lang w:val="fr-CA"/>
    </w:rPr>
  </w:style>
  <w:style w:type="paragraph" w:styleId="P532">
    <w:name w:val="subsubsubsubclause-e"/>
    <w:basedOn w:val="P25"/>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5"/>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2"/>
    <w:pPr/>
    <w:rPr>
      <w:b w:val="1"/>
    </w:rPr>
  </w:style>
  <w:style w:type="paragraph" w:styleId="P576">
    <w:name w:val="Pschedule-f"/>
    <w:basedOn w:val="P123"/>
    <w:pPr/>
    <w:rPr>
      <w:b w:val="1"/>
      <w:lang w:val="en-GB"/>
    </w:rPr>
  </w:style>
  <w:style w:type="paragraph" w:styleId="P577">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578">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579">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580">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581">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582">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583">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584">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8"/>
    <w:pPr>
      <w:shd w:val="clear" w:fill="D9D9D9"/>
    </w:pPr>
    <w:rPr/>
  </w:style>
  <w:style w:type="paragraph" w:styleId="P593">
    <w:name w:val="YPheading3-f"/>
    <w:basedOn w:val="P89"/>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0"/>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7"/>
    <w:pPr/>
    <w:rPr/>
  </w:style>
  <w:style w:type="paragraph" w:styleId="P613">
    <w:name w:val="heading2x-f"/>
    <w:basedOn w:val="P58"/>
    <w:pPr/>
    <w:rPr/>
  </w:style>
  <w:style w:type="paragraph" w:styleId="P614">
    <w:name w:val="heading3x-f"/>
    <w:basedOn w:val="P60"/>
    <w:pPr/>
    <w:rPr/>
  </w:style>
  <w:style w:type="paragraph" w:styleId="P615">
    <w:name w:val="heading3x-e"/>
    <w:basedOn w:val="P59"/>
    <w:pPr/>
    <w:rPr/>
  </w:style>
  <w:style w:type="paragraph" w:styleId="P616">
    <w:name w:val="Yprocparanoindt-e"/>
    <w:basedOn w:val="P74"/>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YTOCpartLeft-e"/>
    <w:basedOn w:val="P476"/>
    <w:pPr>
      <w:shd w:val="clear" w:fill="D9D9D9"/>
    </w:pPr>
    <w:rPr/>
  </w:style>
  <w:style w:type="paragraph" w:styleId="P623">
    <w:name w:val="YTOCpartLeft-f"/>
    <w:basedOn w:val="P622"/>
    <w:pPr/>
    <w:rPr>
      <w:lang w:val="fr-CA"/>
    </w:rPr>
  </w:style>
  <w:style w:type="paragraph" w:styleId="P624">
    <w:name w:val="YTOCid-e"/>
    <w:basedOn w:val="P370"/>
    <w:pPr>
      <w:shd w:val="clear" w:fill="D9D9D9"/>
    </w:pPr>
    <w:rPr/>
  </w:style>
  <w:style w:type="paragraph" w:styleId="P625">
    <w:name w:val="YTOCid-f"/>
    <w:basedOn w:val="P624"/>
    <w:pPr/>
    <w:rPr>
      <w:lang w:val="fr-CA"/>
    </w:rPr>
  </w:style>
  <w:style w:type="paragraph" w:styleId="P626">
    <w:name w:val="YTOCSched-e"/>
    <w:basedOn w:val="P489"/>
    <w:pPr>
      <w:shd w:val="clear" w:fill="D9D9D9"/>
    </w:pPr>
    <w:rPr/>
  </w:style>
  <w:style w:type="paragraph" w:styleId="P627">
    <w:name w:val="YTOCSched-f"/>
    <w:basedOn w:val="P626"/>
    <w:pPr/>
    <w:rPr>
      <w:lang w:val="fr-CA"/>
    </w:rPr>
  </w:style>
  <w:style w:type="paragraph" w:styleId="P628">
    <w:name w:val="YTOCTable-e"/>
    <w:basedOn w:val="P374"/>
    <w:pPr>
      <w:shd w:val="clear" w:fill="D9D9D9"/>
    </w:pPr>
    <w:rPr/>
  </w:style>
  <w:style w:type="paragraph" w:styleId="P629">
    <w:name w:val="YTOCTable-f"/>
    <w:basedOn w:val="P628"/>
    <w:pPr/>
    <w:rPr>
      <w:lang w:val="fr-CA"/>
    </w:rPr>
  </w:style>
  <w:style w:type="paragraph" w:styleId="P630">
    <w:name w:val="YTOCheadLeft-e"/>
    <w:basedOn w:val="P480"/>
    <w:pPr>
      <w:shd w:val="clear" w:fill="D9D9D9"/>
    </w:pPr>
    <w:rPr/>
  </w:style>
  <w:style w:type="paragraph" w:styleId="P631">
    <w:name w:val="YTOCheadLeft-f"/>
    <w:basedOn w:val="P630"/>
    <w:pPr/>
    <w:rPr>
      <w:lang w:val="fr-CA"/>
    </w:rPr>
  </w:style>
  <w:style w:type="paragraph" w:styleId="P632">
    <w:name w:val="YTOCPartCenter-e"/>
    <w:basedOn w:val="P377"/>
    <w:pPr>
      <w:shd w:val="clear" w:fill="D9D9D9"/>
    </w:pPr>
    <w:rPr/>
  </w:style>
  <w:style w:type="paragraph" w:styleId="P633">
    <w:name w:val="YTOCPartCenter-f"/>
    <w:basedOn w:val="P632"/>
    <w:pPr/>
    <w:rPr>
      <w:lang w:val="fr-CA"/>
    </w:rPr>
  </w:style>
  <w:style w:type="paragraph" w:styleId="P634">
    <w:name w:val="YTOCHeadCenter-e"/>
    <w:basedOn w:val="P372"/>
    <w:pPr>
      <w:shd w:val="clear" w:fill="D9D9D9"/>
    </w:pPr>
    <w:rPr/>
  </w:style>
  <w:style w:type="paragraph" w:styleId="P635">
    <w:name w:val="YTOCHeadCenter-f"/>
    <w:basedOn w:val="P634"/>
    <w:pPr/>
    <w:rPr>
      <w:lang w:val="fr-CA"/>
    </w:rPr>
  </w:style>
  <w:style w:type="paragraph" w:styleId="P636">
    <w:name w:val="YTOCHead-e"/>
    <w:basedOn w:val="P446"/>
    <w:pPr>
      <w:shd w:val="clear" w:fill="D9D9D9"/>
    </w:pPr>
    <w:rPr/>
  </w:style>
  <w:style w:type="paragraph" w:styleId="P637">
    <w:name w:val="YTOCHead-f"/>
    <w:basedOn w:val="P636"/>
    <w:pPr/>
    <w:rPr>
      <w:lang w:val="fr-CA"/>
    </w:rPr>
  </w:style>
  <w:style w:type="paragraph" w:styleId="P638">
    <w:name w:val="TOCForm-e"/>
    <w:basedOn w:val="P446"/>
    <w:pPr/>
    <w:rPr/>
  </w:style>
  <w:style w:type="paragraph" w:styleId="P639">
    <w:name w:val="TOCForm-f"/>
    <w:basedOn w:val="P638"/>
    <w:pPr/>
    <w:rPr>
      <w:lang w:val="fr-FR"/>
    </w:rPr>
  </w:style>
  <w:style w:type="paragraph" w:styleId="P640">
    <w:name w:val="YTOCForm-e"/>
    <w:basedOn w:val="P638"/>
    <w:pPr>
      <w:shd w:val="clear" w:fill="D9D9D9"/>
    </w:pPr>
    <w:rPr/>
  </w:style>
  <w:style w:type="paragraph" w:styleId="P641">
    <w:name w:val="YTOCForm-f"/>
    <w:basedOn w:val="P640"/>
    <w:pPr/>
    <w:rPr>
      <w:lang w:val="fr-CA"/>
    </w:rPr>
  </w:style>
  <w:style w:type="paragraph" w:styleId="P642">
    <w:name w:val="Balloon Text"/>
    <w:basedOn w:val="P0"/>
    <w:semiHidden/>
    <w:pPr/>
    <w:rPr>
      <w:rFonts w:ascii="Tahoma" w:hAnsi="Tahoma"/>
      <w:sz w:val="16"/>
    </w:rPr>
  </w:style>
  <w:style w:type="paragraph" w:styleId="P643">
    <w:name w:val="Block Text"/>
    <w:basedOn w:val="P0"/>
    <w:pPr>
      <w:spacing w:after="120" w:beforeAutospacing="0" w:afterAutospacing="0"/>
      <w:ind w:left="1440" w:right="1440"/>
    </w:pPr>
    <w:rPr/>
  </w:style>
  <w:style w:type="paragraph" w:styleId="P644">
    <w:name w:val="Body Text"/>
    <w:basedOn w:val="P0"/>
    <w:pPr>
      <w:spacing w:after="120" w:beforeAutospacing="0" w:afterAutospacing="0"/>
    </w:pPr>
    <w:rPr/>
  </w:style>
  <w:style w:type="paragraph" w:styleId="P645">
    <w:name w:val="Body Text 2"/>
    <w:basedOn w:val="P0"/>
    <w:pPr>
      <w:spacing w:lineRule="auto" w:line="480" w:after="120" w:beforeAutospacing="0" w:afterAutospacing="0"/>
    </w:pPr>
    <w:rPr/>
  </w:style>
  <w:style w:type="paragraph" w:styleId="P646">
    <w:name w:val="Body Text 3"/>
    <w:basedOn w:val="P0"/>
    <w:pPr>
      <w:spacing w:after="120" w:beforeAutospacing="0" w:afterAutospacing="0"/>
    </w:pPr>
    <w:rPr>
      <w:sz w:val="16"/>
    </w:rPr>
  </w:style>
  <w:style w:type="paragraph" w:styleId="P647">
    <w:name w:val="Body Text First Indent"/>
    <w:basedOn w:val="P644"/>
    <w:pPr>
      <w:ind w:firstLine="210"/>
    </w:pPr>
    <w:rPr/>
  </w:style>
  <w:style w:type="paragraph" w:styleId="P648">
    <w:name w:val="Body Text Indent"/>
    <w:basedOn w:val="P0"/>
    <w:pPr>
      <w:spacing w:after="120" w:beforeAutospacing="0" w:afterAutospacing="0"/>
      <w:ind w:left="360"/>
    </w:pPr>
    <w:rPr/>
  </w:style>
  <w:style w:type="paragraph" w:styleId="P649">
    <w:name w:val="Body Text First Indent 2"/>
    <w:basedOn w:val="P648"/>
    <w:pPr>
      <w:ind w:firstLine="210"/>
    </w:pPr>
    <w:rPr/>
  </w:style>
  <w:style w:type="paragraph" w:styleId="P650">
    <w:name w:val="Body Text Indent 2"/>
    <w:basedOn w:val="P0"/>
    <w:pPr>
      <w:spacing w:lineRule="auto" w:line="480" w:after="120" w:beforeAutospacing="0" w:afterAutospacing="0"/>
      <w:ind w:left="360"/>
    </w:pPr>
    <w:rPr/>
  </w:style>
  <w:style w:type="paragraph" w:styleId="P651">
    <w:name w:val="Body Text Indent 3"/>
    <w:basedOn w:val="P0"/>
    <w:pPr>
      <w:spacing w:after="120" w:beforeAutospacing="0" w:afterAutospacing="0"/>
      <w:ind w:left="360"/>
    </w:pPr>
    <w:rPr>
      <w:sz w:val="16"/>
    </w:rPr>
  </w:style>
  <w:style w:type="paragraph" w:styleId="P652">
    <w:name w:val="caption"/>
    <w:basedOn w:val="P0"/>
    <w:next w:val="P0"/>
    <w:qFormat/>
    <w:pPr/>
    <w:rPr>
      <w:b w:val="1"/>
    </w:rPr>
  </w:style>
  <w:style w:type="paragraph" w:styleId="P653">
    <w:name w:val="Closing"/>
    <w:basedOn w:val="P0"/>
    <w:pPr>
      <w:ind w:left="4320"/>
    </w:pPr>
    <w:rPr/>
  </w:style>
  <w:style w:type="paragraph" w:styleId="P654">
    <w:name w:val="annotation text"/>
    <w:basedOn w:val="P0"/>
    <w:semiHidden/>
    <w:pPr/>
    <w:rPr/>
  </w:style>
  <w:style w:type="paragraph" w:styleId="P655">
    <w:name w:val="annotation subject"/>
    <w:basedOn w:val="P654"/>
    <w:next w:val="P654"/>
    <w:semiHidden/>
    <w:pPr/>
    <w:rPr>
      <w:b w:val="1"/>
    </w:rPr>
  </w:style>
  <w:style w:type="paragraph" w:styleId="P656">
    <w:name w:val="Date"/>
    <w:basedOn w:val="P0"/>
    <w:next w:val="P0"/>
    <w:pPr/>
    <w:rPr/>
  </w:style>
  <w:style w:type="paragraph" w:styleId="P657">
    <w:name w:val="Document Map"/>
    <w:basedOn w:val="P0"/>
    <w:semiHidden/>
    <w:pPr>
      <w:shd w:val="clear" w:fill="000080"/>
    </w:pPr>
    <w:rPr>
      <w:rFonts w:ascii="Tahoma" w:hAnsi="Tahoma"/>
    </w:rPr>
  </w:style>
  <w:style w:type="paragraph" w:styleId="P658">
    <w:name w:val="E-mail Signature"/>
    <w:basedOn w:val="P0"/>
    <w:pPr/>
    <w:rPr/>
  </w:style>
  <w:style w:type="paragraph" w:styleId="P659">
    <w:name w:val="endnote text"/>
    <w:basedOn w:val="P0"/>
    <w:semiHidden/>
    <w:pPr/>
    <w:rPr/>
  </w:style>
  <w:style w:type="paragraph" w:styleId="P660">
    <w:name w:val="envelope address"/>
    <w:basedOn w:val="P0"/>
    <w:pPr>
      <w:framePr w:w="7920" w:h="1980" w:hRule="exact" w:hSpace="180" w:wrap="auto" w:hAnchor="page" w:x="0" w:xAlign="center" w:y="0" w:yAlign="bottom"/>
      <w:ind w:left="2880"/>
    </w:pPr>
    <w:rPr>
      <w:rFonts w:ascii="Arial" w:hAnsi="Arial"/>
      <w:sz w:val="24"/>
    </w:rPr>
  </w:style>
  <w:style w:type="paragraph" w:styleId="P661">
    <w:name w:val="envelope return"/>
    <w:basedOn w:val="P0"/>
    <w:pPr/>
    <w:rPr>
      <w:rFonts w:ascii="Arial" w:hAnsi="Arial"/>
    </w:rPr>
  </w:style>
  <w:style w:type="paragraph" w:styleId="P662">
    <w:name w:val="footnote text"/>
    <w:basedOn w:val="P0"/>
    <w:semiHidden/>
    <w:pPr/>
    <w:rPr/>
  </w:style>
  <w:style w:type="paragraph" w:styleId="P663">
    <w:name w:val="header"/>
    <w:basedOn w:val="P0"/>
    <w:pPr>
      <w:tabs>
        <w:tab w:val="center" w:pos="4320" w:leader="none"/>
        <w:tab w:val="right" w:pos="8640" w:leader="none"/>
      </w:tabs>
    </w:pPr>
    <w:rPr/>
  </w:style>
  <w:style w:type="paragraph" w:styleId="P664">
    <w:name w:val="HTML Address"/>
    <w:basedOn w:val="P0"/>
    <w:pPr/>
    <w:rPr>
      <w:i w:val="1"/>
    </w:rPr>
  </w:style>
  <w:style w:type="paragraph" w:styleId="P665">
    <w:name w:val="HTML Preformatted"/>
    <w:basedOn w:val="P0"/>
    <w:pPr/>
    <w:rPr>
      <w:rFonts w:ascii="Courier New" w:hAnsi="Courier New"/>
    </w:rPr>
  </w:style>
  <w:style w:type="paragraph" w:styleId="P666">
    <w:name w:val="index 1"/>
    <w:basedOn w:val="P0"/>
    <w:next w:val="P0"/>
    <w:semiHidden/>
    <w:pPr>
      <w:ind w:hanging="200" w:left="200"/>
    </w:pPr>
    <w:rPr/>
  </w:style>
  <w:style w:type="paragraph" w:styleId="P667">
    <w:name w:val="index 2"/>
    <w:basedOn w:val="P0"/>
    <w:next w:val="P0"/>
    <w:semiHidden/>
    <w:pPr>
      <w:ind w:hanging="200" w:left="400"/>
    </w:pPr>
    <w:rPr/>
  </w:style>
  <w:style w:type="paragraph" w:styleId="P668">
    <w:name w:val="index 3"/>
    <w:basedOn w:val="P0"/>
    <w:next w:val="P0"/>
    <w:semiHidden/>
    <w:pPr>
      <w:ind w:hanging="200" w:left="600"/>
    </w:pPr>
    <w:rPr/>
  </w:style>
  <w:style w:type="paragraph" w:styleId="P669">
    <w:name w:val="index 4"/>
    <w:basedOn w:val="P0"/>
    <w:next w:val="P0"/>
    <w:semiHidden/>
    <w:pPr>
      <w:ind w:hanging="200" w:left="800"/>
    </w:pPr>
    <w:rPr/>
  </w:style>
  <w:style w:type="paragraph" w:styleId="P670">
    <w:name w:val="index 5"/>
    <w:basedOn w:val="P0"/>
    <w:next w:val="P0"/>
    <w:semiHidden/>
    <w:pPr>
      <w:ind w:hanging="200" w:left="1000"/>
    </w:pPr>
    <w:rPr/>
  </w:style>
  <w:style w:type="paragraph" w:styleId="P671">
    <w:name w:val="index 6"/>
    <w:basedOn w:val="P0"/>
    <w:next w:val="P0"/>
    <w:semiHidden/>
    <w:pPr>
      <w:ind w:hanging="200" w:left="1200"/>
    </w:pPr>
    <w:rPr/>
  </w:style>
  <w:style w:type="paragraph" w:styleId="P672">
    <w:name w:val="index 7"/>
    <w:basedOn w:val="P0"/>
    <w:next w:val="P0"/>
    <w:semiHidden/>
    <w:pPr>
      <w:ind w:hanging="200" w:left="1400"/>
    </w:pPr>
    <w:rPr/>
  </w:style>
  <w:style w:type="paragraph" w:styleId="P673">
    <w:name w:val="index 8"/>
    <w:basedOn w:val="P0"/>
    <w:next w:val="P0"/>
    <w:semiHidden/>
    <w:pPr>
      <w:ind w:hanging="200" w:left="1600"/>
    </w:pPr>
    <w:rPr/>
  </w:style>
  <w:style w:type="paragraph" w:styleId="P674">
    <w:name w:val="index 9"/>
    <w:basedOn w:val="P0"/>
    <w:next w:val="P0"/>
    <w:semiHidden/>
    <w:pPr>
      <w:ind w:hanging="200" w:left="1800"/>
    </w:pPr>
    <w:rPr/>
  </w:style>
  <w:style w:type="paragraph" w:styleId="P675">
    <w:name w:val="index heading"/>
    <w:basedOn w:val="P0"/>
    <w:next w:val="P666"/>
    <w:semiHidden/>
    <w:pPr/>
    <w:rPr>
      <w:rFonts w:ascii="Arial" w:hAnsi="Arial"/>
      <w:b w:val="1"/>
    </w:rPr>
  </w:style>
  <w:style w:type="paragraph" w:styleId="P676">
    <w:name w:val="List"/>
    <w:basedOn w:val="P0"/>
    <w:pPr>
      <w:ind w:hanging="360" w:left="360"/>
    </w:pPr>
    <w:rPr/>
  </w:style>
  <w:style w:type="paragraph" w:styleId="P677">
    <w:name w:val="List 2"/>
    <w:basedOn w:val="P0"/>
    <w:pPr>
      <w:ind w:hanging="360" w:left="720"/>
    </w:pPr>
    <w:rPr/>
  </w:style>
  <w:style w:type="paragraph" w:styleId="P678">
    <w:name w:val="List 3"/>
    <w:basedOn w:val="P0"/>
    <w:pPr>
      <w:ind w:hanging="360" w:left="1080"/>
    </w:pPr>
    <w:rPr/>
  </w:style>
  <w:style w:type="paragraph" w:styleId="P679">
    <w:name w:val="List 4"/>
    <w:basedOn w:val="P0"/>
    <w:pPr>
      <w:ind w:hanging="360" w:left="1440"/>
    </w:pPr>
    <w:rPr/>
  </w:style>
  <w:style w:type="paragraph" w:styleId="P680">
    <w:name w:val="List 5"/>
    <w:basedOn w:val="P0"/>
    <w:pPr>
      <w:ind w:hanging="360" w:left="1800"/>
    </w:pPr>
    <w:rPr/>
  </w:style>
  <w:style w:type="paragraph" w:styleId="P681">
    <w:name w:val="List Bullet"/>
    <w:basedOn w:val="P0"/>
    <w:pPr>
      <w:numPr>
        <w:numId w:val="1"/>
      </w:numPr>
    </w:pPr>
    <w:rPr/>
  </w:style>
  <w:style w:type="paragraph" w:styleId="P682">
    <w:name w:val="List Bullet 2"/>
    <w:basedOn w:val="P0"/>
    <w:pPr>
      <w:numPr>
        <w:numId w:val="2"/>
      </w:numPr>
    </w:pPr>
    <w:rPr/>
  </w:style>
  <w:style w:type="paragraph" w:styleId="P683">
    <w:name w:val="List Bullet 3"/>
    <w:basedOn w:val="P0"/>
    <w:pPr>
      <w:numPr>
        <w:numId w:val="3"/>
      </w:numPr>
    </w:pPr>
    <w:rPr/>
  </w:style>
  <w:style w:type="paragraph" w:styleId="P684">
    <w:name w:val="List Bullet 4"/>
    <w:basedOn w:val="P0"/>
    <w:pPr>
      <w:numPr>
        <w:numId w:val="4"/>
      </w:numPr>
    </w:pPr>
    <w:rPr/>
  </w:style>
  <w:style w:type="paragraph" w:styleId="P685">
    <w:name w:val="List Bullet 5"/>
    <w:basedOn w:val="P0"/>
    <w:pPr>
      <w:numPr>
        <w:numId w:val="5"/>
      </w:numPr>
    </w:pPr>
    <w:rPr/>
  </w:style>
  <w:style w:type="paragraph" w:styleId="P686">
    <w:name w:val="List Continue"/>
    <w:basedOn w:val="P0"/>
    <w:pPr>
      <w:spacing w:after="120" w:beforeAutospacing="0" w:afterAutospacing="0"/>
      <w:ind w:left="360"/>
    </w:pPr>
    <w:rPr/>
  </w:style>
  <w:style w:type="paragraph" w:styleId="P687">
    <w:name w:val="List Continue 2"/>
    <w:basedOn w:val="P0"/>
    <w:pPr>
      <w:spacing w:after="120" w:beforeAutospacing="0" w:afterAutospacing="0"/>
      <w:ind w:left="720"/>
    </w:pPr>
    <w:rPr/>
  </w:style>
  <w:style w:type="paragraph" w:styleId="P688">
    <w:name w:val="List Continue 3"/>
    <w:basedOn w:val="P0"/>
    <w:pPr>
      <w:spacing w:after="120" w:beforeAutospacing="0" w:afterAutospacing="0"/>
      <w:ind w:left="1080"/>
    </w:pPr>
    <w:rPr/>
  </w:style>
  <w:style w:type="paragraph" w:styleId="P689">
    <w:name w:val="List Continue 4"/>
    <w:basedOn w:val="P0"/>
    <w:pPr>
      <w:spacing w:after="120" w:beforeAutospacing="0" w:afterAutospacing="0"/>
      <w:ind w:left="1440"/>
    </w:pPr>
    <w:rPr/>
  </w:style>
  <w:style w:type="paragraph" w:styleId="P690">
    <w:name w:val="List Continue 5"/>
    <w:basedOn w:val="P0"/>
    <w:pPr>
      <w:spacing w:after="120" w:beforeAutospacing="0" w:afterAutospacing="0"/>
      <w:ind w:left="1800"/>
    </w:pPr>
    <w:rPr/>
  </w:style>
  <w:style w:type="paragraph" w:styleId="P691">
    <w:name w:val="List Number"/>
    <w:basedOn w:val="P0"/>
    <w:pPr>
      <w:numPr>
        <w:numId w:val="6"/>
      </w:numPr>
    </w:pPr>
    <w:rPr/>
  </w:style>
  <w:style w:type="paragraph" w:styleId="P692">
    <w:name w:val="List Number 2"/>
    <w:basedOn w:val="P0"/>
    <w:pPr>
      <w:numPr>
        <w:numId w:val="7"/>
      </w:numPr>
    </w:pPr>
    <w:rPr/>
  </w:style>
  <w:style w:type="paragraph" w:styleId="P693">
    <w:name w:val="List Number 3"/>
    <w:basedOn w:val="P0"/>
    <w:pPr>
      <w:numPr>
        <w:numId w:val="8"/>
      </w:numPr>
    </w:pPr>
    <w:rPr/>
  </w:style>
  <w:style w:type="paragraph" w:styleId="P694">
    <w:name w:val="List Number 4"/>
    <w:basedOn w:val="P0"/>
    <w:pPr>
      <w:numPr>
        <w:numId w:val="9"/>
      </w:numPr>
    </w:pPr>
    <w:rPr/>
  </w:style>
  <w:style w:type="paragraph" w:styleId="P695">
    <w:name w:val="List Number 5"/>
    <w:basedOn w:val="P0"/>
    <w:pPr>
      <w:numPr>
        <w:numId w:val="10"/>
      </w:numPr>
    </w:pPr>
    <w:rPr/>
  </w:style>
  <w:style w:type="paragraph" w:styleId="P696">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697">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698">
    <w:name w:val="Normal (Web)"/>
    <w:basedOn w:val="P0"/>
    <w:pPr/>
    <w:rPr>
      <w:sz w:val="24"/>
    </w:rPr>
  </w:style>
  <w:style w:type="paragraph" w:styleId="P699">
    <w:name w:val="Normal Indent"/>
    <w:basedOn w:val="P0"/>
    <w:pPr>
      <w:ind w:left="720"/>
    </w:pPr>
    <w:rPr/>
  </w:style>
  <w:style w:type="paragraph" w:styleId="P700">
    <w:name w:val="Note Heading"/>
    <w:basedOn w:val="P0"/>
    <w:next w:val="P0"/>
    <w:pPr/>
    <w:rPr/>
  </w:style>
  <w:style w:type="paragraph" w:styleId="P701">
    <w:name w:val="Plain Text"/>
    <w:basedOn w:val="P0"/>
    <w:pPr/>
    <w:rPr>
      <w:rFonts w:ascii="Courier New" w:hAnsi="Courier New"/>
    </w:rPr>
  </w:style>
  <w:style w:type="paragraph" w:styleId="P702">
    <w:name w:val="Salutation"/>
    <w:basedOn w:val="P0"/>
    <w:next w:val="P0"/>
    <w:pPr/>
    <w:rPr/>
  </w:style>
  <w:style w:type="paragraph" w:styleId="P703">
    <w:name w:val="Signature"/>
    <w:basedOn w:val="P0"/>
    <w:pPr>
      <w:ind w:left="4320"/>
    </w:pPr>
    <w:rPr/>
  </w:style>
  <w:style w:type="paragraph" w:styleId="P704">
    <w:name w:val="Subtitle"/>
    <w:basedOn w:val="P0"/>
    <w:qFormat/>
    <w:pPr>
      <w:spacing w:after="60" w:beforeAutospacing="0" w:afterAutospacing="0"/>
      <w:jc w:val="center"/>
      <w:outlineLvl w:val="1"/>
    </w:pPr>
    <w:rPr>
      <w:rFonts w:ascii="Arial" w:hAnsi="Arial"/>
      <w:sz w:val="24"/>
    </w:rPr>
  </w:style>
  <w:style w:type="paragraph" w:styleId="P705">
    <w:name w:val="table of authorities"/>
    <w:basedOn w:val="P0"/>
    <w:next w:val="P0"/>
    <w:semiHidden/>
    <w:pPr>
      <w:ind w:hanging="200" w:left="200"/>
    </w:pPr>
    <w:rPr/>
  </w:style>
  <w:style w:type="paragraph" w:styleId="P706">
    <w:name w:val="table of figures"/>
    <w:basedOn w:val="P0"/>
    <w:next w:val="P0"/>
    <w:semiHidden/>
    <w:pPr/>
    <w:rPr/>
  </w:style>
  <w:style w:type="paragraph" w:styleId="P707">
    <w:name w:val="Title"/>
    <w:basedOn w:val="P0"/>
    <w:qFormat/>
    <w:pPr>
      <w:spacing w:before="240" w:after="60" w:beforeAutospacing="0" w:afterAutospacing="0"/>
      <w:jc w:val="center"/>
      <w:outlineLvl w:val="0"/>
    </w:pPr>
    <w:rPr>
      <w:rFonts w:ascii="Arial" w:hAnsi="Arial"/>
      <w:b w:val="1"/>
      <w:sz w:val="32"/>
    </w:rPr>
  </w:style>
  <w:style w:type="paragraph" w:styleId="P708">
    <w:name w:val="toa heading"/>
    <w:basedOn w:val="P0"/>
    <w:next w:val="P0"/>
    <w:semiHidden/>
    <w:pPr>
      <w:spacing w:before="120" w:beforeAutospacing="0" w:afterAutospacing="0"/>
    </w:pPr>
    <w:rPr>
      <w:rFonts w:ascii="Arial" w:hAnsi="Arial"/>
      <w:b w:val="1"/>
      <w:sz w:val="24"/>
    </w:rPr>
  </w:style>
  <w:style w:type="paragraph" w:styleId="P709">
    <w:name w:val="toc 1"/>
    <w:basedOn w:val="P0"/>
    <w:next w:val="P0"/>
    <w:semiHidden/>
    <w:pPr/>
    <w:rPr/>
  </w:style>
  <w:style w:type="paragraph" w:styleId="P710">
    <w:name w:val="toc 2"/>
    <w:basedOn w:val="P0"/>
    <w:next w:val="P0"/>
    <w:semiHidden/>
    <w:pPr>
      <w:ind w:left="200"/>
    </w:pPr>
    <w:rPr/>
  </w:style>
  <w:style w:type="paragraph" w:styleId="P711">
    <w:name w:val="toc 3"/>
    <w:basedOn w:val="P0"/>
    <w:next w:val="P0"/>
    <w:semiHidden/>
    <w:pPr>
      <w:ind w:left="400"/>
    </w:pPr>
    <w:rPr/>
  </w:style>
  <w:style w:type="paragraph" w:styleId="P712">
    <w:name w:val="toc 4"/>
    <w:basedOn w:val="P0"/>
    <w:next w:val="P0"/>
    <w:semiHidden/>
    <w:pPr>
      <w:ind w:left="600"/>
    </w:pPr>
    <w:rPr/>
  </w:style>
  <w:style w:type="paragraph" w:styleId="P713">
    <w:name w:val="toc 5"/>
    <w:basedOn w:val="P0"/>
    <w:next w:val="P0"/>
    <w:semiHidden/>
    <w:pPr>
      <w:ind w:left="800"/>
    </w:pPr>
    <w:rPr/>
  </w:style>
  <w:style w:type="paragraph" w:styleId="P714">
    <w:name w:val="toc 6"/>
    <w:basedOn w:val="P0"/>
    <w:next w:val="P0"/>
    <w:semiHidden/>
    <w:pPr>
      <w:ind w:left="1000"/>
    </w:pPr>
    <w:rPr/>
  </w:style>
  <w:style w:type="paragraph" w:styleId="P715">
    <w:name w:val="toc 7"/>
    <w:basedOn w:val="P0"/>
    <w:next w:val="P0"/>
    <w:semiHidden/>
    <w:pPr>
      <w:ind w:left="1200"/>
    </w:pPr>
    <w:rPr/>
  </w:style>
  <w:style w:type="paragraph" w:styleId="P716">
    <w:name w:val="toc 8"/>
    <w:basedOn w:val="P0"/>
    <w:next w:val="P0"/>
    <w:semiHidden/>
    <w:pPr>
      <w:ind w:left="1400"/>
    </w:pPr>
    <w:rPr/>
  </w:style>
  <w:style w:type="paragraph" w:styleId="P717">
    <w:name w:val="toc 9"/>
    <w:basedOn w:val="P0"/>
    <w:next w:val="P0"/>
    <w:semiHidden/>
    <w:pPr>
      <w:ind w:left="16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lang w:val="en-GB"/>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footnote reference"/>
    <w:semiHidden/>
    <w:rPr>
      <w:vertAlign w:val="superscript"/>
    </w:rPr>
  </w:style>
  <w:style w:type="character" w:styleId="C17">
    <w:name w:val="Pnote-e Char"/>
    <w:link w:val="P92"/>
    <w:rPr>
      <w:b w:val="1"/>
      <w:sz w:val="16"/>
      <w:lang w:val="en-GB" w:eastAsia="en-US"/>
    </w:rPr>
  </w:style>
  <w:style w:type="character" w:styleId="C18">
    <w:name w:val="annotation reference"/>
    <w:semiHidden/>
    <w:rPr>
      <w:sz w:val="16"/>
    </w:rPr>
  </w:style>
  <w:style w:type="character" w:styleId="C19">
    <w:name w:val="Emphasis"/>
    <w:qFormat/>
    <w:rPr>
      <w:i w:val="1"/>
    </w:rPr>
  </w:style>
  <w:style w:type="character" w:styleId="C20">
    <w:name w:val="endnote reference"/>
    <w:semiHidden/>
    <w:rPr>
      <w:vertAlign w:val="superscript"/>
    </w:rPr>
  </w:style>
  <w:style w:type="character" w:styleId="C21">
    <w:name w:val="FollowedHyperlink"/>
    <w:rPr>
      <w:color w:val="800080"/>
      <w:u w:val="single"/>
    </w:rPr>
  </w:style>
  <w:style w:type="character" w:styleId="C22">
    <w:name w:val="HTML Acronym"/>
    <w:basedOn w:val="C0"/>
    <w:rPr/>
  </w:style>
  <w:style w:type="character" w:styleId="C23">
    <w:name w:val="HTML Cite"/>
    <w:rPr>
      <w:i w:val="1"/>
    </w:rPr>
  </w:style>
  <w:style w:type="character" w:styleId="C24">
    <w:name w:val="HTML Code"/>
    <w:rPr>
      <w:rFonts w:ascii="Courier New" w:hAnsi="Courier New"/>
      <w:sz w:val="20"/>
    </w:rPr>
  </w:style>
  <w:style w:type="character" w:styleId="C25">
    <w:name w:val="HTML Definition"/>
    <w:rPr>
      <w:i w:val="1"/>
    </w:rPr>
  </w:style>
  <w:style w:type="character" w:styleId="C26">
    <w:name w:val="HTML Keyboard"/>
    <w:rPr>
      <w:rFonts w:ascii="Courier New" w:hAnsi="Courier New"/>
      <w:sz w:val="20"/>
    </w:rPr>
  </w:style>
  <w:style w:type="character" w:styleId="C27">
    <w:name w:val="HTML Sample"/>
    <w:rPr>
      <w:rFonts w:ascii="Courier New" w:hAnsi="Courier New"/>
    </w:rPr>
  </w:style>
  <w:style w:type="character" w:styleId="C28">
    <w:name w:val="HTML Typewriter"/>
    <w:rPr>
      <w:rFonts w:ascii="Courier New" w:hAnsi="Courier New"/>
      <w:sz w:val="20"/>
    </w:rPr>
  </w:style>
  <w:style w:type="character" w:styleId="C29">
    <w:name w:val="HTML Variable"/>
    <w:rPr>
      <w:i w:val="1"/>
    </w:rPr>
  </w:style>
  <w:style w:type="character" w:styleId="C30">
    <w:name w:val="line number"/>
    <w:basedOn w:val="C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12" w:space="0" w:shadow="0" w:frame="0" w:color="008000"/>
        <w:bottom w:val="single" w:sz="12" w:space="0" w:shadow="0" w:frame="0" w:color="008000"/>
      </w:tblBorders>
    </w:tblPr>
    <w:trPr/>
    <w:tcPr/>
    <w:tblStylePr w:type="lastRow">
      <w:tblPr/>
      <w:trPr/>
      <w:tcPr>
        <w:tcBorders>
          <w:top w:val="single" w:sz="6" w:space="0" w:shadow="0" w:frame="0" w:color="008000"/>
          <w:tl2br w:val="nil" w:sz="0" w:space="0" w:shadow="0" w:frame="0" w:color="000000"/>
          <w:tr2bl w:val="nil" w:sz="0" w:space="0" w:shadow="0" w:frame="0" w:color="000000"/>
        </w:tcBorders>
      </w:tcPr>
    </w:tblStylePr>
    <w:tblStylePr w:type="firstRow">
      <w:tblPr/>
      <w:trPr/>
      <w:tcPr>
        <w:tcBorders>
          <w:bottom w:val="single" w:sz="6" w:space="0" w:shadow="0" w:frame="0" w:color="008000"/>
          <w:tl2br w:val="nil" w:sz="0" w:space="0" w:shadow="0" w:frame="0" w:color="000000"/>
          <w:tr2bl w:val="nil" w:sz="0" w:space="0" w:shadow="0" w:frame="0" w:color="000000"/>
        </w:tcBorders>
      </w:tcPr>
    </w:tblStylePr>
  </w:style>
  <w:style w:type="table" w:styleId="T2">
    <w:name w:val="Table 3D effects 1"/>
    <w:basedOn w:val="T0"/>
    <w:tblPr/>
    <w:trPr/>
    <w:tcPr>
      <w:shd w:val="solid" w:color="C0C0C0" w:fill="FFFFFF"/>
    </w:tcPr>
    <w:tblStylePr w:type="swCell">
      <w:rPr>
        <w:color w:val="000080"/>
      </w:rPr>
      <w:tblPr/>
      <w:trPr/>
      <w:tcPr>
        <w:tcBorders>
          <w:top w:val="nil" w:sz="0" w:space="0" w:shadow="0" w:frame="0" w:color="000000"/>
          <w:right w:val="nil" w:sz="0" w:space="0" w:shadow="0" w:frame="0" w:color="000000"/>
          <w:tl2br w:val="nil" w:sz="0" w:space="0" w:shadow="0" w:frame="0" w:color="000000"/>
          <w:tr2bl w:val="nil" w:sz="0" w:space="0" w:shadow="0" w:frame="0" w:color="000000"/>
        </w:tcBorders>
      </w:tcPr>
    </w:tblStylePr>
    <w:tblStylePr w:type="seCell">
      <w:tblPr/>
      <w:trPr/>
      <w:tcPr>
        <w:tcBorders>
          <w:top w:val="nil" w:sz="0" w:space="0" w:shadow="0" w:frame="0" w:color="000000"/>
          <w:left w:val="nil" w:sz="0" w:space="0" w:shadow="0" w:frame="0" w:color="000000"/>
          <w:tl2br w:val="nil" w:sz="0" w:space="0" w:shadow="0" w:frame="0" w:color="000000"/>
          <w:tr2bl w:val="nil" w:sz="0" w:space="0" w:shadow="0" w:frame="0" w:color="000000"/>
        </w:tcBorders>
      </w:tcPr>
    </w:tblStylePr>
    <w:tblStylePr w:type="nwCell">
      <w:tblPr/>
      <w:trPr/>
      <w:tcPr>
        <w:tcBorders>
          <w:bottom w:val="nil" w:sz="0" w:space="0" w:shadow="0" w:frame="0" w:color="000000"/>
          <w:right w:val="nil" w:sz="0" w:space="0" w:shadow="0" w:frame="0" w:color="000000"/>
          <w:tl2br w:val="nil" w:sz="0" w:space="0" w:shadow="0" w:frame="0" w:color="000000"/>
          <w:tr2bl w:val="nil" w:sz="0" w:space="0" w:shadow="0" w:frame="0" w:color="000000"/>
        </w:tcBorders>
      </w:tcPr>
    </w:tblStylePr>
    <w:tblStylePr w:type="neCell">
      <w:tblPr/>
      <w:trPr/>
      <w:tcPr>
        <w:tcBorders>
          <w:left w:val="nil" w:sz="0" w:space="0" w:shadow="0" w:frame="0" w:color="000000"/>
          <w:bottom w:val="nil" w:sz="0" w:space="0" w:shadow="0" w:frame="0" w:color="000000"/>
          <w:tl2br w:val="nil" w:sz="0" w:space="0" w:shadow="0" w:frame="0" w:color="000000"/>
          <w:tr2bl w:val="nil" w:sz="0" w:space="0" w:shadow="0" w:frame="0" w:color="000000"/>
        </w:tcBorders>
      </w:tcPr>
    </w:tblStylePr>
    <w:tblStylePr w:type="lastCol">
      <w:tblPr/>
      <w:trPr/>
      <w:tcPr>
        <w:tcBorders>
          <w:left w:val="single" w:sz="6" w:space="0" w:shadow="0" w:frame="0" w:color="FFFFFF"/>
          <w:tl2br w:val="nil" w:sz="0" w:space="0" w:shadow="0" w:frame="0" w:color="000000"/>
          <w:tr2bl w:val="nil" w:sz="0" w:space="0" w:shadow="0" w:frame="0" w:color="000000"/>
        </w:tcBorders>
      </w:tcPr>
    </w:tblStylePr>
    <w:tblStylePr w:type="firstCol">
      <w:rPr>
        <w:b w:val="1"/>
      </w:rPr>
      <w:tblPr/>
      <w:trPr/>
      <w:tcPr>
        <w:tcBorders>
          <w:right w:val="single" w:sz="6" w:space="0" w:shadow="0" w:frame="0" w:color="808080"/>
          <w:tl2br w:val="nil" w:sz="0" w:space="0" w:shadow="0" w:frame="0" w:color="000000"/>
          <w:tr2bl w:val="nil" w:sz="0" w:space="0" w:shadow="0" w:frame="0" w:color="000000"/>
        </w:tcBorders>
      </w:tcPr>
    </w:tblStylePr>
    <w:tblStylePr w:type="lastRow">
      <w:tblPr/>
      <w:trPr/>
      <w:tcPr>
        <w:tcBorders>
          <w:top w:val="single" w:sz="6" w:space="0" w:shadow="0" w:frame="0" w:color="FFFFFF"/>
          <w:tl2br w:val="nil" w:sz="0" w:space="0" w:shadow="0" w:frame="0" w:color="000000"/>
          <w:tr2bl w:val="nil" w:sz="0" w:space="0" w:shadow="0" w:frame="0" w:color="000000"/>
        </w:tcBorders>
      </w:tcPr>
    </w:tblStylePr>
    <w:tblStylePr w:type="firstRow">
      <w:rPr>
        <w:b w:val="1"/>
        <w:color w:val="800080"/>
      </w:rPr>
      <w:tblPr/>
      <w:trPr/>
      <w:tcPr>
        <w:tcBorders>
          <w:bottom w:val="single" w:sz="6" w:space="0" w:shadow="0" w:frame="0" w:color="808080"/>
          <w:tl2br w:val="nil" w:sz="0" w:space="0" w:shadow="0" w:frame="0" w:color="000000"/>
          <w:tr2bl w:val="nil" w:sz="0" w:space="0" w:shadow="0" w:frame="0" w:color="000000"/>
        </w:tcBorders>
      </w:tcPr>
    </w:tblStylePr>
  </w:style>
  <w:style w:type="table" w:styleId="T3">
    <w:name w:val="Table 3D effects 2"/>
    <w:basedOn w:val="T0"/>
    <w:tblPr>
      <w:tblStyleRowBandSize w:val="1"/>
    </w:tblPr>
    <w:trPr/>
    <w:tcPr>
      <w:shd w:val="solid" w:color="C0C0C0" w:fill="FFFFFF"/>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4">
    <w:name w:val="Table 3D effects 3"/>
    <w:basedOn w:val="T0"/>
    <w:tblPr>
      <w:tblStyleRowBandSize w:val="1"/>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band2Vert">
      <w:rPr>
        <w:color w:val="auto"/>
      </w:rPr>
      <w:tblPr/>
      <w:trPr/>
      <w:tcPr>
        <w:shd w:val="pct50" w:color="C0C0C0" w:fill="FFFFFF"/>
      </w:tcPr>
    </w:tblStylePr>
    <w:tblStylePr w:type="band1Vert">
      <w:rPr>
        <w:color w:val="auto"/>
      </w:rPr>
      <w:tblPr/>
      <w:trPr/>
      <w:tcPr>
        <w:shd w:val="solid" w:color="C0C0C0" w:fill="FFFFFF"/>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5">
    <w:name w:val="Table Classic 1"/>
    <w:basedOn w:val="T0"/>
    <w:tblPr>
      <w:tblBorders>
        <w:top w:val="single" w:sz="12" w:space="0" w:shadow="0" w:frame="0" w:color="000000"/>
        <w:bottom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i w:val="0"/>
      </w:rPr>
      <w:tblPr/>
      <w:trPr/>
      <w:tcPr>
        <w:tcBorders>
          <w:tl2br w:val="nil" w:sz="0" w:space="0" w:shadow="0" w:frame="0" w:color="000000"/>
          <w:tr2bl w:val="nil" w:sz="0" w:space="0" w:shadow="0" w:frame="0" w:color="000000"/>
        </w:tcBorders>
      </w:tcPr>
    </w:tblStylePr>
    <w:tblStylePr w:type="firstCol">
      <w:tblPr/>
      <w:trPr/>
      <w:tcPr>
        <w:tcBorders>
          <w:right w:val="single" w:sz="6" w:space="0" w:shadow="0" w:frame="0" w:color="000000"/>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i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6">
    <w:name w:val="Table Classic 2"/>
    <w:basedOn w:val="T0"/>
    <w:tblPr>
      <w:tblBorders>
        <w:top w:val="single" w:sz="12" w:space="0" w:shadow="0" w:frame="0" w:color="000000"/>
        <w:bottom w:val="single" w:sz="12"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800080" w:fill="FFFFFF"/>
      </w:tcPr>
    </w:tblStylePr>
    <w:tblStylePr w:type="ne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color w:val="FFFFFF"/>
      </w:rPr>
      <w:tblPr/>
      <w:trPr/>
      <w:tcPr>
        <w:tcBorders>
          <w:bottom w:val="single" w:sz="6" w:space="0" w:shadow="0" w:frame="0" w:color="000000"/>
          <w:tl2br w:val="nil" w:sz="0" w:space="0" w:shadow="0" w:frame="0" w:color="000000"/>
          <w:tr2bl w:val="nil" w:sz="0" w:space="0" w:shadow="0" w:frame="0" w:color="000000"/>
        </w:tcBorders>
        <w:shd w:val="solid" w:color="800080" w:fill="FFFFFF"/>
      </w:tcPr>
    </w:tblStylePr>
  </w:style>
  <w:style w:type="table" w:styleId="T7">
    <w:name w:val="Table Classic 3"/>
    <w:basedOn w:val="T0"/>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shd w:val="solid" w:color="C0C0C0" w:fill="FFFFFF"/>
    </w:tcPr>
    <w:tblStylePr w:type="firstCol">
      <w:rPr>
        <w:b w:val="1"/>
        <w:color w:val="000000"/>
      </w:rPr>
      <w:tblPr/>
      <w:trPr/>
      <w:tcPr>
        <w:tcBorders>
          <w:tl2br w:val="nil" w:sz="0" w:space="0" w:shadow="0" w:frame="0" w:color="000000"/>
          <w:tr2bl w:val="nil" w:sz="0" w:space="0" w:shadow="0" w:frame="0" w:color="000000"/>
        </w:tcBorders>
      </w:tcPr>
    </w:tblStylePr>
    <w:tblStylePr w:type="lastRow">
      <w:rPr>
        <w:color w:val="000080"/>
      </w:rPr>
      <w:tblPr/>
      <w:trPr/>
      <w:tcPr>
        <w:tcBorders>
          <w:top w:val="single" w:sz="12" w:space="0" w:shadow="0" w:frame="0" w:color="000000"/>
          <w:tl2br w:val="nil" w:sz="0" w:space="0" w:shadow="0" w:frame="0" w:color="000000"/>
          <w:tr2bl w:val="nil" w:sz="0" w:space="0" w:shadow="0" w:frame="0" w:color="000000"/>
        </w:tcBorders>
        <w:shd w:val="solid" w:color="FFFFFF"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solid" w:color="000080" w:fill="FFFFFF"/>
      </w:tcPr>
    </w:tblStylePr>
  </w:style>
  <w:style w:type="table" w:styleId="T8">
    <w:name w:val="Table Classic 4"/>
    <w:basedOn w:val="T0"/>
    <w:tblPr>
      <w:tblBorders>
        <w:top w:val="single" w:sz="12" w:space="0" w:shadow="0" w:frame="0" w:color="000000"/>
        <w:left w:val="single" w:sz="6" w:space="0" w:shadow="0" w:frame="0" w:color="000000"/>
        <w:bottom w:val="single" w:sz="12" w:space="0" w:shadow="0" w:frame="0" w:color="000000"/>
        <w:right w:val="single" w:sz="6"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000080"/>
      </w:rPr>
      <w:tblPr/>
      <w:trPr/>
      <w:tcPr>
        <w:tcBorders>
          <w:bottom w:val="single" w:sz="6" w:space="0" w:shadow="0" w:frame="0" w:color="000000"/>
          <w:tl2br w:val="nil" w:sz="0" w:space="0" w:shadow="0" w:frame="0" w:color="000000"/>
          <w:tr2bl w:val="nil" w:sz="0" w:space="0" w:shadow="0" w:frame="0" w:color="000000"/>
        </w:tcBorders>
        <w:shd w:val="pct50" w:color="000000"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pct50" w:color="000080" w:fill="FFFFFF"/>
      </w:tcPr>
    </w:tblStylePr>
  </w:style>
  <w:style w:type="table" w:styleId="T9">
    <w:name w:val="Table Colorful 1"/>
    <w:basedOn w:val="T0"/>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tblBorders>
    </w:tblPr>
    <w:trPr/>
    <w:tcPr>
      <w:shd w:val="solid" w:color="008080" w:fill="FFFFFF"/>
    </w:tcPr>
    <w:tblStylePr w:type="swCell">
      <w:rPr>
        <w:b w:val="1"/>
        <w:i w:val="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000000" w:fill="FFFFFF"/>
      </w:tcPr>
    </w:tblStylePr>
    <w:tblStylePr w:type="firstCol">
      <w:rPr>
        <w:b w:val="1"/>
        <w:i w:val="1"/>
      </w:rPr>
      <w:tblPr/>
      <w:trPr/>
      <w:tcPr>
        <w:tcBorders>
          <w:tl2br w:val="nil" w:sz="0" w:space="0" w:shadow="0" w:frame="0" w:color="000000"/>
          <w:tr2bl w:val="nil" w:sz="0" w:space="0" w:shadow="0" w:frame="0" w:color="000000"/>
        </w:tcBorders>
        <w:shd w:val="solid" w:color="000080" w:fill="FFFFFF"/>
      </w:tcPr>
    </w:tblStylePr>
    <w:tblStylePr w:type="firstRow">
      <w:rPr>
        <w:b w:val="1"/>
        <w:i w:val="1"/>
      </w:rPr>
      <w:tblPr/>
      <w:trPr/>
      <w:tcPr>
        <w:tcBorders>
          <w:tl2br w:val="nil" w:sz="0" w:space="0" w:shadow="0" w:frame="0" w:color="000000"/>
          <w:tr2bl w:val="nil" w:sz="0" w:space="0" w:shadow="0" w:frame="0" w:color="000000"/>
        </w:tcBorders>
        <w:shd w:val="solid" w:color="000000" w:fill="FFFFFF"/>
      </w:tcPr>
    </w:tblStylePr>
  </w:style>
  <w:style w:type="table" w:styleId="T10">
    <w:name w:val="Table Colorful 2"/>
    <w:basedOn w:val="T0"/>
    <w:tblPr>
      <w:tblBorders>
        <w:bottom w:val="single" w:sz="12" w:space="0" w:shadow="0" w:frame="0" w:color="000000"/>
      </w:tblBorders>
    </w:tblPr>
    <w:trPr/>
    <w:tcPr>
      <w:shd w:val="pct20" w:color="FFFF00" w:fill="FFFFFF"/>
    </w:tcPr>
    <w:tblStylePr w:type="swCell">
      <w:rPr>
        <w:b w:val="1"/>
        <w:i w:val="0"/>
      </w:rPr>
      <w:tblPr/>
      <w:trPr/>
      <w:tcPr>
        <w:tcBorders>
          <w:tl2br w:val="nil" w:sz="0" w:space="0" w:shadow="0" w:frame="0" w:color="000000"/>
          <w:tr2bl w:val="nil" w:sz="0" w:space="0" w:shadow="0" w:frame="0" w:color="000000"/>
        </w:tcBorders>
      </w:tcPr>
    </w:tblStylePr>
    <w:tblStylePr w:type="lastCol">
      <w:tblPr/>
      <w:trPr/>
      <w:tcPr>
        <w:tcBorders>
          <w:tl2br w:val="nil" w:sz="0" w:space="0" w:shadow="0" w:frame="0" w:color="000000"/>
          <w:tr2bl w:val="nil" w:sz="0" w:space="0" w:shadow="0" w:frame="0" w:color="000000"/>
        </w:tcBorders>
        <w:shd w:val="solid" w:color="C0C0C0" w:fill="FFFFFF"/>
      </w:tcPr>
    </w:tblStylePr>
    <w:tblStylePr w:type="firstCol">
      <w:rPr>
        <w:b w:val="1"/>
        <w:i w:val="1"/>
      </w:rPr>
      <w:tblPr/>
      <w:trPr/>
      <w:tcPr>
        <w:tcBorders>
          <w:tl2br w:val="nil" w:sz="0" w:space="0" w:shadow="0" w:frame="0" w:color="000000"/>
          <w:tr2bl w:val="nil" w:sz="0" w:space="0" w:shadow="0" w:frame="0" w:color="000000"/>
        </w:tcBorders>
      </w:tcPr>
    </w:tblStylePr>
    <w:tblStylePr w:type="firstRow">
      <w:rPr>
        <w:b w:val="1"/>
        <w:i w:val="1"/>
        <w:color w:val="FFFFFF"/>
      </w:rPr>
      <w:tblPr/>
      <w:trPr/>
      <w:tcPr>
        <w:tcBorders>
          <w:bottom w:val="single" w:sz="12" w:space="0" w:shadow="0" w:frame="0" w:color="000000"/>
          <w:tl2br w:val="nil" w:sz="0" w:space="0" w:shadow="0" w:frame="0" w:color="000000"/>
          <w:tr2bl w:val="nil" w:sz="0" w:space="0" w:shadow="0" w:frame="0" w:color="000000"/>
        </w:tcBorders>
        <w:shd w:val="solid" w:color="800000" w:fill="FFFFFF"/>
      </w:tcPr>
    </w:tblStylePr>
  </w:style>
  <w:style w:type="table" w:styleId="T11">
    <w:name w:val="Table Colorful 3"/>
    <w:basedOn w:val="T0"/>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tblBorders>
    </w:tblPr>
    <w:trPr/>
    <w:tcPr>
      <w:shd w:val="pct25" w:color="008080" w:fill="FFFFFF"/>
    </w:tcPr>
    <w:tblStylePr w:type="nwCell">
      <w:rPr>
        <w:b w:val="1"/>
        <w:color w:val="FFFFFF"/>
      </w:rPr>
      <w:tblPr/>
      <w:trPr/>
      <w:tcPr>
        <w:tcBorders>
          <w:tl2br w:val="nil" w:sz="0" w:space="0" w:shadow="0" w:frame="0" w:color="000000"/>
          <w:tr2bl w:val="nil" w:sz="0" w:space="0" w:shadow="0" w:frame="0" w:color="000000"/>
        </w:tcBorders>
        <w:shd w:val="solid" w:color="000000" w:fill="FFFFFF"/>
      </w:tcPr>
    </w:tblStylePr>
    <w:tblStylePr w:type="firstCol">
      <w:tblPr/>
      <w:trPr/>
      <w:tcPr>
        <w:tcBorders>
          <w:left w:val="single" w:sz="36" w:space="0" w:shadow="0" w:frame="0" w:color="000000"/>
          <w:right w:val="single" w:sz="6" w:space="0" w:shadow="0" w:frame="0" w:color="000000"/>
          <w:tl2br w:val="nil" w:sz="0" w:space="0" w:shadow="0" w:frame="0" w:color="000000"/>
          <w:tr2bl w:val="nil" w:sz="0" w:space="0" w:shadow="0" w:frame="0" w:color="000000"/>
        </w:tcBorders>
        <w:shd w:val="solid" w:color="008080" w:fill="FFFFFF"/>
      </w:tcPr>
    </w:tblStylePr>
    <w:tblStylePr w:type="firstRow">
      <w:tblPr/>
      <w:trPr/>
      <w:tcPr>
        <w:tcBorders>
          <w:bottom w:val="single" w:sz="6" w:space="0" w:shadow="0" w:frame="0" w:color="000000"/>
          <w:tl2br w:val="nil" w:sz="0" w:space="0" w:shadow="0" w:frame="0" w:color="000000"/>
          <w:tr2bl w:val="nil" w:sz="0" w:space="0" w:shadow="0" w:frame="0" w:color="000000"/>
        </w:tcBorders>
        <w:shd w:val="solid" w:color="008080" w:fill="FFFFFF"/>
      </w:tcPr>
    </w:tblStylePr>
  </w:style>
  <w:style w:type="table" w:styleId="T12">
    <w:name w:val="Table Columns 1"/>
    <w:basedOn w:val="T0"/>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FFFF00" w:fill="FFFFFF"/>
      </w:tcPr>
    </w:tblStylePr>
    <w:tblStylePr w:type="band1Vert">
      <w:rPr>
        <w:color w:val="auto"/>
      </w:rPr>
      <w:tblPr/>
      <w:trPr/>
      <w:tcPr>
        <w:shd w:val="pct25"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b w:val="0"/>
      </w:rPr>
      <w:tblPr/>
      <w:trPr/>
      <w:tcPr>
        <w:tcBorders>
          <w:bottom w:val="double" w:sz="6" w:space="0" w:shadow="0" w:frame="0" w:color="000000"/>
          <w:tl2br w:val="nil" w:sz="0" w:space="0" w:shadow="0" w:frame="0" w:color="000000"/>
          <w:tr2bl w:val="nil" w:sz="0" w:space="0" w:shadow="0" w:frame="0" w:color="000000"/>
        </w:tcBorders>
      </w:tcPr>
    </w:tblStylePr>
  </w:style>
  <w:style w:type="table" w:styleId="T13">
    <w:name w:val="Table Columns 2"/>
    <w:basedOn w:val="T0"/>
    <w:rPr>
      <w:b w:val="1"/>
    </w:rPr>
    <w:tblPr>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00FF00" w:fill="FFFFFF"/>
      </w:tcPr>
    </w:tblStylePr>
    <w:tblStylePr w:type="band1Vert">
      <w:rPr>
        <w:color w:val="auto"/>
      </w:rPr>
      <w:tblPr/>
      <w:trPr/>
      <w:tcPr>
        <w:shd w:val="pct30"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color w:val="00000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4">
    <w:name w:val="Table Columns 3"/>
    <w:basedOn w:val="T0"/>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V w:val="single" w:sz="6" w:space="0" w:shadow="0" w:frame="0" w:color="000080"/>
      </w:tblBorders>
    </w:tblPr>
    <w:trPr/>
    <w:tc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10" w:color="000000" w:fill="FFFFFF"/>
      </w:tcPr>
    </w:tblStylePr>
    <w:tblStylePr w:type="band1Vert">
      <w:rPr>
        <w:color w:val="auto"/>
      </w:rPr>
      <w:tblPr/>
      <w:trPr/>
      <w:tcPr>
        <w:shd w:val="solid" w:color="C0C0C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80"/>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5">
    <w:name w:val="Table Columns 4"/>
    <w:basedOn w:val="T0"/>
    <w:tblPr>
      <w:tblStyleColBandSize w:val="1"/>
    </w:tblPr>
    <w:trPr/>
    <w:tcPr/>
    <w:tblStylePr w:type="band2Vert">
      <w:rPr>
        <w:color w:val="auto"/>
      </w:rPr>
      <w:tblPr/>
      <w:trPr/>
      <w:tcPr>
        <w:shd w:val="pct10" w:color="000000" w:fill="FFFFFF"/>
      </w:tcPr>
    </w:tblStylePr>
    <w:tblStylePr w:type="band1Vert">
      <w:rPr>
        <w:color w:val="auto"/>
      </w:rPr>
      <w:tblPr/>
      <w:trPr/>
      <w:tcPr>
        <w:shd w:val="pct50" w:color="008080" w:fill="FFFFFF"/>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00" w:fill="FFFFFF"/>
      </w:tcPr>
    </w:tblStylePr>
  </w:style>
  <w:style w:type="table" w:styleId="T16">
    <w:name w:val="Table Columns 5"/>
    <w:basedOn w:val="T0"/>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V w:val="single" w:sz="6" w:space="0" w:shadow="0" w:frame="0" w:color="C0C0C0"/>
      </w:tblBorders>
    </w:tblPr>
    <w:trPr/>
    <w:tcPr/>
    <w:tblStylePr w:type="band2Vert">
      <w:rPr>
        <w:color w:val="auto"/>
      </w:rPr>
      <w:tblPr/>
      <w:trPr/>
      <w:tcPr/>
    </w:tblStylePr>
    <w:tblStylePr w:type="band1Vert">
      <w:rPr>
        <w:color w:val="auto"/>
      </w:rPr>
      <w:tblPr/>
      <w:trPr/>
      <w:tcPr>
        <w:shd w:val="solid" w:color="C0C0C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80808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808080"/>
          <w:tl2br w:val="nil" w:sz="0" w:space="0" w:shadow="0" w:frame="0" w:color="000000"/>
          <w:tr2bl w:val="nil" w:sz="0" w:space="0" w:shadow="0" w:frame="0" w:color="000000"/>
        </w:tcBorders>
      </w:tcPr>
    </w:tblStylePr>
  </w:style>
  <w:style w:type="table" w:styleId="T17">
    <w:name w:val="Table Contemporary"/>
    <w:basedOn w:val="T0"/>
    <w:tblPr>
      <w:tblStyleRowBandSize w:val="1"/>
      <w:tblBorders>
        <w:insideH w:val="single" w:sz="18" w:space="0" w:shadow="0" w:frame="0" w:color="FFFFFF"/>
        <w:insideV w:val="single" w:sz="18" w:space="0" w:shadow="0" w:frame="0" w:color="FFFFFF"/>
      </w:tblBorders>
    </w:tblPr>
    <w:trPr/>
    <w:tcPr/>
    <w:tblStylePr w:type="band2Horz">
      <w:rPr>
        <w:color w:val="auto"/>
      </w:rPr>
      <w:tblPr/>
      <w:trPr/>
      <w:tcPr>
        <w:tcBorders>
          <w:tl2br w:val="nil" w:sz="0" w:space="0" w:shadow="0" w:frame="0" w:color="000000"/>
          <w:tr2bl w:val="nil" w:sz="0" w:space="0" w:shadow="0" w:frame="0" w:color="000000"/>
        </w:tcBorders>
        <w:shd w:val="pct20" w:color="000000" w:fill="FFFFFF"/>
      </w:tcPr>
    </w:tblStylePr>
    <w:tblStylePr w:type="band1Horz">
      <w:rPr>
        <w:color w:val="auto"/>
      </w:rPr>
      <w:tblPr/>
      <w:trPr/>
      <w:tcPr>
        <w:tcBorders>
          <w:tl2br w:val="nil" w:sz="0" w:space="0" w:shadow="0" w:frame="0" w:color="000000"/>
          <w:tr2bl w:val="nil" w:sz="0" w:space="0" w:shadow="0" w:frame="0" w:color="000000"/>
        </w:tcBorders>
        <w:shd w:val="pct5" w:color="000000" w:fill="FFFFFF"/>
      </w:tcPr>
    </w:tblStylePr>
    <w:tblStylePr w:type="firstRow">
      <w:rPr>
        <w:b w:val="1"/>
        <w:color w:val="auto"/>
      </w:rPr>
      <w:tblPr/>
      <w:trPr/>
      <w:tcPr>
        <w:tcBorders>
          <w:tl2br w:val="nil" w:sz="0" w:space="0" w:shadow="0" w:frame="0" w:color="000000"/>
          <w:tr2bl w:val="nil" w:sz="0" w:space="0" w:shadow="0" w:frame="0" w:color="000000"/>
        </w:tcBorders>
        <w:shd w:val="pct20" w:color="000000" w:fill="FFFFFF"/>
      </w:tcPr>
    </w:tblStylePr>
  </w:style>
  <w:style w:type="table" w:styleId="T18">
    <w:name w:val="Table Elegant"/>
    <w:basedOn w:val="T0"/>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tblStylePr w:type="firstRow">
      <w:rPr>
        <w:caps w:val="1"/>
        <w:color w:val="auto"/>
      </w:rPr>
      <w:tblPr/>
      <w:trPr/>
      <w:tcPr>
        <w:tcBorders>
          <w:tl2br w:val="nil" w:sz="0" w:space="0" w:shadow="0" w:frame="0" w:color="000000"/>
          <w:tr2bl w:val="nil" w:sz="0" w:space="0" w:shadow="0" w:frame="0" w:color="000000"/>
        </w:tcBorders>
      </w:tcPr>
    </w:tblStylePr>
  </w:style>
  <w:style w:type="table" w:styleId="T19">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20">
    <w:name w:val="Table Grid 1"/>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lastCol">
      <w:rPr>
        <w:i w:val="1"/>
      </w:rPr>
      <w:tblPr/>
      <w:trPr/>
      <w:tcPr>
        <w:tcBorders>
          <w:tl2br w:val="nil" w:sz="0" w:space="0" w:shadow="0" w:frame="0" w:color="000000"/>
          <w:tr2bl w:val="nil" w:sz="0" w:space="0" w:shadow="0" w:frame="0" w:color="000000"/>
        </w:tcBorders>
      </w:tcPr>
    </w:tblStylePr>
    <w:tblStylePr w:type="lastRow">
      <w:rPr>
        <w:i w:val="1"/>
      </w:rPr>
      <w:tblPr/>
      <w:trPr/>
      <w:tcPr>
        <w:tcBorders>
          <w:tl2br w:val="nil" w:sz="0" w:space="0" w:shadow="0" w:frame="0" w:color="000000"/>
          <w:tr2bl w:val="nil" w:sz="0" w:space="0" w:shadow="0" w:frame="0" w:color="000000"/>
        </w:tcBorders>
      </w:tcPr>
    </w:tblStylePr>
  </w:style>
  <w:style w:type="table" w:styleId="T21">
    <w:name w:val="Table Grid 2"/>
    <w:basedOn w:val="T0"/>
    <w:tblPr>
      <w:tblBorders>
        <w:insideH w:val="single" w:sz="6"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22">
    <w:name w:val="Table Grid 3"/>
    <w:basedOn w:val="T0"/>
    <w:tblPr>
      <w:tblBorders>
        <w:top w:val="single" w:sz="6" w:space="0" w:shadow="0" w:frame="0" w:color="000000"/>
        <w:left w:val="single" w:sz="12" w:space="0" w:shadow="0" w:frame="0" w:color="000000"/>
        <w:bottom w:val="single" w:sz="6" w:space="0" w:shadow="0" w:frame="0" w:color="000000"/>
        <w:right w:val="single" w:sz="12"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23">
    <w:name w:val="Table Grid 4"/>
    <w:basedOn w:val="T0"/>
    <w:tblPr>
      <w:tblBorders>
        <w:left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shd w:val="pct30" w:color="FFFF00" w:fill="FFFFFF"/>
      </w:tcPr>
    </w:tblStylePr>
    <w:tblStylePr w:type="firstRow">
      <w:rPr>
        <w:color w:val="auto"/>
      </w:rPr>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24">
    <w:name w:val="Table Grid 5"/>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25">
    <w:name w:val="Table Grid 6"/>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26">
    <w:name w:val="Table Grid 7"/>
    <w:basedOn w:val="T0"/>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00"/>
          <w:tl2br w:val="nil" w:sz="0" w:space="0" w:shadow="0" w:frame="0" w:color="000000"/>
          <w:tr2bl w:val="nil" w:sz="0" w:space="0" w:shadow="0" w:frame="0" w:color="000000"/>
        </w:tcBorders>
      </w:tcPr>
    </w:tblStylePr>
    <w:tblStylePr w:type="firstRow">
      <w:rPr>
        <w:b w:val="0"/>
      </w:rPr>
      <w:tblPr/>
      <w:trPr/>
      <w:tcPr>
        <w:tcBorders>
          <w:bottom w:val="single" w:sz="12" w:space="0" w:shadow="0" w:frame="0" w:color="000000"/>
          <w:tl2br w:val="nil" w:sz="0" w:space="0" w:shadow="0" w:frame="0" w:color="000000"/>
          <w:tr2bl w:val="nil" w:sz="0" w:space="0" w:shadow="0" w:frame="0" w:color="000000"/>
        </w:tcBorders>
      </w:tcPr>
    </w:tblStylePr>
  </w:style>
  <w:style w:type="table" w:styleId="T27">
    <w:name w:val="Table Grid 8"/>
    <w:basedOn w:val="T0"/>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l2br w:val="nil" w:sz="0" w:space="0" w:shadow="0" w:frame="0" w:color="000000"/>
          <w:tr2bl w:val="nil" w:sz="0" w:space="0" w:shadow="0" w:frame="0" w:color="000000"/>
        </w:tcBorders>
      </w:tcPr>
    </w:tblStylePr>
    <w:tblStylePr w:type="firstRow">
      <w:rPr>
        <w:b w:val="1"/>
        <w:color w:val="FFFFFF"/>
      </w:rPr>
      <w:tblPr/>
      <w:trPr/>
      <w:tcPr>
        <w:tcBorders>
          <w:tl2br w:val="nil" w:sz="0" w:space="0" w:shadow="0" w:frame="0" w:color="000000"/>
          <w:tr2bl w:val="nil" w:sz="0" w:space="0" w:shadow="0" w:frame="0" w:color="000000"/>
        </w:tcBorders>
        <w:shd w:val="solid" w:color="000080" w:fill="FFFFFF"/>
      </w:tcPr>
    </w:tblStylePr>
  </w:style>
  <w:style w:type="table" w:styleId="T28">
    <w:name w:val="Table List 1"/>
    <w:basedOn w:val="T0"/>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color w:val="800000"/>
      </w:rPr>
      <w:tblPr/>
      <w:trPr/>
      <w:tcPr>
        <w:tcBorders>
          <w:bottom w:val="single" w:sz="6" w:space="0" w:shadow="0" w:frame="0" w:color="000000"/>
          <w:tl2br w:val="nil" w:sz="0" w:space="0" w:shadow="0" w:frame="0" w:color="000000"/>
          <w:tr2bl w:val="nil" w:sz="0" w:space="0" w:shadow="0" w:frame="0" w:color="000000"/>
        </w:tcBorders>
        <w:shd w:val="solid" w:color="C0C0C0" w:fill="FFFFFF"/>
      </w:tcPr>
    </w:tblStylePr>
  </w:style>
  <w:style w:type="table" w:styleId="T29">
    <w:name w:val="Table List 2"/>
    <w:basedOn w:val="T0"/>
    <w:tblPr>
      <w:tblStyleRowBandSize w:val="2"/>
      <w:tblBorders>
        <w:bottom w:val="single" w:sz="12" w:space="0" w:shadow="0" w:frame="0" w:color="8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pct20" w:color="00FF0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color w:val="FFFFFF"/>
      </w:rPr>
      <w:tblPr/>
      <w:trPr/>
      <w:tcPr>
        <w:tcBorders>
          <w:bottom w:val="single" w:sz="6" w:space="0" w:shadow="0" w:frame="0" w:color="000000"/>
          <w:tl2br w:val="nil" w:sz="0" w:space="0" w:shadow="0" w:frame="0" w:color="000000"/>
          <w:tr2bl w:val="nil" w:sz="0" w:space="0" w:shadow="0" w:frame="0" w:color="000000"/>
        </w:tcBorders>
        <w:shd w:val="pct75" w:color="008080" w:fill="008000"/>
      </w:tcPr>
    </w:tblStylePr>
  </w:style>
  <w:style w:type="table" w:styleId="T30">
    <w:name w:val="Table List 3"/>
    <w:basedOn w:val="T0"/>
    <w:tblPr>
      <w:tblBorders>
        <w:top w:val="single" w:sz="12" w:space="0" w:shadow="0" w:frame="0" w:color="000000"/>
        <w:bottom w:val="single" w:sz="12" w:space="0" w:shadow="0" w:frame="0" w:color="000000"/>
        <w:insideH w:val="single" w:sz="6" w:space="0" w:shadow="0" w:frame="0" w:color="000000"/>
      </w:tblBorders>
    </w:tblPr>
    <w:trPr/>
    <w:tcPr/>
    <w:tblStylePr w:type="swCell">
      <w:rPr>
        <w:i w:val="1"/>
        <w:color w:val="000080"/>
      </w:rPr>
      <w:tblPr/>
      <w:trPr/>
      <w:tcPr>
        <w:tcBorders>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rPr>
        <w:b w:val="1"/>
        <w:color w:val="000080"/>
      </w:rPr>
      <w:tblPr/>
      <w:trPr/>
      <w:tcPr>
        <w:tcBorders>
          <w:bottom w:val="single" w:sz="12" w:space="0" w:shadow="0" w:frame="0" w:color="000000"/>
          <w:tl2br w:val="nil" w:sz="0" w:space="0" w:shadow="0" w:frame="0" w:color="000000"/>
          <w:tr2bl w:val="nil" w:sz="0" w:space="0" w:shadow="0" w:frame="0" w:color="000000"/>
        </w:tcBorders>
      </w:tcPr>
    </w:tblStylePr>
  </w:style>
  <w:style w:type="table" w:styleId="T31">
    <w:name w:val="Table List 4"/>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tblBorders>
    </w:tblPr>
    <w:trPr/>
    <w:tcPr/>
    <w:tblStylePr w:type="firstRow">
      <w:rPr>
        <w:b w:val="1"/>
        <w:color w:val="FFFFFF"/>
      </w:rPr>
      <w:tblPr/>
      <w:trPr/>
      <w:tcPr>
        <w:tcBorders>
          <w:bottom w:val="single" w:sz="12" w:space="0" w:shadow="0" w:frame="0" w:color="000000"/>
          <w:tl2br w:val="nil" w:sz="0" w:space="0" w:shadow="0" w:frame="0" w:color="000000"/>
          <w:tr2bl w:val="nil" w:sz="0" w:space="0" w:shadow="0" w:frame="0" w:color="000000"/>
        </w:tcBorders>
        <w:shd w:val="solid" w:color="808080" w:fill="FFFFFF"/>
      </w:tcPr>
    </w:tblStylePr>
  </w:style>
  <w:style w:type="table" w:styleId="T32">
    <w:name w:val="Table List 5"/>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tblBorders>
    </w:tblPr>
    <w:trPr/>
    <w:tcPr/>
    <w:tblStylePr w:type="firstCol">
      <w:rPr>
        <w:b w:val="1"/>
      </w:rPr>
      <w:tblPr/>
      <w:trPr/>
      <w:tcPr>
        <w:tcBorders>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3">
    <w:name w:val="Table List 6"/>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tblBorders>
    </w:tblPr>
    <w:trPr/>
    <w:tcPr>
      <w:shd w:val="pct50" w:color="000000" w:fill="FFFFFF"/>
    </w:tcPr>
    <w:tblStylePr w:type="band1Horz">
      <w:tblPr/>
      <w:trPr/>
      <w:tcPr>
        <w:tcBorders>
          <w:tl2br w:val="nil" w:sz="0" w:space="0" w:shadow="0" w:frame="0" w:color="000000"/>
          <w:tr2bl w:val="nil" w:sz="0" w:space="0" w:shadow="0" w:frame="0" w:color="000000"/>
        </w:tcBorders>
        <w:shd w:val="pct25" w:color="000000" w:fill="FFFFFF"/>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4">
    <w:name w:val="Table List 7"/>
    <w:basedOn w:val="T0"/>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25" w:color="FFFF00" w:fill="FFFFFF"/>
      </w:tcPr>
    </w:tblStylePr>
    <w:tblStylePr w:type="band1Horz">
      <w:rPr>
        <w:color w:val="auto"/>
      </w:rPr>
      <w:tblPr/>
      <w:trPr/>
      <w:tcPr>
        <w:tcBorders>
          <w:tl2br w:val="nil" w:sz="0" w:space="0" w:shadow="0" w:frame="0" w:color="000000"/>
          <w:tr2bl w:val="nil" w:sz="0" w:space="0" w:shadow="0" w:frame="0" w:color="000000"/>
        </w:tcBorders>
        <w:shd w:val="pct20" w:color="0000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12" w:space="0" w:shadow="0" w:frame="0" w:color="008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8000"/>
          <w:tl2br w:val="nil" w:sz="0" w:space="0" w:shadow="0" w:frame="0" w:color="000000"/>
          <w:tr2bl w:val="nil" w:sz="0" w:space="0" w:shadow="0" w:frame="0" w:color="000000"/>
        </w:tcBorders>
        <w:shd w:val="solid" w:color="C0C0C0" w:fill="FFFFFF"/>
      </w:tcPr>
    </w:tblStylePr>
  </w:style>
  <w:style w:type="table" w:styleId="T35">
    <w:name w:val="Table List 8"/>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V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50" w:color="FF0000" w:fill="FFFFFF"/>
      </w:tcPr>
    </w:tblStylePr>
    <w:tblStylePr w:type="band1Horz">
      <w:rPr>
        <w:color w:val="auto"/>
      </w:rPr>
      <w:tblPr/>
      <w:trPr/>
      <w:tcPr>
        <w:tcBorders>
          <w:tl2br w:val="nil" w:sz="0" w:space="0" w:shadow="0" w:frame="0" w:color="000000"/>
          <w:tr2bl w:val="nil" w:sz="0" w:space="0" w:shadow="0" w:frame="0" w:color="000000"/>
        </w:tcBorders>
        <w:shd w:val="pct25" w:color="FFFF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000000"/>
          <w:tl2br w:val="nil" w:sz="0" w:space="0" w:shadow="0" w:frame="0" w:color="000000"/>
          <w:tr2bl w:val="nil" w:sz="0" w:space="0" w:shadow="0" w:frame="0" w:color="000000"/>
        </w:tcBorders>
        <w:shd w:val="solid" w:color="FFFF00" w:fill="FFFFFF"/>
      </w:tcPr>
    </w:tblStylePr>
  </w:style>
  <w:style w:type="table" w:styleId="T36">
    <w:name w:val="Table Professional"/>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firstRow">
      <w:rPr>
        <w:b w:val="1"/>
        <w:color w:val="auto"/>
      </w:rPr>
      <w:tblPr/>
      <w:trPr/>
      <w:tcPr>
        <w:tcBorders>
          <w:tl2br w:val="nil" w:sz="0" w:space="0" w:shadow="0" w:frame="0" w:color="000000"/>
          <w:tr2bl w:val="nil" w:sz="0" w:space="0" w:shadow="0" w:frame="0" w:color="000000"/>
        </w:tcBorders>
        <w:shd w:val="solid" w:color="000000" w:fill="FFFFFF"/>
      </w:tcPr>
    </w:tblStylePr>
  </w:style>
  <w:style w:type="table" w:styleId="T37">
    <w:name w:val="Table Simple 2"/>
    <w:basedOn w:val="T0"/>
    <w:tblPr/>
    <w:trPr/>
    <w:tcPr/>
    <w:tblStylePr w:type="swCell">
      <w:rPr>
        <w:b w:val="1"/>
      </w:rPr>
      <w:tblPr/>
      <w:trPr/>
      <w:tcPr>
        <w:tcBorders>
          <w:top w:val="nil" w:sz="0" w:space="0" w:shadow="0" w:frame="0" w:color="000000"/>
          <w:tl2br w:val="nil" w:sz="0" w:space="0" w:shadow="0" w:frame="0" w:color="000000"/>
          <w:tr2bl w:val="nil" w:sz="0" w:space="0" w:shadow="0" w:frame="0" w:color="000000"/>
        </w:tcBorders>
      </w:tcPr>
    </w:tblStylePr>
    <w:tblStylePr w:type="neCell">
      <w:rPr>
        <w:b w:val="1"/>
      </w:rPr>
      <w:tblPr/>
      <w:trPr/>
      <w:tcPr>
        <w:tcBorders>
          <w:left w:val="nil" w:sz="0" w:space="0" w:shadow="0" w:frame="0" w:color="000000"/>
          <w:tl2br w:val="nil" w:sz="0" w:space="0" w:shadow="0" w:frame="0" w:color="000000"/>
          <w:tr2bl w:val="nil" w:sz="0" w:space="0" w:shadow="0" w:frame="0" w:color="000000"/>
        </w:tcBorders>
      </w:tcPr>
    </w:tblStylePr>
    <w:tblStylePr w:type="lastCol">
      <w:rPr>
        <w:b w:val="1"/>
      </w:rPr>
      <w:tblPr/>
      <w:trPr/>
      <w:tcPr>
        <w:tcBorders>
          <w:left w:val="single" w:sz="6" w:space="0" w:shadow="0" w:frame="0" w:color="000000"/>
          <w:tl2br w:val="nil" w:sz="0" w:space="0" w:shadow="0" w:frame="0" w:color="000000"/>
          <w:tr2bl w:val="nil" w:sz="0" w:space="0" w:shadow="0" w:frame="0" w:color="000000"/>
        </w:tcBorders>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8">
    <w:name w:val="Table Simple 3"/>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firstRow">
      <w:rPr>
        <w:b w:val="1"/>
        <w:color w:val="FFFFFF"/>
      </w:rPr>
      <w:tblPr/>
      <w:trPr/>
      <w:tcPr>
        <w:tcBorders>
          <w:tl2br w:val="nil" w:sz="0" w:space="0" w:shadow="0" w:frame="0" w:color="000000"/>
          <w:tr2bl w:val="nil" w:sz="0" w:space="0" w:shadow="0" w:frame="0" w:color="000000"/>
        </w:tcBorders>
        <w:shd w:val="solid" w:color="000000" w:fill="FFFFFF"/>
      </w:tcPr>
    </w:tblStylePr>
  </w:style>
  <w:style w:type="table" w:styleId="T39">
    <w:name w:val="Table Subtle 1"/>
    <w:basedOn w:val="T0"/>
    <w:tblPr>
      <w:tblStyleRow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1Horz">
      <w:tblPr/>
      <w:trPr/>
      <w:tcPr>
        <w:tcBorders>
          <w:bottom w:val="single" w:sz="6" w:space="0" w:shadow="0" w:frame="0" w:color="000000"/>
          <w:tl2br w:val="nil" w:sz="0" w:space="0" w:shadow="0" w:frame="0" w:color="000000"/>
          <w:tr2bl w:val="nil" w:sz="0" w:space="0" w:shadow="0" w:frame="0" w:color="000000"/>
        </w:tcBorders>
        <w:shd w:val="pct25" w:color="808000" w:fill="FFFFFF"/>
      </w:tcPr>
    </w:tblStylePr>
    <w:tblStylePr w:type="lastCol">
      <w:tblPr/>
      <w:trPr/>
      <w:tcPr>
        <w:tcBorders>
          <w:left w:val="single" w:sz="12" w:space="0" w:shadow="0" w:frame="0" w:color="000000"/>
          <w:tl2br w:val="nil" w:sz="0" w:space="0" w:shadow="0" w:frame="0" w:color="000000"/>
          <w:tr2bl w:val="nil" w:sz="0" w:space="0" w:shadow="0" w:frame="0" w:color="000000"/>
        </w:tcBorders>
      </w:tcPr>
    </w:tblStylePr>
    <w:tblStylePr w:type="firstCol">
      <w:tblPr/>
      <w:trPr/>
      <w:tcPr>
        <w:tcBorders>
          <w:right w:val="single" w:sz="12" w:space="0" w:shadow="0" w:frame="0" w:color="000000"/>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shd w:val="pct25" w:color="800080" w:fill="FFFFFF"/>
      </w:tcPr>
    </w:tblStylePr>
    <w:tblStylePr w:type="firstRow">
      <w:tblPr/>
      <w:trPr/>
      <w:tcPr>
        <w:tcBorders>
          <w:top w:val="single" w:sz="6" w:space="0" w:shadow="0" w:frame="0" w:color="000000"/>
          <w:bottom w:val="single" w:sz="12" w:space="0" w:shadow="0" w:frame="0" w:color="000000"/>
          <w:tl2br w:val="nil" w:sz="0" w:space="0" w:shadow="0" w:frame="0" w:color="000000"/>
          <w:tr2bl w:val="nil" w:sz="0" w:space="0" w:shadow="0" w:frame="0" w:color="000000"/>
        </w:tcBorders>
      </w:tcPr>
    </w:tblStylePr>
  </w:style>
  <w:style w:type="table" w:styleId="T40">
    <w:name w:val="Table Subtle 2"/>
    <w:basedOn w:val="T0"/>
    <w:tblPr>
      <w:tblBorders>
        <w:left w:val="single" w:sz="6" w:space="0" w:shadow="0" w:frame="0" w:color="000000"/>
        <w:right w:val="single" w:sz="6"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lastCol">
      <w:tblPr/>
      <w:trPr/>
      <w:tcPr>
        <w:tcBorders>
          <w:left w:val="single" w:sz="12" w:space="0" w:shadow="0" w:frame="0" w:color="000000"/>
          <w:tl2br w:val="nil" w:sz="0" w:space="0" w:shadow="0" w:frame="0" w:color="000000"/>
          <w:tr2bl w:val="nil" w:sz="0" w:space="0" w:shadow="0" w:frame="0" w:color="000000"/>
        </w:tcBorders>
        <w:shd w:val="pct25" w:color="808000" w:fill="FFFFFF"/>
      </w:tcPr>
    </w:tblStylePr>
    <w:tblStylePr w:type="firstCol">
      <w:tblPr/>
      <w:trPr/>
      <w:tcPr>
        <w:tcBorders>
          <w:right w:val="single" w:sz="12" w:space="0" w:shadow="0" w:frame="0" w:color="000000"/>
          <w:tl2br w:val="nil" w:sz="0" w:space="0" w:shadow="0" w:frame="0" w:color="000000"/>
          <w:tr2bl w:val="nil" w:sz="0" w:space="0" w:shadow="0" w:frame="0" w:color="000000"/>
        </w:tcBorders>
        <w:shd w:val="pct25" w:color="008000" w:fill="FFFFFF"/>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41">
    <w:name w:val="Table Theme"/>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2">
    <w:name w:val="Table Web 1"/>
    <w:basedOn w:val="T0"/>
    <w:tblPr>
      <w:tblCellSpacing w:w="20" w:type="dxa"/>
      <w:tblBorders>
        <w:top w:val="outset" w:sz="6" w:space="0" w:shadow="0" w:frame="0"/>
        <w:left w:val="outset" w:sz="6" w:space="0" w:shadow="0" w:frame="0"/>
        <w:bottom w:val="outset" w:sz="6" w:space="0" w:shadow="0" w:frame="0"/>
        <w:right w:val="outset" w:sz="6"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43">
    <w:name w:val="Table Web 2"/>
    <w:basedOn w:val="T0"/>
    <w:tblPr>
      <w:tblCellSpacing w:w="20" w:type="dxa"/>
      <w:tblBorders>
        <w:top w:val="inset" w:sz="6" w:space="0" w:shadow="0" w:frame="0"/>
        <w:left w:val="inset" w:sz="6" w:space="0" w:shadow="0" w:frame="0"/>
        <w:bottom w:val="inset" w:sz="6" w:space="0" w:shadow="0" w:frame="0"/>
        <w:right w:val="inset" w:sz="6" w:space="0" w:shadow="0" w:frame="0"/>
        <w:insideH w:val="inset" w:sz="6" w:space="0" w:shadow="0" w:frame="0"/>
        <w:insideV w:val="in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44">
    <w:name w:val="Table Web 3"/>
    <w:basedOn w:val="T0"/>
    <w:tblPr>
      <w:tblCellSpacing w:w="20" w:type="dxa"/>
      <w:tblBorders>
        <w:top w:val="outset" w:sz="24" w:space="0" w:shadow="0" w:frame="0"/>
        <w:left w:val="outset" w:sz="24" w:space="0" w:shadow="0" w:frame="0"/>
        <w:bottom w:val="outset" w:sz="24" w:space="0" w:shadow="0" w:frame="0"/>
        <w:right w:val="outset" w:sz="24"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numbering" w:styleId="N0">
    <w:name w:val="No List"/>
  </w:style>
  <w:style w:type="numbering" w:styleId="N1">
    <w:name w:val="Outline List 2"/>
    <w:pPr>
      <w:numPr>
        <w:numId w:val="11"/>
      </w:numPr>
    </w:pPr>
  </w:style>
  <w:style w:type="numbering" w:styleId="N2">
    <w:name w:val="Outline List 1"/>
    <w:pPr>
      <w:numPr>
        <w:numId w:val="12"/>
      </w:numPr>
    </w:pPr>
  </w:style>
  <w:style w:type="numbering" w:styleId="N3">
    <w:name w:val="Outline List 3"/>
    <w:pPr>
      <w:numPr>
        <w:numId w:val="13"/>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2019-01-09T20:44:00Z</dcterms:created>
  <cp:lastModifiedBy>Sud, Manu (MEDJCT)</cp:lastModifiedBy>
  <cp:lastPrinted>1900-01-01T05:00:00Z</cp:lastPrinted>
  <dcterms:modified xsi:type="dcterms:W3CDTF">2019-01-10T16:39:26Z</dcterms:modified>
  <cp:revision>1</cp:revision>
  <dc:subject>REGISTRATIONS UNDER PART II.2 OF THE ACT - SOLAR FACILITIES</dc:subject>
  <dc:title>Environmental Protection Act - O. Reg. 350/12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20121118</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2019-01-09T20:44:12.0174398Z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