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CD68443" Type="http://schemas.openxmlformats.org/package/2006/relationships/metadata/core-properties" Target="docProps/core.xml"/><Relationship Id="R5CD68443" Type="http://schemas.openxmlformats.org/officeDocument/2006/relationships/officeDocument" Target="word/document.xml"/><Relationship Id="customR5CD6844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33"/>
      </w:pPr>
      <w:r>
        <w:t>Environmental Protection Act</w:t>
        <w:br w:type="textWrapping"/>
        <w:t>Loi sur la protection de l’environnement</w:t>
      </w:r>
    </w:p>
    <w:p>
      <w:pPr>
        <w:pStyle w:val="P18"/>
      </w:pPr>
      <w:r>
        <w:t>ontario regulation 562/94</w:t>
      </w:r>
    </w:p>
    <w:p>
      <w:pPr>
        <w:pStyle w:val="P19"/>
        <w:rPr>
          <w:caps w:val="0"/>
          <w:sz w:val="15"/>
        </w:rPr>
      </w:pPr>
      <w:r>
        <w:rPr>
          <w:caps w:val="0"/>
        </w:rPr>
        <w:t>EFFLUENT MONITORING AND EFFLUENT LIMITS — METAL CASTING SECTOR</w:t>
      </w:r>
    </w:p>
    <w:p>
      <w:pPr>
        <w:pStyle w:val="P679"/>
      </w:pPr>
      <w:r>
        <w:rPr>
          <w:b w:val="1"/>
        </w:rPr>
        <w:t>Consolidation Period:</w:t>
      </w:r>
      <w:r>
        <w:t xml:space="preserve"> From July 28,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"https://www.ontario.ca/laws/regulation/R17307"</w:instrText>
      </w:r>
      <w:r>
        <w:fldChar w:fldCharType="separate"/>
      </w:r>
      <w:r>
        <w:rPr>
          <w:rStyle w:val="C2"/>
        </w:rPr>
        <w:t>307/17</w:t>
      </w:r>
      <w:r>
        <w:rPr>
          <w:rStyle w:val="C2"/>
        </w:rPr>
        <w:fldChar w:fldCharType="end"/>
      </w:r>
      <w:r>
        <w:t>.</w:t>
      </w:r>
    </w:p>
    <w:p>
      <w:pPr>
        <w:pStyle w:val="P557"/>
      </w:pPr>
      <w:r>
        <w:t xml:space="preserve">Legislative History: 526/95, </w:t>
      </w:r>
      <w:r>
        <w:fldChar w:fldCharType="begin"/>
      </w:r>
      <w:r>
        <w:instrText>HYPERLINK "https://www.ontario.ca/laws/regulation/R07236"</w:instrText>
      </w:r>
      <w:r>
        <w:fldChar w:fldCharType="separate"/>
      </w:r>
      <w:r>
        <w:rPr>
          <w:rStyle w:val="C2"/>
        </w:rPr>
        <w:t>236/07</w:t>
      </w:r>
      <w:r>
        <w:rPr>
          <w:rStyle w:val="C2"/>
        </w:rPr>
        <w:fldChar w:fldCharType="end"/>
      </w:r>
      <w:r>
        <w:t xml:space="preserve">, </w:t>
      </w:r>
      <w:r>
        <w:fldChar w:fldCharType="begin"/>
      </w:r>
      <w:r>
        <w:instrText>HYPERLINK "https://www.ontario.ca/laws/regulation/R17307"</w:instrText>
      </w:r>
      <w:r>
        <w:fldChar w:fldCharType="separate"/>
      </w:r>
      <w:r>
        <w:rPr>
          <w:rStyle w:val="C2"/>
        </w:rPr>
        <w:t>307/17</w:t>
      </w:r>
      <w:r>
        <w:rPr>
          <w:rStyle w:val="C2"/>
        </w:rPr>
        <w:fldChar w:fldCharType="end"/>
      </w:r>
      <w:r>
        <w:t>.</w:t>
      </w:r>
    </w:p>
    <w:p>
      <w:pPr>
        <w:pStyle w:val="P24"/>
      </w:pPr>
      <w:r>
        <w:t>This Regulation is made in English only.</w:t>
      </w:r>
    </w:p>
    <w:p>
      <w:pPr>
        <w:pStyle w:val="P234"/>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3"/>
            </w:pPr>
          </w:p>
        </w:tc>
        <w:tc>
          <w:tcPr>
            <w:tcW w:w="6480" w:type="dxa"/>
          </w:tcPr>
          <w:p>
            <w:pPr>
              <w:pStyle w:val="P23"/>
            </w:pPr>
          </w:p>
        </w:tc>
        <w:tc>
          <w:tcPr>
            <w:tcW w:w="1440" w:type="dxa"/>
          </w:tcPr>
          <w:p>
            <w:pPr>
              <w:pStyle w:val="P23"/>
            </w:pPr>
            <w:r>
              <w:t>Sections</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"BK0" \o "PART I"</w:instrText>
            </w:r>
            <w:r>
              <w:fldChar w:fldCharType="separate"/>
            </w:r>
            <w:r>
              <w:rPr>
                <w:rStyle w:val="C27"/>
              </w:rPr>
              <w:t>PART I</w:t>
            </w:r>
            <w:r>
              <w:rPr>
                <w:rStyle w:val="C27"/>
              </w:rPr>
              <w:fldChar w:fldCharType="end"/>
            </w:r>
          </w:p>
        </w:tc>
        <w:tc>
          <w:tcPr>
            <w:tcW w:w="6480" w:type="dxa"/>
          </w:tcPr>
          <w:p>
            <w:pPr>
              <w:pStyle w:val="P559"/>
            </w:pPr>
            <w:r>
              <w:t>GENERAL</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 \o "Interpretation"</w:instrText>
            </w:r>
            <w:r>
              <w:fldChar w:fldCharType="separate"/>
            </w:r>
            <w:r>
              <w:t>Interpretation</w:t>
            </w:r>
            <w:r>
              <w:fldChar w:fldCharType="end"/>
            </w:r>
          </w:p>
        </w:tc>
        <w:tc>
          <w:tcPr>
            <w:tcW w:w="1440" w:type="dxa"/>
          </w:tcPr>
          <w:p>
            <w:pPr>
              <w:pStyle w:val="P23"/>
            </w:pPr>
            <w:r>
              <w:t>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 \o "Purpose"</w:instrText>
            </w:r>
            <w:r>
              <w:fldChar w:fldCharType="separate"/>
            </w:r>
            <w:r>
              <w:t>Purpose</w:t>
            </w:r>
            <w:r>
              <w:fldChar w:fldCharType="end"/>
            </w:r>
          </w:p>
        </w:tc>
        <w:tc>
          <w:tcPr>
            <w:tcW w:w="1440" w:type="dxa"/>
          </w:tcPr>
          <w:p>
            <w:pPr>
              <w:pStyle w:val="P23"/>
            </w:pPr>
            <w:r>
              <w:t>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 \o "Application"</w:instrText>
            </w:r>
            <w:r>
              <w:fldChar w:fldCharType="separate"/>
            </w:r>
            <w:r>
              <w:t>Application</w:t>
            </w:r>
            <w:r>
              <w:fldChar w:fldCharType="end"/>
            </w:r>
          </w:p>
        </w:tc>
        <w:tc>
          <w:tcPr>
            <w:tcW w:w="1440" w:type="dxa"/>
          </w:tcPr>
          <w:p>
            <w:pPr>
              <w:pStyle w:val="P23"/>
            </w:pPr>
            <w:r>
              <w:t>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 \o "Obligations under Approvals, Orders, etc."</w:instrText>
            </w:r>
            <w:r>
              <w:fldChar w:fldCharType="separate"/>
            </w:r>
            <w:r>
              <w:t>Obligations under Approvals, Orders, etc.</w:t>
            </w:r>
            <w:r>
              <w:fldChar w:fldCharType="end"/>
            </w:r>
          </w:p>
        </w:tc>
        <w:tc>
          <w:tcPr>
            <w:tcW w:w="1440" w:type="dxa"/>
          </w:tcPr>
          <w:p>
            <w:pPr>
              <w:pStyle w:val="P23"/>
            </w:pPr>
            <w:r>
              <w:t>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"BK5" \o "Non-application of General Effluent Monitoring Regulation"</w:instrText>
            </w:r>
            <w:r>
              <w:fldChar w:fldCharType="separate"/>
            </w:r>
            <w:r>
              <w:t>Non-application of General Effluent Monitoring Regulation</w:t>
            </w:r>
            <w:r>
              <w:fldChar w:fldCharType="end"/>
            </w:r>
          </w:p>
        </w:tc>
        <w:tc>
          <w:tcPr>
            <w:tcW w:w="1440" w:type="dxa"/>
          </w:tcPr>
          <w:p>
            <w:pPr>
              <w:pStyle w:val="P23"/>
            </w:pPr>
            <w:r>
              <w:t>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"BK6" \o "By-passes"</w:instrText>
            </w:r>
            <w:r>
              <w:fldChar w:fldCharType="separate"/>
            </w:r>
            <w:r>
              <w:t>By-passes</w:t>
            </w:r>
            <w:r>
              <w:fldChar w:fldCharType="end"/>
            </w:r>
          </w:p>
        </w:tc>
        <w:tc>
          <w:tcPr>
            <w:tcW w:w="1440" w:type="dxa"/>
          </w:tcPr>
          <w:p>
            <w:pPr>
              <w:pStyle w:val="P23"/>
            </w:pPr>
            <w:r>
              <w:t>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"BK7" \o "Sampling and Analytical Procedures"</w:instrText>
            </w:r>
            <w:r>
              <w:fldChar w:fldCharType="separate"/>
            </w:r>
            <w:r>
              <w:t>Sampling and Analytical Procedures</w:t>
            </w:r>
            <w:r>
              <w:fldChar w:fldCharType="end"/>
            </w:r>
          </w:p>
        </w:tc>
        <w:tc>
          <w:tcPr>
            <w:tcW w:w="1440" w:type="dxa"/>
          </w:tcPr>
          <w:p>
            <w:pPr>
              <w:pStyle w:val="P23"/>
            </w:pPr>
            <w:r>
              <w:t>7</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"BK8" \o "PART II"</w:instrText>
            </w:r>
            <w:r>
              <w:fldChar w:fldCharType="separate"/>
            </w:r>
            <w:r>
              <w:rPr>
                <w:rStyle w:val="C27"/>
              </w:rPr>
              <w:t>PART II</w:t>
            </w:r>
            <w:r>
              <w:rPr>
                <w:rStyle w:val="C27"/>
              </w:rPr>
              <w:fldChar w:fldCharType="end"/>
            </w:r>
          </w:p>
        </w:tc>
        <w:tc>
          <w:tcPr>
            <w:tcW w:w="6480" w:type="dxa"/>
          </w:tcPr>
          <w:p>
            <w:pPr>
              <w:pStyle w:val="P559"/>
            </w:pPr>
            <w:r>
              <w:t>SAMPLING POINTS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"BK9" \o "Establishment and Elimination of Sampling Points"</w:instrText>
            </w:r>
            <w:r>
              <w:fldChar w:fldCharType="separate"/>
            </w:r>
            <w:r>
              <w:t>Establishment and Elimination of Sampling Points</w:t>
            </w:r>
            <w:r>
              <w:fldChar w:fldCharType="end"/>
            </w:r>
          </w:p>
        </w:tc>
        <w:tc>
          <w:tcPr>
            <w:tcW w:w="1440" w:type="dxa"/>
          </w:tcPr>
          <w:p>
            <w:pPr>
              <w:pStyle w:val="P23"/>
            </w:pPr>
            <w:r>
              <w:t>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"BK10" \o "Reports on Sampling Points"</w:instrText>
            </w:r>
            <w:r>
              <w:fldChar w:fldCharType="separate"/>
            </w:r>
            <w:r>
              <w:t>Reports on Sampling Points</w:t>
            </w:r>
            <w:r>
              <w:fldChar w:fldCharType="end"/>
            </w:r>
          </w:p>
        </w:tc>
        <w:tc>
          <w:tcPr>
            <w:tcW w:w="1440" w:type="dxa"/>
          </w:tcPr>
          <w:p>
            <w:pPr>
              <w:pStyle w:val="P23"/>
            </w:pPr>
            <w:r>
              <w:t>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"BK11" \o "Use of Sampling Points Established under this Part"</w:instrText>
            </w:r>
            <w:r>
              <w:fldChar w:fldCharType="separate"/>
            </w:r>
            <w:r>
              <w:t>Use of Sampling Points Established under this Part</w:t>
            </w:r>
            <w:r>
              <w:fldChar w:fldCharType="end"/>
            </w:r>
          </w:p>
        </w:tc>
        <w:tc>
          <w:tcPr>
            <w:tcW w:w="1440" w:type="dxa"/>
          </w:tcPr>
          <w:p>
            <w:pPr>
              <w:pStyle w:val="P23"/>
            </w:pPr>
            <w:r>
              <w:t>10</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"BK12" \o "PART III"</w:instrText>
            </w:r>
            <w:r>
              <w:fldChar w:fldCharType="separate"/>
            </w:r>
            <w:r>
              <w:rPr>
                <w:rStyle w:val="C27"/>
              </w:rPr>
              <w:t>PART III</w:t>
            </w:r>
            <w:r>
              <w:rPr>
                <w:rStyle w:val="C27"/>
              </w:rPr>
              <w:fldChar w:fldCharType="end"/>
            </w:r>
          </w:p>
        </w:tc>
        <w:tc>
          <w:tcPr>
            <w:tcW w:w="6480" w:type="dxa"/>
          </w:tcPr>
          <w:p>
            <w:pPr>
              <w:pStyle w:val="P559"/>
            </w:pPr>
            <w:r>
              <w:t>CALCULATION OF LOADINGS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"BK13" \o "Calculation of Loadings — General"</w:instrText>
            </w:r>
            <w:r>
              <w:fldChar w:fldCharType="separate"/>
            </w:r>
            <w:r>
              <w:t>Calculation of Loadings — General</w:t>
            </w:r>
            <w:r>
              <w:fldChar w:fldCharType="end"/>
            </w:r>
          </w:p>
        </w:tc>
        <w:tc>
          <w:tcPr>
            <w:tcW w:w="1440" w:type="dxa"/>
          </w:tcPr>
          <w:p>
            <w:pPr>
              <w:pStyle w:val="P23"/>
            </w:pPr>
            <w:r>
              <w:t>11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"BK14" \o "Calculation of Loadings — Process Effluent"</w:instrText>
            </w:r>
            <w:r>
              <w:fldChar w:fldCharType="separate"/>
            </w:r>
            <w:r>
              <w:t>Calculation of Loadings — Process Effluent</w:t>
            </w:r>
            <w:r>
              <w:fldChar w:fldCharType="end"/>
            </w:r>
          </w:p>
        </w:tc>
        <w:tc>
          <w:tcPr>
            <w:tcW w:w="1440" w:type="dxa"/>
          </w:tcPr>
          <w:p>
            <w:pPr>
              <w:pStyle w:val="P23"/>
            </w:pPr>
            <w:r>
              <w:t>12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"BK15" \o "Calculation of Loadings at Alternate Sampling Points Used under Section 23"</w:instrText>
            </w:r>
            <w:r>
              <w:fldChar w:fldCharType="separate"/>
            </w:r>
            <w:r>
              <w:t>Calculation of Loadings at Alternate Sampling Points Used under Section 23</w:t>
            </w:r>
            <w:r>
              <w:fldChar w:fldCharType="end"/>
            </w:r>
          </w:p>
        </w:tc>
        <w:tc>
          <w:tcPr>
            <w:tcW w:w="1440" w:type="dxa"/>
          </w:tcPr>
          <w:p>
            <w:pPr>
              <w:pStyle w:val="P23"/>
            </w:pPr>
            <w:r>
              <w:t>13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"BK16" \o "Calculation of Loadings — Cooling Water"</w:instrText>
            </w:r>
            <w:r>
              <w:fldChar w:fldCharType="separate"/>
            </w:r>
            <w:r>
              <w:t>Calculation of Loadings — Cooling Water</w:t>
            </w:r>
            <w:r>
              <w:fldChar w:fldCharType="end"/>
            </w:r>
          </w:p>
        </w:tc>
        <w:tc>
          <w:tcPr>
            <w:tcW w:w="1440" w:type="dxa"/>
          </w:tcPr>
          <w:p>
            <w:pPr>
              <w:pStyle w:val="P23"/>
            </w:pPr>
            <w:r>
              <w:t>14</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"BK17" \o "PART IV"</w:instrText>
            </w:r>
            <w:r>
              <w:fldChar w:fldCharType="separate"/>
            </w:r>
            <w:r>
              <w:rPr>
                <w:rStyle w:val="C27"/>
              </w:rPr>
              <w:t>PART IV</w:t>
            </w:r>
            <w:r>
              <w:rPr>
                <w:rStyle w:val="C27"/>
              </w:rPr>
              <w:fldChar w:fldCharType="end"/>
            </w:r>
          </w:p>
        </w:tc>
        <w:tc>
          <w:tcPr>
            <w:tcW w:w="6480" w:type="dxa"/>
          </w:tcPr>
          <w:p>
            <w:pPr>
              <w:pStyle w:val="P559"/>
            </w:pPr>
            <w:r>
              <w:t>PARAMETER AND LETHALITY LIMITS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"BK18" \o "Parameter Limits"</w:instrText>
            </w:r>
            <w:r>
              <w:fldChar w:fldCharType="separate"/>
            </w:r>
            <w:r>
              <w:t>Parameter Limits</w:t>
            </w:r>
            <w:r>
              <w:fldChar w:fldCharType="end"/>
            </w:r>
          </w:p>
        </w:tc>
        <w:tc>
          <w:tcPr>
            <w:tcW w:w="1440" w:type="dxa"/>
          </w:tcPr>
          <w:p>
            <w:pPr>
              <w:pStyle w:val="P23"/>
            </w:pPr>
            <w:r>
              <w:t>15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"BK19" \o "Lethality Limits"</w:instrText>
            </w:r>
            <w:r>
              <w:fldChar w:fldCharType="separate"/>
            </w:r>
            <w:r>
              <w:t>Lethality Limits</w:t>
            </w:r>
            <w:r>
              <w:fldChar w:fldCharType="end"/>
            </w:r>
          </w:p>
        </w:tc>
        <w:tc>
          <w:tcPr>
            <w:tcW w:w="1440" w:type="dxa"/>
          </w:tcPr>
          <w:p>
            <w:pPr>
              <w:pStyle w:val="P23"/>
            </w:pPr>
            <w:r>
              <w:t>16</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"BK20" \o "PART V"</w:instrText>
            </w:r>
            <w:r>
              <w:fldChar w:fldCharType="separate"/>
            </w:r>
            <w:r>
              <w:rPr>
                <w:rStyle w:val="C27"/>
              </w:rPr>
              <w:t>PART V</w:t>
            </w:r>
            <w:r>
              <w:rPr>
                <w:rStyle w:val="C27"/>
              </w:rPr>
              <w:fldChar w:fldCharType="end"/>
            </w:r>
          </w:p>
        </w:tc>
        <w:tc>
          <w:tcPr>
            <w:tcW w:w="6480" w:type="dxa"/>
          </w:tcPr>
          <w:p>
            <w:pPr>
              <w:pStyle w:val="P559"/>
            </w:pPr>
            <w:r>
              <w:t>MONITORING</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"BK21" \o "Monitoring — General"</w:instrText>
            </w:r>
            <w:r>
              <w:fldChar w:fldCharType="separate"/>
            </w:r>
            <w:r>
              <w:t>Monitoring — General</w:t>
            </w:r>
            <w:r>
              <w:fldChar w:fldCharType="end"/>
            </w:r>
          </w:p>
        </w:tc>
        <w:tc>
          <w:tcPr>
            <w:tcW w:w="1440" w:type="dxa"/>
          </w:tcPr>
          <w:p>
            <w:pPr>
              <w:pStyle w:val="P23"/>
            </w:pPr>
            <w:r>
              <w:t>17</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"BK22" \o "Monitoring — Process Effluent — Daily"</w:instrText>
            </w:r>
            <w:r>
              <w:fldChar w:fldCharType="separate"/>
            </w:r>
            <w:r>
              <w:t>Monitoring — Process Effluent — Daily</w:t>
            </w:r>
            <w:r>
              <w:fldChar w:fldCharType="end"/>
            </w:r>
          </w:p>
        </w:tc>
        <w:tc>
          <w:tcPr>
            <w:tcW w:w="1440" w:type="dxa"/>
          </w:tcPr>
          <w:p>
            <w:pPr>
              <w:pStyle w:val="P23"/>
            </w:pPr>
            <w:r>
              <w:t>18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"BK23" \o "Monitoring — Process Effluent — Weekly"</w:instrText>
            </w:r>
            <w:r>
              <w:fldChar w:fldCharType="separate"/>
            </w:r>
            <w:r>
              <w:t>Monitoring — Process Effluent — Weekly</w:t>
            </w:r>
            <w:r>
              <w:fldChar w:fldCharType="end"/>
            </w:r>
          </w:p>
        </w:tc>
        <w:tc>
          <w:tcPr>
            <w:tcW w:w="1440" w:type="dxa"/>
          </w:tcPr>
          <w:p>
            <w:pPr>
              <w:pStyle w:val="P23"/>
            </w:pPr>
            <w:r>
              <w:t>19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"BK24" \o "Monitoring — Alternate Sampling Point Used under Section 23 — Weekly"</w:instrText>
            </w:r>
            <w:r>
              <w:fldChar w:fldCharType="separate"/>
            </w:r>
            <w:r>
              <w:t>Monitoring — Alternate Sampling Point Used under Section 23 — Weekly</w:t>
            </w:r>
            <w:r>
              <w:fldChar w:fldCharType="end"/>
            </w:r>
          </w:p>
        </w:tc>
        <w:tc>
          <w:tcPr>
            <w:tcW w:w="1440" w:type="dxa"/>
          </w:tcPr>
          <w:p>
            <w:pPr>
              <w:pStyle w:val="P23"/>
            </w:pPr>
            <w:r>
              <w:t>20</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"BK25" \o "Monitoring — Process Effluent — Quality Control"</w:instrText>
            </w:r>
            <w:r>
              <w:fldChar w:fldCharType="separate"/>
            </w:r>
            <w:r>
              <w:t>Monitoring — Process Effluent — Quality Control</w:t>
            </w:r>
            <w:r>
              <w:fldChar w:fldCharType="end"/>
            </w:r>
          </w:p>
        </w:tc>
        <w:tc>
          <w:tcPr>
            <w:tcW w:w="1440" w:type="dxa"/>
          </w:tcPr>
          <w:p>
            <w:pPr>
              <w:pStyle w:val="P23"/>
            </w:pPr>
            <w:r>
              <w:t>21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"BK26" \o "Monitoring — Process Effluent — pH Measurement"</w:instrText>
            </w:r>
            <w:r>
              <w:fldChar w:fldCharType="separate"/>
            </w:r>
            <w:r>
              <w:t>Monitoring — Process Effluent — pH Measurement</w:t>
            </w:r>
            <w:r>
              <w:fldChar w:fldCharType="end"/>
            </w:r>
          </w:p>
        </w:tc>
        <w:tc>
          <w:tcPr>
            <w:tcW w:w="1440" w:type="dxa"/>
          </w:tcPr>
          <w:p>
            <w:pPr>
              <w:pStyle w:val="P23"/>
            </w:pPr>
            <w:r>
              <w:t>22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"BK27" \o "Monitoring — Acute Lethality Testing — Rainbow Trout"</w:instrText>
            </w:r>
            <w:r>
              <w:fldChar w:fldCharType="separate"/>
            </w:r>
            <w:r>
              <w:t>Monitoring — Acute Lethality Testing — Rainbow Trout</w:t>
            </w:r>
            <w:r>
              <w:fldChar w:fldCharType="end"/>
            </w:r>
          </w:p>
        </w:tc>
        <w:tc>
          <w:tcPr>
            <w:tcW w:w="1440" w:type="dxa"/>
          </w:tcPr>
          <w:p>
            <w:pPr>
              <w:pStyle w:val="P23"/>
            </w:pPr>
            <w:r>
              <w:t>23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"BK28" \o "Monitoring — Acute Lethality Testing — Daphnia magna"</w:instrText>
            </w:r>
            <w:r>
              <w:fldChar w:fldCharType="separate"/>
            </w:r>
            <w:r>
              <w:t>Monitoring — Acute Lethality Testing — Daphnia magna</w:t>
            </w:r>
            <w:r>
              <w:fldChar w:fldCharType="end"/>
            </w:r>
          </w:p>
        </w:tc>
        <w:tc>
          <w:tcPr>
            <w:tcW w:w="1440" w:type="dxa"/>
          </w:tcPr>
          <w:p>
            <w:pPr>
              <w:pStyle w:val="P23"/>
            </w:pPr>
            <w:r>
              <w:t>24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"BK29" \o "Monitoring — Chronic Toxicity Testing — Fathead Minnow and Ceriodaphnia dubia"</w:instrText>
            </w:r>
            <w:r>
              <w:fldChar w:fldCharType="separate"/>
            </w:r>
            <w:r>
              <w:t>Monitoring — Chronic Toxicity Testing — Fathead Minnow and Ceriodaphnia dubia</w:t>
            </w:r>
            <w:r>
              <w:fldChar w:fldCharType="end"/>
            </w:r>
          </w:p>
        </w:tc>
        <w:tc>
          <w:tcPr>
            <w:tcW w:w="1440" w:type="dxa"/>
          </w:tcPr>
          <w:p>
            <w:pPr>
              <w:pStyle w:val="P23"/>
            </w:pPr>
            <w:r>
              <w:t>25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"BK30" \o "Monitoring — Cooling Water Effluent — Weekly Assessment"</w:instrText>
            </w:r>
            <w:r>
              <w:fldChar w:fldCharType="separate"/>
            </w:r>
            <w:r>
              <w:t>Monitoring — Cooling Water Effluent — Weekly Assessment</w:t>
            </w:r>
            <w:r>
              <w:fldChar w:fldCharType="end"/>
            </w:r>
          </w:p>
        </w:tc>
        <w:tc>
          <w:tcPr>
            <w:tcW w:w="1440" w:type="dxa"/>
          </w:tcPr>
          <w:p>
            <w:pPr>
              <w:pStyle w:val="P23"/>
            </w:pPr>
            <w:r>
              <w:t>26</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"BK31" \o "PART VI"</w:instrText>
            </w:r>
            <w:r>
              <w:fldChar w:fldCharType="separate"/>
            </w:r>
            <w:r>
              <w:rPr>
                <w:rStyle w:val="C27"/>
              </w:rPr>
              <w:t>PART VI</w:t>
            </w:r>
            <w:r>
              <w:rPr>
                <w:rStyle w:val="C27"/>
              </w:rPr>
              <w:fldChar w:fldCharType="end"/>
            </w:r>
          </w:p>
        </w:tc>
        <w:tc>
          <w:tcPr>
            <w:tcW w:w="6480" w:type="dxa"/>
          </w:tcPr>
          <w:p>
            <w:pPr>
              <w:pStyle w:val="P559"/>
            </w:pPr>
            <w:r>
              <w:t>EFFLUENT VOLUME</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"BK32" \o "Flow Measurement — General"</w:instrText>
            </w:r>
            <w:r>
              <w:fldChar w:fldCharType="separate"/>
            </w:r>
            <w:r>
              <w:t>Flow Measurement — General</w:t>
            </w:r>
            <w:r>
              <w:fldChar w:fldCharType="end"/>
            </w:r>
          </w:p>
        </w:tc>
        <w:tc>
          <w:tcPr>
            <w:tcW w:w="1440" w:type="dxa"/>
          </w:tcPr>
          <w:p>
            <w:pPr>
              <w:pStyle w:val="P23"/>
            </w:pPr>
            <w:r>
              <w:t>27</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"BK33" \o "Flow Measurement — Alternate Sampling Points Used under Section 23"</w:instrText>
            </w:r>
            <w:r>
              <w:fldChar w:fldCharType="separate"/>
            </w:r>
            <w:r>
              <w:t>Flow Measurement — Alternate Sampling Points Used under Section 23</w:t>
            </w:r>
            <w:r>
              <w:fldChar w:fldCharType="end"/>
            </w:r>
          </w:p>
        </w:tc>
        <w:tc>
          <w:tcPr>
            <w:tcW w:w="1440" w:type="dxa"/>
          </w:tcPr>
          <w:p>
            <w:pPr>
              <w:pStyle w:val="P23"/>
            </w:pPr>
            <w:r>
              <w:t>28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"BK34" \o "Calculation of Plant Volumes"</w:instrText>
            </w:r>
            <w:r>
              <w:fldChar w:fldCharType="separate"/>
            </w:r>
            <w:r>
              <w:t>Calculation of Plant Volumes</w:t>
            </w:r>
            <w:r>
              <w:fldChar w:fldCharType="end"/>
            </w:r>
          </w:p>
        </w:tc>
        <w:tc>
          <w:tcPr>
            <w:tcW w:w="1440" w:type="dxa"/>
          </w:tcPr>
          <w:p>
            <w:pPr>
              <w:pStyle w:val="P23"/>
            </w:pPr>
            <w:r>
              <w:t>29</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"BK35" \o "PART VII"</w:instrText>
            </w:r>
            <w:r>
              <w:fldChar w:fldCharType="separate"/>
            </w:r>
            <w:r>
              <w:rPr>
                <w:rStyle w:val="C27"/>
              </w:rPr>
              <w:t>PART VII</w:t>
            </w:r>
            <w:r>
              <w:rPr>
                <w:rStyle w:val="C27"/>
              </w:rPr>
              <w:fldChar w:fldCharType="end"/>
            </w:r>
          </w:p>
        </w:tc>
        <w:tc>
          <w:tcPr>
            <w:tcW w:w="6480" w:type="dxa"/>
          </w:tcPr>
          <w:p>
            <w:pPr>
              <w:pStyle w:val="P559"/>
            </w:pPr>
            <w:r>
              <w:t>STORM WATER CONTROL STUDY</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"BK36" \o "Storm Water Control Study"</w:instrText>
            </w:r>
            <w:r>
              <w:fldChar w:fldCharType="separate"/>
            </w:r>
            <w:r>
              <w:t>Storm Water Control Study</w:t>
            </w:r>
            <w:r>
              <w:fldChar w:fldCharType="end"/>
            </w:r>
          </w:p>
        </w:tc>
        <w:tc>
          <w:tcPr>
            <w:tcW w:w="1440" w:type="dxa"/>
          </w:tcPr>
          <w:p>
            <w:pPr>
              <w:pStyle w:val="P23"/>
            </w:pPr>
            <w:r>
              <w:t>30</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"BK37" \o "PART VIII"</w:instrText>
            </w:r>
            <w:r>
              <w:fldChar w:fldCharType="separate"/>
            </w:r>
            <w:r>
              <w:rPr>
                <w:rStyle w:val="C27"/>
              </w:rPr>
              <w:t>PART VIII</w:t>
            </w:r>
            <w:r>
              <w:rPr>
                <w:rStyle w:val="C27"/>
              </w:rPr>
              <w:fldChar w:fldCharType="end"/>
            </w:r>
          </w:p>
        </w:tc>
        <w:tc>
          <w:tcPr>
            <w:tcW w:w="6480" w:type="dxa"/>
          </w:tcPr>
          <w:p>
            <w:pPr>
              <w:pStyle w:val="P559"/>
            </w:pPr>
            <w:r>
              <w:t>RECORDS AND REPORTS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"BK38" \o "Record Keeping"</w:instrText>
            </w:r>
            <w:r>
              <w:fldChar w:fldCharType="separate"/>
            </w:r>
            <w:r>
              <w:t>Record Keeping</w:t>
            </w:r>
            <w:r>
              <w:fldChar w:fldCharType="end"/>
            </w:r>
          </w:p>
        </w:tc>
        <w:tc>
          <w:tcPr>
            <w:tcW w:w="1440" w:type="dxa"/>
          </w:tcPr>
          <w:p>
            <w:pPr>
              <w:pStyle w:val="P23"/>
            </w:pPr>
            <w:r>
              <w:t>31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"BK39" \o "Reports Available to the Public"</w:instrText>
            </w:r>
            <w:r>
              <w:fldChar w:fldCharType="separate"/>
            </w:r>
            <w:r>
              <w:t>Reports Available to the Public</w:t>
            </w:r>
            <w:r>
              <w:fldChar w:fldCharType="end"/>
            </w:r>
          </w:p>
        </w:tc>
        <w:tc>
          <w:tcPr>
            <w:tcW w:w="1440" w:type="dxa"/>
          </w:tcPr>
          <w:p>
            <w:pPr>
              <w:pStyle w:val="P23"/>
            </w:pPr>
            <w:r>
              <w:t>32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"BK40" \o "Reports to the Director — General"</w:instrText>
            </w:r>
            <w:r>
              <w:fldChar w:fldCharType="separate"/>
            </w:r>
            <w:r>
              <w:t>Reports to the Director — General</w:t>
            </w:r>
            <w:r>
              <w:fldChar w:fldCharType="end"/>
            </w:r>
          </w:p>
        </w:tc>
        <w:tc>
          <w:tcPr>
            <w:tcW w:w="1440" w:type="dxa"/>
          </w:tcPr>
          <w:p>
            <w:pPr>
              <w:pStyle w:val="P23"/>
            </w:pPr>
            <w:r>
              <w:t>33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"BK41" \o "Reports to the Director on Compliance with Section 6 and Part IV"</w:instrText>
            </w:r>
            <w:r>
              <w:fldChar w:fldCharType="separate"/>
            </w:r>
            <w:r>
              <w:t>Reports to the Director on Compliance with Section 6 and Part IV</w:t>
            </w:r>
            <w:r>
              <w:fldChar w:fldCharType="end"/>
            </w:r>
          </w:p>
        </w:tc>
        <w:tc>
          <w:tcPr>
            <w:tcW w:w="1440" w:type="dxa"/>
          </w:tcPr>
          <w:p>
            <w:pPr>
              <w:pStyle w:val="P23"/>
            </w:pPr>
            <w:r>
              <w:t>34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"BK42" \o "Quarterly Reports to the Director"</w:instrText>
            </w:r>
            <w:r>
              <w:fldChar w:fldCharType="separate"/>
            </w:r>
            <w:r>
              <w:t>Quarterly Reports to the Director</w:t>
            </w:r>
            <w:r>
              <w:fldChar w:fldCharType="end"/>
            </w:r>
          </w:p>
        </w:tc>
        <w:tc>
          <w:tcPr>
            <w:tcW w:w="1440" w:type="dxa"/>
          </w:tcPr>
          <w:p>
            <w:pPr>
              <w:pStyle w:val="P23"/>
            </w:pPr>
            <w:r>
              <w:t>35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"BK43" \o "Reports to the Director on Chronic Toxicity Testing"</w:instrText>
            </w:r>
            <w:r>
              <w:fldChar w:fldCharType="separate"/>
            </w:r>
            <w:r>
              <w:t>Reports to the Director on Chronic Toxicity Testing</w:t>
            </w:r>
            <w:r>
              <w:fldChar w:fldCharType="end"/>
            </w:r>
          </w:p>
        </w:tc>
        <w:tc>
          <w:tcPr>
            <w:tcW w:w="1440" w:type="dxa"/>
          </w:tcPr>
          <w:p>
            <w:pPr>
              <w:pStyle w:val="P23"/>
            </w:pPr>
            <w:r>
              <w:t>36-38</w:t>
            </w:r>
          </w:p>
        </w:tc>
      </w:tr>
      <w:tr>
        <w:tblPrEx>
          <w:tblCellMar>
            <w:top w:w="0" w:type="dxa"/>
            <w:bottom w:w="0" w:type="dxa"/>
          </w:tblCellMar>
        </w:tblPrEx>
        <w:trPr>
          <w:jc w:val="center"/>
        </w:trPr>
        <w:tc>
          <w:tcPr>
            <w:tcW w:w="1680" w:type="dxa"/>
          </w:tcPr>
          <w:p>
            <w:pPr>
              <w:pStyle w:val="P441"/>
            </w:pPr>
            <w:r>
              <w:fldChar w:fldCharType="begin"/>
            </w:r>
            <w:r>
              <w:instrText>HYPERLINK \l "BK44" \o "Schedule 1"</w:instrText>
            </w:r>
            <w:r>
              <w:fldChar w:fldCharType="separate"/>
            </w:r>
            <w:r>
              <w:t>Schedule 1</w:t>
            </w:r>
            <w:r>
              <w:fldChar w:fldCharType="end"/>
            </w:r>
          </w:p>
        </w:tc>
        <w:tc>
          <w:tcPr>
            <w:tcW w:w="6480" w:type="dxa"/>
          </w:tcPr>
          <w:p>
            <w:pPr>
              <w:pStyle w:val="P23"/>
            </w:pPr>
            <w:r>
              <w:t xml:space="preserve">List of regulated plants </w:t>
            </w:r>
          </w:p>
        </w:tc>
        <w:tc>
          <w:tcPr>
            <w:tcW w:w="1440" w:type="dxa"/>
          </w:tcPr>
          <w:p>
            <w:pPr>
              <w:pStyle w:val="P23"/>
            </w:pPr>
          </w:p>
        </w:tc>
      </w:tr>
      <w:tr>
        <w:tblPrEx>
          <w:tblCellMar>
            <w:top w:w="0" w:type="dxa"/>
            <w:bottom w:w="0" w:type="dxa"/>
          </w:tblCellMar>
        </w:tblPrEx>
        <w:trPr>
          <w:jc w:val="center"/>
        </w:trPr>
        <w:tc>
          <w:tcPr>
            <w:tcW w:w="1680" w:type="dxa"/>
          </w:tcPr>
          <w:p>
            <w:pPr>
              <w:pStyle w:val="P441"/>
            </w:pPr>
            <w:r>
              <w:fldChar w:fldCharType="begin"/>
            </w:r>
            <w:r>
              <w:instrText>HYPERLINK \l "BK45" \o "Schedule 2"</w:instrText>
            </w:r>
            <w:r>
              <w:fldChar w:fldCharType="separate"/>
            </w:r>
            <w:r>
              <w:t>Schedule 2</w:t>
            </w:r>
            <w:r>
              <w:fldChar w:fldCharType="end"/>
            </w:r>
          </w:p>
        </w:tc>
        <w:tc>
          <w:tcPr>
            <w:tcW w:w="6480" w:type="dxa"/>
          </w:tcPr>
          <w:p>
            <w:pPr>
              <w:pStyle w:val="P23"/>
            </w:pPr>
            <w:r>
              <w:t xml:space="preserve">Process effluent limits and monitoring frequency </w:t>
            </w:r>
          </w:p>
        </w:tc>
        <w:tc>
          <w:tcPr>
            <w:tcW w:w="1440" w:type="dxa"/>
          </w:tcPr>
          <w:p>
            <w:pPr>
              <w:pStyle w:val="P23"/>
            </w:pPr>
          </w:p>
        </w:tc>
      </w:tr>
      <w:tr>
        <w:tblPrEx>
          <w:tblCellMar>
            <w:top w:w="0" w:type="dxa"/>
            <w:bottom w:w="0" w:type="dxa"/>
          </w:tblCellMar>
        </w:tblPrEx>
        <w:trPr>
          <w:jc w:val="center"/>
        </w:trPr>
        <w:tc>
          <w:tcPr>
            <w:tcW w:w="1680" w:type="dxa"/>
          </w:tcPr>
          <w:p>
            <w:pPr>
              <w:pStyle w:val="P441"/>
            </w:pPr>
            <w:r>
              <w:fldChar w:fldCharType="begin"/>
            </w:r>
            <w:r>
              <w:instrText>HYPERLINK \l "BK46" \o "Schedule 3"</w:instrText>
            </w:r>
            <w:r>
              <w:fldChar w:fldCharType="separate"/>
            </w:r>
            <w:r>
              <w:t>Schedule 3</w:t>
            </w:r>
            <w:r>
              <w:fldChar w:fldCharType="end"/>
            </w:r>
          </w:p>
        </w:tc>
        <w:tc>
          <w:tcPr>
            <w:tcW w:w="6480" w:type="dxa"/>
          </w:tcPr>
          <w:p>
            <w:pPr>
              <w:pStyle w:val="P23"/>
            </w:pPr>
            <w:r>
              <w:t xml:space="preserve">Cooling water assessment monitoring requirements </w:t>
            </w:r>
          </w:p>
        </w:tc>
        <w:tc>
          <w:tcPr>
            <w:tcW w:w="1440" w:type="dxa"/>
          </w:tcPr>
          <w:p>
            <w:pPr>
              <w:pStyle w:val="P23"/>
            </w:pPr>
          </w:p>
        </w:tc>
      </w:tr>
      <w:tr>
        <w:tblPrEx>
          <w:tblCellMar>
            <w:top w:w="0" w:type="dxa"/>
            <w:bottom w:w="0" w:type="dxa"/>
          </w:tblCellMar>
        </w:tblPrEx>
        <w:trPr>
          <w:jc w:val="center"/>
        </w:trPr>
        <w:tc>
          <w:tcPr>
            <w:tcW w:w="1680" w:type="dxa"/>
          </w:tcPr>
          <w:p>
            <w:pPr>
              <w:pStyle w:val="P441"/>
            </w:pPr>
            <w:r>
              <w:fldChar w:fldCharType="begin"/>
            </w:r>
            <w:r>
              <w:instrText>HYPERLINK \l "BK47" \o "Schedule 4"</w:instrText>
            </w:r>
            <w:r>
              <w:fldChar w:fldCharType="separate"/>
            </w:r>
            <w:r>
              <w:t>Schedule 4</w:t>
            </w:r>
            <w:r>
              <w:fldChar w:fldCharType="end"/>
            </w:r>
          </w:p>
        </w:tc>
        <w:tc>
          <w:tcPr>
            <w:tcW w:w="6480" w:type="dxa"/>
          </w:tcPr>
          <w:p>
            <w:pPr>
              <w:pStyle w:val="P23"/>
            </w:pPr>
            <w:r>
              <w:t xml:space="preserve">Products and production rate </w:t>
            </w:r>
          </w:p>
        </w:tc>
        <w:tc>
          <w:tcPr>
            <w:tcW w:w="1440" w:type="dxa"/>
          </w:tcPr>
          <w:p>
            <w:pPr>
              <w:pStyle w:val="P23"/>
            </w:pPr>
          </w:p>
        </w:tc>
      </w:tr>
    </w:tbl>
    <w:p>
      <w:pPr>
        <w:pStyle w:val="P17"/>
      </w:pPr>
      <w:bookmarkStart w:id="2" w:name="BK0"/>
      <w:bookmarkEnd w:id="2"/>
      <w:r>
        <w:t>PART I</w:t>
        <w:br w:type="textWrapping"/>
        <w:t>GENERAL</w:t>
      </w:r>
    </w:p>
    <w:p>
      <w:pPr>
        <w:pStyle w:val="P15"/>
      </w:pPr>
      <w:bookmarkStart w:id="3" w:name="BK1"/>
      <w:bookmarkEnd w:id="3"/>
      <w:r>
        <w:t>Interpretation</w:t>
      </w:r>
    </w:p>
    <w:p>
      <w:pPr>
        <w:pStyle w:val="P21"/>
      </w:pPr>
      <w:r>
        <w:tab/>
      </w:r>
      <w:r>
        <w:rPr>
          <w:b w:val="1"/>
        </w:rPr>
        <w:t>1.  </w:t>
      </w:r>
      <w:r>
        <w:t>(1)  In this Regulation,</w:t>
      </w:r>
    </w:p>
    <w:p>
      <w:pPr>
        <w:pStyle w:val="P13"/>
      </w:pPr>
      <w:r>
        <w:t>“assessment parameter”, in relation to a plant, means a parameter that is listed in the Table for the plant in Schedule 3;</w:t>
      </w:r>
    </w:p>
    <w:p>
      <w:pPr>
        <w:pStyle w:val="P13"/>
      </w:pPr>
      <w:r>
        <w:t>“blowdown water” means recirculating water that is discharged from a cooling water system for the purpose of controlling the level of water in the cooling water system or for the purpose of discharging from the cooling water system materials contained in the cooling water system the further build-up of which would impair the operation of the system;</w:t>
      </w:r>
    </w:p>
    <w:p>
      <w:pPr>
        <w:pStyle w:val="P13"/>
      </w:pPr>
      <w:r>
        <w:t>“cooling water effluent” means water and associated material that is used in an industrial process for the purpose of removing heat and that has not, by design, come into contact with process materials, but does not include blowdown water;</w:t>
      </w:r>
    </w:p>
    <w:p>
      <w:pPr>
        <w:pStyle w:val="P13"/>
      </w:pPr>
      <w:r>
        <w:t>“cooling water effluent monitoring stream” means a cooling water effluent stream on which a sampling point is established under section 8;</w:t>
      </w:r>
    </w:p>
    <w:p>
      <w:pPr>
        <w:pStyle w:val="P13"/>
      </w:pPr>
      <w:r>
        <w:t>“cooling water effluent sampling point” means a sampling point established on a cooling water effluent stream under section 8;</w:t>
      </w:r>
    </w:p>
    <w:p>
      <w:pPr>
        <w:pStyle w:val="P13"/>
      </w:pPr>
      <w:r>
        <w:t>“Director”, in relation to obligations of a discharger, means a Director appointed under section 5 of the Act and responsible for the region in which the discharger’s plant is located and includes an alternate named by the Director;</w:t>
      </w:r>
    </w:p>
    <w:p>
      <w:pPr>
        <w:pStyle w:val="P13"/>
      </w:pPr>
      <w:r>
        <w:t>“discharger” means an owner or person in occupation or having the charge, management or control of a plant to which this Regulation applies;</w:t>
      </w:r>
    </w:p>
    <w:p>
      <w:pPr>
        <w:pStyle w:val="P13"/>
      </w:pPr>
      <w:r>
        <w:t>“limited parameter”, in relation to a plant, means a parameter for which a limit is specified for the plant in Column 3 or 4 of the Table for the plant in Schedule 2;</w:t>
      </w:r>
    </w:p>
    <w:p>
      <w:pPr>
        <w:pStyle w:val="P13"/>
      </w:pPr>
      <w:r>
        <w:t>“pick-up”, in relation to a sample, means pick-up for the purposes of storage, including storage within an automatic sampling device, and transportation to and analysis at a laboratory;</w:t>
      </w:r>
    </w:p>
    <w:p>
      <w:pPr>
        <w:pStyle w:val="P13"/>
      </w:pPr>
      <w:r>
        <w:t>“plant” means an industrial facility and the developed property, waste disposal sites and wastewater treatment facilities associated with it;</w:t>
      </w:r>
    </w:p>
    <w:p>
      <w:pPr>
        <w:pStyle w:val="P13"/>
      </w:pPr>
      <w:r>
        <w:t>“process change” means a change in equipment, production processes, process materials or treatment processes;</w:t>
      </w:r>
    </w:p>
    <w:p>
      <w:pPr>
        <w:pStyle w:val="P13"/>
      </w:pPr>
      <w:r>
        <w:t>“process effluent” means,</w:t>
      </w:r>
    </w:p>
    <w:p>
      <w:pPr>
        <w:pStyle w:val="P12"/>
      </w:pPr>
      <w:r>
        <w:tab/>
        <w:t>(a)</w:t>
        <w:tab/>
        <w:t>effluent that, by design, has come into contact with process materials,</w:t>
      </w:r>
    </w:p>
    <w:p>
      <w:pPr>
        <w:pStyle w:val="P12"/>
      </w:pPr>
      <w:r>
        <w:tab/>
        <w:t>(b)</w:t>
        <w:tab/>
        <w:t>blowdown water,</w:t>
      </w:r>
    </w:p>
    <w:p>
      <w:pPr>
        <w:pStyle w:val="P12"/>
      </w:pPr>
      <w:r>
        <w:tab/>
        <w:t>(c)</w:t>
        <w:tab/>
        <w:t>effluent that results from cleaning or maintenance operations at a plant during a period when all or part of the plant is shut down, and</w:t>
      </w:r>
    </w:p>
    <w:p>
      <w:pPr>
        <w:pStyle w:val="P12"/>
      </w:pPr>
      <w:r>
        <w:tab/>
        <w:t>(d)</w:t>
        <w:tab/>
        <w:t>any effluent described in clauses (a) to (c) combined with cooling water effluent or storm water effluent;</w:t>
      </w:r>
    </w:p>
    <w:p>
      <w:pPr>
        <w:pStyle w:val="P13"/>
      </w:pPr>
      <w:r>
        <w:t>“process effluent monitoring stream” means a process effluent stream on which a sampling point is established under section 8;</w:t>
      </w:r>
    </w:p>
    <w:p>
      <w:pPr>
        <w:pStyle w:val="P13"/>
      </w:pPr>
      <w:r>
        <w:t>“process effluent sampling point” means a sampling point established on a process effluent stream under section 8;</w:t>
      </w:r>
    </w:p>
    <w:p>
      <w:pPr>
        <w:pStyle w:val="P1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13"/>
      </w:pPr>
      <w:r>
        <w:t>“quarter” means all or part of a period of three consecutive months beginning on the first day of January, April, July or October;</w:t>
      </w:r>
    </w:p>
    <w:p>
      <w:pPr>
        <w:pStyle w:val="P13"/>
      </w:pPr>
      <w:r>
        <w:t>“semi-annual period” means all or part of a period of six months beginning on the first day of January or July;</w:t>
      </w:r>
    </w:p>
    <w:p>
      <w:pPr>
        <w:pStyle w:val="P13"/>
      </w:pPr>
      <w:r>
        <w:t>“storm water effluent” means run-off from a storm event or thaw that is not used in any industrial process. O. Reg. 307/17, s. 1.</w:t>
      </w:r>
    </w:p>
    <w:p>
      <w:pPr>
        <w:pStyle w:val="P22"/>
      </w:pPr>
      <w:r>
        <w:tab/>
        <w:t>(2)  For greater certainty, this Regulation applies both to effluent streams that discharge continuously and to effluent streams that discharge intermittently.</w:t>
      </w:r>
    </w:p>
    <w:p>
      <w:pPr>
        <w:pStyle w:val="P22"/>
      </w:pPr>
      <w:r>
        <w:tab/>
        <w:t xml:space="preserve">(3)  An obligation on a discharger to do a thing under this Regulation is discharged if another person has done it on the discharger’s behalf.  O. Reg. 562/94, s. 1.</w:t>
      </w:r>
    </w:p>
    <w:p>
      <w:pPr>
        <w:pStyle w:val="P15"/>
      </w:pPr>
      <w:bookmarkStart w:id="4" w:name="BK2"/>
      <w:bookmarkEnd w:id="4"/>
      <w:r>
        <w:t>Purpose</w:t>
      </w:r>
    </w:p>
    <w:p>
      <w:pPr>
        <w:pStyle w:val="P21"/>
      </w:pPr>
      <w:r>
        <w:tab/>
      </w:r>
      <w:r>
        <w:rPr>
          <w:b w:val="1"/>
        </w:rPr>
        <w:t>2.  </w:t>
      </w:r>
      <w:r>
        <w:t xml:space="preserve">The purpose of this Regulation is to monitor and control the quality of effluent discharged from the plants listed in Schedule 1.  O. Reg. 562/94, s. 2.</w:t>
      </w:r>
    </w:p>
    <w:p>
      <w:pPr>
        <w:pStyle w:val="P15"/>
      </w:pPr>
      <w:bookmarkStart w:id="5" w:name="BK3"/>
      <w:bookmarkEnd w:id="5"/>
      <w:r>
        <w:t>Application</w:t>
      </w:r>
    </w:p>
    <w:p>
      <w:pPr>
        <w:pStyle w:val="P21"/>
      </w:pPr>
      <w:r>
        <w:tab/>
      </w:r>
      <w:r>
        <w:rPr>
          <w:b w:val="1"/>
        </w:rPr>
        <w:t>3.  </w:t>
      </w:r>
      <w:r>
        <w:t xml:space="preserve">(1)  This Regulation applies only with respect to the plants listed in Schedule 1.  O. Reg. 562/94, s. 3 (1).</w:t>
      </w:r>
    </w:p>
    <w:p>
      <w:pPr>
        <w:pStyle w:val="P22"/>
      </w:pPr>
      <w:r>
        <w:tab/>
        <w:t xml:space="preserve">(2)  This Regulation does not apply with respect to the discharge of effluent to a municipal sanitary sewer.  O. Reg. 562/94, s. 3 (2); O. Reg. 526/95, s. 1.</w:t>
      </w:r>
    </w:p>
    <w:p>
      <w:pPr>
        <w:pStyle w:val="P15"/>
      </w:pPr>
      <w:bookmarkStart w:id="6" w:name="BK4"/>
      <w:bookmarkEnd w:id="6"/>
      <w:r>
        <w:t>Obligations under Approvals, Orders, etc.</w:t>
      </w:r>
    </w:p>
    <w:p>
      <w:pPr>
        <w:pStyle w:val="P21"/>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526/95, s. 2.</w:t>
      </w:r>
    </w:p>
    <w:p>
      <w:pPr>
        <w:pStyle w:val="P15"/>
      </w:pPr>
      <w:bookmarkStart w:id="7" w:name="BK5"/>
      <w:bookmarkEnd w:id="7"/>
      <w:r>
        <w:t>Non-application of General Effluent Monitoring Regulation</w:t>
      </w:r>
    </w:p>
    <w:p>
      <w:pPr>
        <w:pStyle w:val="P21"/>
      </w:pPr>
      <w:r>
        <w:tab/>
      </w:r>
      <w:r>
        <w:rPr>
          <w:b w:val="1"/>
        </w:rPr>
        <w:t>5.  </w:t>
      </w:r>
      <w:r>
        <w:t xml:space="preserve">This Regulation is not a Sectoral Effluent Monitoring Regulation within the meaning of Ontario Regulation 695/88.  O. Reg. 562/94, s. 5.</w:t>
      </w:r>
    </w:p>
    <w:p>
      <w:pPr>
        <w:pStyle w:val="P15"/>
      </w:pPr>
      <w:bookmarkStart w:id="8" w:name="BK6"/>
      <w:bookmarkEnd w:id="8"/>
      <w:r>
        <w:t>By-passes</w:t>
      </w:r>
    </w:p>
    <w:p>
      <w:pPr>
        <w:pStyle w:val="P21"/>
      </w:pPr>
      <w:r>
        <w:t xml:space="preserve">  </w:t>
      </w:r>
      <w:r>
        <w:rPr/>
        <w:tab/>
      </w:r>
      <w:r>
        <w:rPr>
          <w:b/>
        </w:rPr>
        <w:t xml:space="preserve">6.  </w:t>
      </w:r>
      <w:r>
        <w:rPr/>
        <w:t xml:space="preserve">Beginning on August 26, 1997,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526/95, s. 3.</w:t>
      </w:r>
    </w:p>
    <w:p>
      <w:pPr>
        <w:pStyle w:val="P15"/>
      </w:pPr>
      <w:bookmarkStart w:id="9" w:name="BK7"/>
      <w:bookmarkEnd w:id="9"/>
      <w:r>
        <w:t>Sampling and Analytical Procedures</w:t>
      </w:r>
    </w:p>
    <w:p>
      <w:pPr>
        <w:pStyle w:val="P21"/>
      </w:pPr>
      <w:r>
        <w:t xml:space="preserve">  </w:t>
      </w:r>
      <w:r>
        <w:rPr/>
        <w:tab/>
      </w:r>
      <w:r>
        <w:rPr>
          <w:b/>
        </w:rPr>
        <w:t xml:space="preserve">7.  </w:t>
      </w:r>
      <w:r>
        <w:rPr/>
        <w:t xml:space="preserve">(1)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236/07, s. 1.</w:t>
      </w:r>
    </w:p>
    <w:p>
      <w:pPr>
        <w:pStyle w:val="P22"/>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and assessment parameter from the plant.  O. Reg. 562/94, s. 7 (2).</w:t>
      </w:r>
    </w:p>
    <w:p>
      <w:pPr>
        <w:pStyle w:val="P17"/>
      </w:pPr>
      <w:bookmarkStart w:id="10" w:name="BK8"/>
      <w:bookmarkEnd w:id="10"/>
      <w:r>
        <w:t>PART II</w:t>
        <w:br w:type="textWrapping"/>
        <w:t>SAMPLING POINTS</w:t>
      </w:r>
    </w:p>
    <w:p>
      <w:pPr>
        <w:pStyle w:val="P15"/>
      </w:pPr>
      <w:bookmarkStart w:id="11" w:name="BK9"/>
      <w:bookmarkEnd w:id="11"/>
      <w:r>
        <w:t>Establishment and Elimination of Sampling Points</w:t>
      </w:r>
    </w:p>
    <w:p>
      <w:pPr>
        <w:pStyle w:val="P21"/>
      </w:pPr>
      <w:r>
        <w:t xml:space="preserve">  </w:t>
      </w:r>
      <w:r>
        <w:rPr/>
        <w:tab/>
      </w:r>
      <w:r>
        <w:rPr>
          <w:b/>
        </w:rPr>
        <w:t xml:space="preserve">8.  </w:t>
      </w:r>
      <w:r>
        <w:rPr/>
        <w:t xml:space="preserve">(1)  Each discharger </w:t>
      </w:r>
      <w:r>
        <w:rPr>
          <w:highlight w:val="yellow"/>
        </w:rPr>
        <w:t>shall</w:t>
      </w:r>
      <w:r>
        <w:rPr/>
        <w:t>, by November 24, 1994, establish a sampling point on each process effluent and cooling water effluent stream at the discharger’s plant, as necessary so that the plant loadings calculated under sections 12 and 14 for each limited parameter and assessment parameter, accurately reflect the level of discharge of each such parameter from the plant.</w:t>
      </w:r>
    </w:p>
    <w:p>
      <w:pPr>
        <w:pStyle w:val="P22"/>
      </w:pPr>
      <w:r>
        <w:tab/>
        <w:t>(2)  Despite subsection (1), a discharger need not establish a sampling point on a by-pass.</w:t>
      </w:r>
    </w:p>
    <w:p>
      <w:pPr>
        <w:pStyle w:val="P22"/>
      </w:pPr>
      <w:r>
        <w:t xml:space="preserve">  </w:t>
      </w:r>
      <w:r>
        <w:rPr/>
        <w:tab/>
        <w:t xml:space="preserve">(3)  If circumstances change so that a new sampling point is necessary at a discharger’s plant in order to permit the calculation of plant loadings under sections 12 and 14 for each limited parameter and assessment parameter that accurately reflect the level of discharge of each such parameter from the plant, the discharger </w:t>
      </w:r>
      <w:r>
        <w:rPr>
          <w:highlight w:val="yellow"/>
        </w:rPr>
        <w:t>shall</w:t>
      </w:r>
      <w:r>
        <w:rPr/>
        <w:t>, within 30 days of the change, establish the new sampling point.</w:t>
      </w:r>
    </w:p>
    <w:p>
      <w:pPr>
        <w:pStyle w:val="P22"/>
      </w:pPr>
      <w:r>
        <w:tab/>
        <w:t>(4)  A discharger may eliminate a sampling point established under subsection (1) or (3) if the sampling point is no longer necessary to permit the calculation of plant loadings under sections 12 and 14 for each limited parameter and assessment parameter that accurately reflect the level of discharge of each such parameter from the plant.</w:t>
      </w:r>
    </w:p>
    <w:p>
      <w:pPr>
        <w:pStyle w:val="P22"/>
      </w:pPr>
      <w:r>
        <w:tab/>
        <w:t>(5)  For the purposes of this section, a plant loading for a parameter that is based on analytical results that are significantly affected by dilution or masking due to the merging of streams upstream of a sampling point at a plant is not a loading that accurately reflects the level of discharge of the parameter from the plant.</w:t>
      </w:r>
    </w:p>
    <w:p>
      <w:pPr>
        <w:pStyle w:val="P22"/>
      </w:pPr>
      <w:r>
        <w:t xml:space="preserve">  </w:t>
      </w:r>
      <w:r>
        <w:rPr/>
        <w:tab/>
        <w:t xml:space="preserve">(6)  In determining what is necessary to meet a discharger’s obligations to establish sampling points under this section, the discharger </w:t>
      </w:r>
      <w:r>
        <w:rPr>
          <w:highlight w:val="yellow"/>
        </w:rPr>
        <w:t>shall</w:t>
      </w:r>
      <w:r>
        <w:rPr/>
        <w:t xml:space="preserve"> consider both which streams should have sampling points and where on a stream a sampling point should be located.  O. Reg. 562/94, s. 8.</w:t>
      </w:r>
    </w:p>
    <w:p>
      <w:pPr>
        <w:pStyle w:val="P15"/>
      </w:pPr>
      <w:bookmarkStart w:id="12" w:name="BK10"/>
      <w:bookmarkEnd w:id="12"/>
      <w:r>
        <w:t>Reports on Sampling Points</w:t>
      </w:r>
    </w:p>
    <w:p>
      <w:pPr>
        <w:pStyle w:val="P21"/>
      </w:pPr>
      <w:r>
        <w:t xml:space="preserve">  </w:t>
      </w:r>
      <w:r>
        <w:rPr/>
        <w:tab/>
      </w:r>
      <w:r>
        <w:rPr>
          <w:b/>
        </w:rPr>
        <w:t xml:space="preserve">9.  </w:t>
      </w:r>
      <w:r>
        <w:rPr/>
        <w:t xml:space="preserve">(1)  By December 5, 1994,  each discharger </w:t>
      </w:r>
      <w:r>
        <w:rPr>
          <w:highlight w:val="yellow"/>
        </w:rPr>
        <w:t>shall</w:t>
      </w:r>
      <w:r>
        <w:rPr/>
        <w:t xml:space="preserve"> submit to the Director a list and plot plan showing the sampling points established under this Regulation at the discharger’s plant as of November 24, 1994.</w:t>
      </w:r>
    </w:p>
    <w:p>
      <w:pPr>
        <w:pStyle w:val="P22"/>
      </w:pPr>
      <w:r>
        <w:t xml:space="preserve">  </w:t>
      </w:r>
      <w:r>
        <w:rPr/>
        <w:tab/>
        <w:t xml:space="preserve">(2)  Within 30 days after establishing a sampling point under this Regulation that is not shown on a list and plot plan submitted under this section, the discharger </w:t>
      </w:r>
      <w:r>
        <w:rPr>
          <w:highlight w:val="yellow"/>
        </w:rPr>
        <w:t>shall</w:t>
      </w:r>
      <w:r>
        <w:rPr/>
        <w:t xml:space="preserve"> give the Director a written notice describing the location of the sampling point, together with a revised list and plot plan showing the sampling point.</w:t>
      </w:r>
    </w:p>
    <w:p>
      <w:pPr>
        <w:pStyle w:val="P22"/>
      </w:pPr>
      <w:r>
        <w:t xml:space="preserve">  </w:t>
      </w:r>
      <w:r>
        <w:rPr/>
        <w:tab/>
        <w:t xml:space="preserve">(3)  Within 30 days after eliminating a sampling point under this Regulation that is shown on a list and plot plan submitted under this section, the discharger </w:t>
      </w:r>
      <w:r>
        <w:rPr>
          <w:highlight w:val="yellow"/>
        </w:rPr>
        <w:t>shall</w:t>
      </w:r>
      <w:r>
        <w:rPr/>
        <w:t xml:space="preserve"> give the Director a written notice describing where the sampling point used to be, together with a revised list and plot plan without the sampling point.  O. Reg. 562/94, s. 9.</w:t>
      </w:r>
    </w:p>
    <w:p>
      <w:pPr>
        <w:pStyle w:val="P15"/>
      </w:pPr>
      <w:bookmarkStart w:id="13" w:name="BK11"/>
      <w:bookmarkEnd w:id="13"/>
      <w:r>
        <w:t>Use of Sampling Points Established under this Part</w:t>
      </w:r>
    </w:p>
    <w:p>
      <w:pPr>
        <w:pStyle w:val="P21"/>
      </w:pPr>
      <w:r>
        <w:t xml:space="preserve">  </w:t>
      </w:r>
      <w:r>
        <w:rPr/>
        <w:t xml:space="preserve">  </w:t>
      </w:r>
      <w:r>
        <w:rPr/>
        <w:tab/>
      </w:r>
      <w:r>
        <w:rPr>
          <w:b/>
        </w:rPr>
        <w:t xml:space="preserve">10.  </w:t>
      </w:r>
      <w:r>
        <w:rPr/>
        <w:t xml:space="preserve">Except as permitted or </w:t>
      </w:r>
      <w:r>
        <w:rPr>
          <w:highlight w:val="cyan"/>
        </w:rPr>
        <w:t>required</w:t>
      </w:r>
      <w:r>
        <w:rPr/>
        <w:t xml:space="preserve"> under sections 20, 22, 23 and 24, each discharger </w:t>
      </w:r>
      <w:r>
        <w:rPr>
          <w:highlight w:val="yellow"/>
        </w:rPr>
        <w:t>shall</w:t>
      </w:r>
      <w:r>
        <w:rPr/>
        <w:t xml:space="preserve"> use the sampling points established under this Part for all sampling </w:t>
      </w:r>
      <w:r>
        <w:rPr>
          <w:highlight w:val="cyan"/>
        </w:rPr>
        <w:t>required</w:t>
      </w:r>
      <w:r>
        <w:rPr/>
        <w:t xml:space="preserve"> by this Regulation.  O. Reg. 562/94, s. 10.</w:t>
      </w:r>
    </w:p>
    <w:p>
      <w:pPr>
        <w:pStyle w:val="P17"/>
      </w:pPr>
      <w:bookmarkStart w:id="14" w:name="BK12"/>
      <w:bookmarkEnd w:id="14"/>
      <w:r>
        <w:t>PART III</w:t>
        <w:br w:type="textWrapping"/>
        <w:t>CALCULATION OF LOADINGS</w:t>
      </w:r>
    </w:p>
    <w:p>
      <w:pPr>
        <w:pStyle w:val="P15"/>
      </w:pPr>
      <w:bookmarkStart w:id="15" w:name="BK13"/>
      <w:bookmarkEnd w:id="15"/>
      <w:r>
        <w:t>Calculation of Loadings — General</w:t>
      </w:r>
    </w:p>
    <w:p>
      <w:pPr>
        <w:pStyle w:val="P21"/>
      </w:pPr>
      <w:r>
        <w:t xml:space="preserve">  </w:t>
      </w:r>
      <w:r>
        <w:rPr/>
        <w:tab/>
      </w:r>
      <w:r>
        <w:rPr>
          <w:b/>
        </w:rPr>
        <w:t xml:space="preserve">11.  </w:t>
      </w:r>
      <w:r>
        <w:rPr/>
        <w:t xml:space="preserve">(1)  For the purposes of performing a calculation under sections 12, 13 and 14 a discharger </w:t>
      </w:r>
      <w:r>
        <w:rPr>
          <w:highlight w:val="yellow"/>
        </w:rPr>
        <w:t>shall</w:t>
      </w:r>
      <w:r>
        <w:rPr/>
        <w:t xml:space="preserve"> use the actual analytical result obtained by the laboratory.  O. Reg. 562/94, s. 11 (1).</w:t>
      </w:r>
    </w:p>
    <w:p>
      <w:pPr>
        <w:pStyle w:val="P22"/>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13 and 14.  O. Reg. 236/07, s. 2.</w:t>
      </w:r>
    </w:p>
    <w:p>
      <w:pPr>
        <w:pStyle w:val="P22"/>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sections 12 and 13 is performed as soon as reasonably possible after the analytical result on which the calculation is based becomes available to the discharger.  O. Reg. 562/94, s. 11 (3).</w:t>
      </w:r>
    </w:p>
    <w:p>
      <w:pPr>
        <w:pStyle w:val="P22"/>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14 is performed in time to comply with subsection 35 (4).  O. Reg. 562/94, s. 11 (4).</w:t>
      </w:r>
    </w:p>
    <w:p>
      <w:pPr>
        <w:pStyle w:val="P15"/>
      </w:pPr>
      <w:bookmarkStart w:id="16" w:name="BK14"/>
      <w:bookmarkEnd w:id="16"/>
      <w:r>
        <w:t>Calculation of Loadings — Process Effluent</w:t>
      </w:r>
    </w:p>
    <w:p>
      <w:pPr>
        <w:pStyle w:val="P21"/>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each limited parameter in each process effluent monitoring stream of the discharger for each day on which a sample is collected under this Regulation from the sampling point established under section 8 on the stream for analysis for the parameter.</w:t>
      </w:r>
    </w:p>
    <w:p>
      <w:pPr>
        <w:pStyle w:val="P2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27, for the stream for the day.</w:t>
      </w:r>
    </w:p>
    <w:p>
      <w:pPr>
        <w:pStyle w:val="P22"/>
      </w:pPr>
      <w:r>
        <w:t xml:space="preserve">  </w:t>
      </w:r>
      <w:r>
        <w:rPr/>
        <w:t xml:space="preserve">  </w:t>
      </w:r>
      <w:r>
        <w:rPr/>
        <w:tab/>
        <w:t xml:space="preserve">(3)  Each discharger </w:t>
      </w:r>
      <w:r>
        <w:rPr>
          <w:highlight w:val="yellow"/>
        </w:rPr>
        <w:t>shall</w:t>
      </w:r>
      <w:r>
        <w:rPr/>
        <w:t xml:space="preserve"> calculate, in kilograms, a daily process effluent plant loading for each limited parameter for each day for which the discharger is </w:t>
      </w:r>
      <w:r>
        <w:rPr>
          <w:highlight w:val="cyan"/>
        </w:rPr>
        <w:t>required</w:t>
      </w:r>
      <w:r>
        <w:rPr/>
        <w:t xml:space="preserve"> to calculate a daily process effluent stream loading for the parameter under subsection (1).</w:t>
      </w:r>
    </w:p>
    <w:p>
      <w:pPr>
        <w:pStyle w:val="P22"/>
      </w:pPr>
      <w:r>
        <w:tab/>
        <w:t>(4)  For the purposes of subsection (3), a daily process effluent plant loading for a parameter for a day is the sum, in kilograms, of the daily process effluent stream loadings for the parameter calculated under subsection (1) for the day.</w:t>
      </w:r>
    </w:p>
    <w:p>
      <w:pPr>
        <w:pStyle w:val="P22"/>
      </w:pPr>
      <w:r>
        <w:tab/>
        <w:t>(5)  Where a discharger calculates only one daily process effluent stream loading for a parameter for a day under subsection (1), the daily process effluent plant loading for the parameter for the day for the purposes of subsection (3) is the single daily process effluent stream loading for the parameter for the day.</w:t>
      </w:r>
    </w:p>
    <w:p>
      <w:pPr>
        <w:pStyle w:val="P22"/>
      </w:pPr>
      <w:r>
        <w:t xml:space="preserve">  </w:t>
      </w:r>
      <w:r>
        <w:rPr/>
        <w:tab/>
        <w:t xml:space="preserve">(6)  Each discharger </w:t>
      </w:r>
      <w:r>
        <w:rPr>
          <w:highlight w:val="yellow"/>
        </w:rPr>
        <w:t>shall</w:t>
      </w:r>
      <w:r>
        <w:rPr/>
        <w:t xml:space="preserve"> calculate, in kilograms, a monthly average process effluent plant loading for each limited parameter for each month in which a sample is collected under this Regulation more than once from a process effluent monitoring stream at the discharger’s plant for analysis for the parameter.</w:t>
      </w:r>
    </w:p>
    <w:p>
      <w:pPr>
        <w:pStyle w:val="P22"/>
      </w:pPr>
      <w:r>
        <w:tab/>
        <w:t xml:space="preserve">(7)  For the purposes of subsection (6), a monthly average process effluent plant loading for a parameter for a month is the arithmetic mean of the daily process effluent plant loadings for the parameter calculated under subsection (3) for the month.  O. Reg. 562/94, s. 12.</w:t>
      </w:r>
    </w:p>
    <w:p>
      <w:pPr>
        <w:pStyle w:val="P15"/>
        <w:rPr>
          <w:caps w:val="1"/>
        </w:rPr>
      </w:pPr>
      <w:bookmarkStart w:id="17" w:name="BK15"/>
      <w:bookmarkEnd w:id="17"/>
      <w:r>
        <w:t xml:space="preserve">Calculation of Loadings at Alternate Sampling Points Used under Section </w:t>
      </w:r>
      <w:r>
        <w:rPr>
          <w:caps w:val="1"/>
        </w:rPr>
        <w:t>23</w:t>
      </w:r>
    </w:p>
    <w:p>
      <w:pPr>
        <w:pStyle w:val="P21"/>
      </w:pPr>
      <w:r>
        <w:t xml:space="preserve">  </w:t>
      </w:r>
      <w:r>
        <w:rPr/>
        <w:tab/>
      </w:r>
      <w:r>
        <w:rPr>
          <w:b/>
        </w:rPr>
        <w:t xml:space="preserve">13.  </w:t>
      </w:r>
      <w:r>
        <w:rPr/>
        <w:t xml:space="preserve">(1)  In addition to complying with section 12, each discharger </w:t>
      </w:r>
      <w:r>
        <w:rPr>
          <w:highlight w:val="yellow"/>
        </w:rPr>
        <w:t>shall</w:t>
      </w:r>
      <w:r>
        <w:rPr/>
        <w:t xml:space="preserve"> calculate, in kilograms, a daily alternate loading for each parameter listed in subsection 20 (1) in each stream for which the discharger uses an alternate sampling point under section 23, for each day on which a sample is collected under this Regulation from the alternate sampling point on the stream for analysis for the parameter.</w:t>
      </w:r>
    </w:p>
    <w:p>
      <w:pPr>
        <w:pStyle w:val="P22"/>
      </w:pPr>
      <w:r>
        <w:t xml:space="preserve">  </w:t>
      </w:r>
      <w:r>
        <w:rPr/>
        <w:tab/>
        <w:t xml:space="preserve">(2)  When calculating a daily alternate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alternate volume of effluent, as determined under section 28, for the stream for the day.</w:t>
      </w:r>
    </w:p>
    <w:p>
      <w:pPr>
        <w:pStyle w:val="P22"/>
      </w:pPr>
      <w:r>
        <w:t xml:space="preserve">  </w:t>
      </w:r>
      <w:r>
        <w:rPr/>
        <w:tab/>
        <w:t xml:space="preserve">(3)  Each discharger </w:t>
      </w:r>
      <w:r>
        <w:rPr>
          <w:highlight w:val="yellow"/>
        </w:rPr>
        <w:t>shall</w:t>
      </w:r>
      <w:r>
        <w:rPr/>
        <w:t xml:space="preserve"> calculate, in kilograms, a monthly average alternate loading for each parameter listed in subsection 20 (1) in each stream for which the discharger uses an alternate sampling point under section 23, for each month in which a sample is collected under this Regulation from the alternate sampling point on the stream for analysis for the parameter.</w:t>
      </w:r>
    </w:p>
    <w:p>
      <w:pPr>
        <w:pStyle w:val="P22"/>
      </w:pPr>
      <w:r>
        <w:tab/>
        <w:t xml:space="preserve">(4)  For the purposes of subsection (3), a monthly average alternate loading for a parameter in a stream for a month is the arithmetic mean of the daily alternate loadings for the parameter in the stream calculated under subsection (1) for the month.  O. Reg. 562/94, s. 13.</w:t>
      </w:r>
    </w:p>
    <w:p>
      <w:pPr>
        <w:pStyle w:val="P15"/>
      </w:pPr>
      <w:bookmarkStart w:id="18" w:name="BK16"/>
      <w:bookmarkEnd w:id="18"/>
      <w:r>
        <w:t>Calculation of Loadings — Cooling Water</w:t>
      </w:r>
    </w:p>
    <w:p>
      <w:pPr>
        <w:pStyle w:val="P21"/>
      </w:pPr>
      <w:r>
        <w:t xml:space="preserve">  </w:t>
      </w:r>
      <w:r>
        <w:rPr/>
        <w:tab/>
      </w:r>
      <w:r>
        <w:rPr>
          <w:b/>
        </w:rPr>
        <w:t xml:space="preserve">14.  </w:t>
      </w:r>
      <w:r>
        <w:rPr/>
        <w:t xml:space="preserve">(1)  Each discharger </w:t>
      </w:r>
      <w:r>
        <w:rPr>
          <w:highlight w:val="yellow"/>
        </w:rPr>
        <w:t>shall</w:t>
      </w:r>
      <w:r>
        <w:rPr/>
        <w:t xml:space="preserve"> calculate, in kilograms, a daily cooling water effluent stream loading for each assessment parameter in each cooling water effluent monitoring stream of the discharger for each day on which a sample is collected under this Regulation from the stream for analysis for the parameter.</w:t>
      </w:r>
    </w:p>
    <w:p>
      <w:pPr>
        <w:pStyle w:val="P2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27, for the stream for the day.</w:t>
      </w:r>
    </w:p>
    <w:p>
      <w:pPr>
        <w:pStyle w:val="P22"/>
      </w:pPr>
      <w:r>
        <w:t xml:space="preserve">  </w:t>
      </w:r>
      <w:r>
        <w:rPr/>
        <w:t xml:space="preserve">  </w:t>
      </w:r>
      <w:r>
        <w:rPr/>
        <w:tab/>
        <w:t xml:space="preserve">(3)  Each discharger </w:t>
      </w:r>
      <w:r>
        <w:rPr>
          <w:highlight w:val="yellow"/>
        </w:rPr>
        <w:t>shall</w:t>
      </w:r>
      <w:r>
        <w:rPr/>
        <w:t xml:space="preserve"> calculate, in kilograms, a daily cooling water effluent plant loading for each assessment parameter for each day for which the discharger is </w:t>
      </w:r>
      <w:r>
        <w:rPr>
          <w:highlight w:val="cyan"/>
        </w:rPr>
        <w:t>required</w:t>
      </w:r>
      <w:r>
        <w:rPr/>
        <w:t xml:space="preserve"> to calculate a daily cooling water effluent stream loading for the parameter under subsection (1).</w:t>
      </w:r>
    </w:p>
    <w:p>
      <w:pPr>
        <w:pStyle w:val="P22"/>
      </w:pPr>
      <w:r>
        <w:tab/>
        <w:t>(4)  For the purposes of subsection (3), a daily cooling water effluent plant loading for a parameter for a day is the sum, in kilograms, of the daily cooling water effluent stream loadings for the parameter calculated under subsection (1) for the day.</w:t>
      </w:r>
    </w:p>
    <w:p>
      <w:pPr>
        <w:pStyle w:val="P22"/>
      </w:pPr>
      <w:r>
        <w:tab/>
        <w:t>(5)  Where a discharger calculates only one daily cooling water effluent stream loading for a parameter for a day under subsection (1), the daily cooling water effluent plant loading for the parameter for the day for the purposes of subsection (3) is the single daily cooling water effluent stream loading for the parameter for the day.</w:t>
      </w:r>
    </w:p>
    <w:p>
      <w:pPr>
        <w:pStyle w:val="P22"/>
      </w:pPr>
      <w:r>
        <w:t xml:space="preserve">  </w:t>
      </w:r>
      <w:r>
        <w:rPr/>
        <w:tab/>
        <w:t xml:space="preserve">(6)  Each discharger </w:t>
      </w:r>
      <w:r>
        <w:rPr>
          <w:highlight w:val="yellow"/>
        </w:rPr>
        <w:t>shall</w:t>
      </w:r>
      <w:r>
        <w:rPr/>
        <w:t xml:space="preserve"> calculate, in kilograms, a monthly average cooling water effluent plant loading for each assessment parameter for each month in which a sample is collected under this Regulation more than once from a cooling water effluent monitoring stream at the discharger’s plant for analysis for the parameter.</w:t>
      </w:r>
    </w:p>
    <w:p>
      <w:pPr>
        <w:pStyle w:val="P22"/>
      </w:pPr>
      <w:r>
        <w:tab/>
        <w:t xml:space="preserve">(7)  For the purposes of subsection (6), a monthly average cooling water effluent plant loading for a parameter for a month is the arithmetic mean of the daily cooling water effluent plant loadings for the parameter calculated under subsection (3) for the month.  O. Reg. 562/94, s. 14.</w:t>
      </w:r>
    </w:p>
    <w:p>
      <w:pPr>
        <w:pStyle w:val="P17"/>
      </w:pPr>
      <w:bookmarkStart w:id="19" w:name="BK17"/>
      <w:bookmarkEnd w:id="19"/>
      <w:r>
        <w:t>PART IV</w:t>
        <w:br w:type="textWrapping"/>
        <w:t>PARAMETER AND LETHALITY LIMITS</w:t>
      </w:r>
    </w:p>
    <w:p>
      <w:pPr>
        <w:pStyle w:val="P15"/>
      </w:pPr>
      <w:bookmarkStart w:id="20" w:name="BK18"/>
      <w:bookmarkEnd w:id="20"/>
      <w:r>
        <w:t>Parameter Limits</w:t>
      </w:r>
    </w:p>
    <w:p>
      <w:pPr>
        <w:pStyle w:val="P21"/>
      </w:pPr>
      <w:r>
        <w:t xml:space="preserve">  </w:t>
      </w:r>
      <w:r>
        <w:rPr/>
        <w:tab/>
      </w:r>
      <w:r>
        <w:rPr>
          <w:b/>
        </w:rPr>
        <w:t xml:space="preserve">15.  </w:t>
      </w:r>
      <w:r>
        <w:rPr/>
        <w:t xml:space="preserve">(1)  Each discharger </w:t>
      </w:r>
      <w:r>
        <w:rPr>
          <w:highlight w:val="yellow"/>
        </w:rPr>
        <w:t>shall</w:t>
      </w:r>
      <w:r>
        <w:rPr/>
        <w:t xml:space="preserve"> ensure that each daily process effluent plant loading calculated for a parameter under section 12 in connection with the discharger’s plant does not exceed the daily plant loading limit specified for the parameter and the plant in Column 3 of the Table for the plant in Schedule 2. O. Reg. 307/17, s. 2.</w:t>
      </w:r>
    </w:p>
    <w:p>
      <w:pPr>
        <w:pStyle w:val="P22"/>
      </w:pPr>
      <w:r>
        <w:t xml:space="preserve">  </w:t>
      </w:r>
      <w:r>
        <w:rPr/>
        <w:tab/>
        <w:t xml:space="preserve">(2)  Each discharger </w:t>
      </w:r>
      <w:r>
        <w:rPr>
          <w:highlight w:val="yellow"/>
        </w:rPr>
        <w:t>shall</w:t>
      </w:r>
      <w:r>
        <w:rPr/>
        <w:t xml:space="preserve"> ensure that each monthly average process effluent plant loading calculated for a parameter under section 12 in connection with the discharger’s plant does not exceed the monthly average plant loading limit specified for the parameter and the plant in Column 4 of the Table for the plant in Schedule 2. O. Reg. 307/17, s. 2.</w:t>
      </w:r>
    </w:p>
    <w:p>
      <w:pPr>
        <w:pStyle w:val="P22"/>
      </w:pPr>
      <w:r>
        <w:t xml:space="preserve">  </w:t>
      </w:r>
      <w:r>
        <w:rPr/>
        <w:tab/>
        <w:t xml:space="preserve">(3)  Subject to subsection (4), each discharger </w:t>
      </w:r>
      <w:r>
        <w:rPr>
          <w:highlight w:val="yellow"/>
        </w:rPr>
        <w:t>shall</w:t>
      </w:r>
      <w:r>
        <w:rPr/>
        <w:t xml:space="preserve"> control the quality of each process effluent monitoring stream at the discharger’s plant to ensure that the pH value of any sample collected at a process effluent sampling point at the plant is within the range of 6.0 to 9.5.</w:t>
      </w:r>
    </w:p>
    <w:p>
      <w:pPr>
        <w:pStyle w:val="P22"/>
      </w:pPr>
      <w:r>
        <w:t xml:space="preserve">  </w:t>
      </w:r>
      <w:r>
        <w:rPr/>
        <w:tab/>
        <w:t xml:space="preserve">(4)  Throughout any day on which a discharger has used an alternate sampling point on a process effluent monitoring stream for sampling </w:t>
      </w:r>
      <w:r>
        <w:rPr>
          <w:highlight w:val="cyan"/>
        </w:rPr>
        <w:t>required</w:t>
      </w:r>
      <w:r>
        <w:rPr/>
        <w:t xml:space="preserve"> by section 22, as permitted by subsections 22 (7) and (8), the discharger,</w:t>
      </w:r>
    </w:p>
    <w:p>
      <w:pPr>
        <w:pStyle w:val="P11"/>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11"/>
      </w:pPr>
      <w:r>
        <w:tab/>
        <w:t>(b)</w:t>
        <w:tab/>
        <w:t xml:space="preserve">need not comply with subsection (3) with respect to the stream.   O. Reg. 562/94, s. 15.</w:t>
      </w:r>
    </w:p>
    <w:p>
      <w:pPr>
        <w:pStyle w:val="P15"/>
      </w:pPr>
      <w:bookmarkStart w:id="21" w:name="BK19"/>
      <w:bookmarkEnd w:id="21"/>
      <w:r>
        <w:t>Lethality Limits</w:t>
      </w:r>
    </w:p>
    <w:p>
      <w:pPr>
        <w:pStyle w:val="P21"/>
      </w:pPr>
      <w:r>
        <w:t xml:space="preserve">  </w:t>
      </w:r>
      <w:r>
        <w:rPr/>
        <w:tab/>
      </w:r>
      <w:r>
        <w:rPr>
          <w:b/>
        </w:rPr>
        <w:t xml:space="preserve">16.  </w:t>
      </w:r>
      <w:r>
        <w:rPr/>
        <w:t xml:space="preserve">Each discharger </w:t>
      </w:r>
      <w:r>
        <w:rPr>
          <w:highlight w:val="yellow"/>
        </w:rPr>
        <w:t>shall</w:t>
      </w:r>
      <w:r>
        <w:rPr/>
        <w:t xml:space="preserve"> control the quality of each process effluent monitoring stream and each cooling water effluent monitoring stream at the discharger’s plant to ensure that each rainbow trout acute lethality test and each </w:t>
      </w:r>
      <w:r>
        <w:rPr>
          <w:rStyle w:val="C5"/>
        </w:rPr>
        <w:t>Daphnia magna</w:t>
      </w:r>
      <w:r>
        <w:rPr/>
        <w:t xml:space="preserve"> acute lethality test performed on any grab sample collected under section 23 or 24 at the plant results in mortality for no more than 50 per cent of the test organisms in 100 per cent effluent.   O. Reg. 562/94, s. 16.</w:t>
      </w:r>
    </w:p>
    <w:p>
      <w:pPr>
        <w:pStyle w:val="P17"/>
      </w:pPr>
      <w:bookmarkStart w:id="22" w:name="BK20"/>
      <w:bookmarkEnd w:id="22"/>
      <w:r>
        <w:t>PART V</w:t>
        <w:br w:type="textWrapping"/>
        <w:t>MONITORING</w:t>
      </w:r>
    </w:p>
    <w:p>
      <w:pPr>
        <w:pStyle w:val="P15"/>
      </w:pPr>
      <w:bookmarkStart w:id="23" w:name="BK21"/>
      <w:bookmarkEnd w:id="23"/>
      <w:r>
        <w:t>Monitoring — General</w:t>
      </w:r>
    </w:p>
    <w:p>
      <w:pPr>
        <w:pStyle w:val="P21"/>
      </w:pPr>
      <w:r>
        <w:tab/>
      </w:r>
      <w:r>
        <w:rPr>
          <w:b w:val="1"/>
        </w:rPr>
        <w:t>17.  </w:t>
      </w:r>
      <w:r>
        <w:t>(1)  Despite sections 18 to 26, a discharger need not collect samples from any stream at the discharger’s plant on a day on which there is no process effluent or cooling water effluent that is being discharged from the plant.</w:t>
      </w:r>
    </w:p>
    <w:p>
      <w:pPr>
        <w:pStyle w:val="P22"/>
      </w:pPr>
      <w:r>
        <w:t xml:space="preserve">  </w:t>
      </w:r>
      <w:r>
        <w:rPr/>
        <w:t xml:space="preserve">  </w:t>
      </w:r>
      <w:r>
        <w:rPr/>
        <w:tab/>
        <w:t xml:space="preserve">(2)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2"/>
      </w:pPr>
      <w:r>
        <w:t xml:space="preserve">  </w:t>
      </w:r>
      <w:r>
        <w:rPr/>
        <w:t xml:space="preserve">  </w:t>
      </w:r>
      <w:r>
        <w:rPr/>
        <w:tab/>
        <w:t xml:space="preserve">(3)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2"/>
      </w:pPr>
      <w:r>
        <w:t xml:space="preserve">  </w:t>
      </w:r>
      <w:r>
        <w:rPr/>
        <w:t xml:space="preserve">  </w:t>
      </w:r>
      <w:r>
        <w:rPr/>
        <w:tab/>
        <w:t xml:space="preserve">(4)  Subject to subsection (5), each discharger </w:t>
      </w:r>
      <w:r>
        <w:rPr>
          <w:highlight w:val="yellow"/>
        </w:rPr>
        <w:t>shall</w:t>
      </w:r>
      <w:r>
        <w:rPr/>
        <w:t xml:space="preserve"> pick up all sets of samples </w:t>
      </w:r>
      <w:r>
        <w:rPr>
          <w:highlight w:val="cyan"/>
        </w:rPr>
        <w:t>required</w:t>
      </w:r>
      <w:r>
        <w:rPr/>
        <w:t xml:space="preserve"> to be picked up at the discharger’s plant under sections 18 and 19 between the hours of 7 a.m. and 10  a.m.</w:t>
      </w:r>
    </w:p>
    <w:p>
      <w:pPr>
        <w:pStyle w:val="P22"/>
      </w:pPr>
      <w:r>
        <w:tab/>
        <w:t>(5)  If the Director is satisfied, on the basis of written submissions from a discharger, that the circumstances at the discharger’s plant are such that it would be impractical to pick up a set of samples from each sampling point established at the plant under this Regulation within the time period specified in subsection (4), the Director may give the discharger a written notice in respect of the plant, varying the time period specified in subsection (4).</w:t>
      </w:r>
    </w:p>
    <w:p>
      <w:pPr>
        <w:pStyle w:val="P22"/>
      </w:pPr>
      <w:r>
        <w:t xml:space="preserve">  </w:t>
      </w:r>
      <w:r>
        <w:rPr/>
        <w:t xml:space="preserve">  </w:t>
      </w:r>
      <w:r>
        <w:rPr/>
        <w:tab/>
        <w:t xml:space="preserve">(6)  Subject to subsections (7) and (8), where a discharger is </w:t>
      </w:r>
      <w:r>
        <w:rPr>
          <w:highlight w:val="cyan"/>
        </w:rPr>
        <w:t>required</w:t>
      </w:r>
      <w:r>
        <w:rPr/>
        <w:t xml:space="preserve"> by section 18, 19 or 20 to pick up a set of samples, the discharger </w:t>
      </w:r>
      <w:r>
        <w:rPr>
          <w:highlight w:val="yellow"/>
        </w:rPr>
        <w:t>shall</w:t>
      </w:r>
      <w:r>
        <w:rPr/>
        <w:t xml:space="preserve"> pick up a set collected over the 24-hour period immediately preceding the pick-up.</w:t>
      </w:r>
    </w:p>
    <w:p>
      <w:pPr>
        <w:pStyle w:val="P22"/>
      </w:pPr>
      <w:r>
        <w:tab/>
        <w:t>(7)  The 24-hour period referred to in subsection (6) may be shortened or enlarged by up to three hours to permit a discharger to take advantage of the three-hour range specified in subsection (4) or of a different three-hour period specified in a notice under subsection (5).</w:t>
      </w:r>
    </w:p>
    <w:p>
      <w:pPr>
        <w:pStyle w:val="P22"/>
      </w:pPr>
      <w:r>
        <w:tab/>
        <w:t>(8)  Where a notice has been given under subsection (5) in respect of a plant specifying a time period longer than three hours, the 24-hour period referred to in subsection (6) may be shortened or enlarged by up to that longer amount of time to permit the discharger to take advantage of the time period specified in the notice.</w:t>
      </w:r>
    </w:p>
    <w:p>
      <w:pPr>
        <w:pStyle w:val="P22"/>
      </w:pPr>
      <w:r>
        <w:tab/>
        <w:t xml:space="preserve">(9)  If the circumstances at a plant change so that the Director is satisfied that the circumstances described in subsection (5) no longer apply at the plant, the Director may revoke a notice given in respect of a plant under subsection (5) by giving a notice of revocation in writing to a discharger for the plant.  O. Reg. 562/94, s. 17.</w:t>
      </w:r>
    </w:p>
    <w:p>
      <w:pPr>
        <w:pStyle w:val="P15"/>
      </w:pPr>
      <w:bookmarkStart w:id="24" w:name="BK22"/>
      <w:bookmarkEnd w:id="24"/>
      <w:r>
        <w:t>Monitoring — Process Effluent — Daily</w:t>
      </w:r>
    </w:p>
    <w:p>
      <w:pPr>
        <w:pStyle w:val="P21"/>
      </w:pPr>
      <w:r>
        <w:t xml:space="preserve">  </w:t>
      </w:r>
      <w:r>
        <w:rPr/>
        <w:tab/>
      </w:r>
      <w:r>
        <w:rPr>
          <w:b/>
        </w:rPr>
        <w:t xml:space="preserve">18.  </w:t>
      </w:r>
      <w:r>
        <w:rPr/>
        <w:t xml:space="preserve">(1)  Each discharger </w:t>
      </w:r>
      <w:r>
        <w:rPr>
          <w:highlight w:val="yellow"/>
        </w:rPr>
        <w:t>shall</w:t>
      </w:r>
      <w:r>
        <w:rPr/>
        <w:t xml:space="preserve">, on each day,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daily. O. Reg. 307/17, s. 3.</w:t>
      </w:r>
    </w:p>
    <w:p>
      <w:pPr>
        <w:pStyle w:val="P22"/>
      </w:pPr>
      <w:r>
        <w:tab/>
        <w:t xml:space="preserve">(2)  A discharger need not meet the requirements of subsection (1) where it is impossible to do so because of sampling by a provincial officer.  O. Reg. 562/94, s. 18.</w:t>
      </w:r>
    </w:p>
    <w:p>
      <w:pPr>
        <w:pStyle w:val="P15"/>
      </w:pPr>
      <w:bookmarkStart w:id="25" w:name="BK23"/>
      <w:bookmarkEnd w:id="25"/>
      <w:r>
        <w:t>Monitoring — Process Effluent — Weekly</w:t>
      </w:r>
    </w:p>
    <w:p>
      <w:pPr>
        <w:pStyle w:val="P21"/>
      </w:pPr>
      <w:r>
        <w:t xml:space="preserve">  </w:t>
      </w:r>
      <w:r>
        <w:rPr/>
        <w:tab/>
      </w:r>
      <w:r>
        <w:rPr>
          <w:b/>
        </w:rPr>
        <w:t xml:space="preserve">19.  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weekly. O. Reg. 307/17, s. 4.</w:t>
      </w:r>
    </w:p>
    <w:p>
      <w:pPr>
        <w:pStyle w:val="P22"/>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2"/>
      </w:pPr>
      <w:r>
        <w:t xml:space="preserve">  </w:t>
      </w:r>
      <w:r>
        <w:rPr/>
        <w:tab/>
        <w:t xml:space="preserve">(3)  All samples picked up under subsection (1) in a week </w:t>
      </w:r>
      <w:r>
        <w:rPr>
          <w:highlight w:val="yellow"/>
        </w:rPr>
        <w:t>shall</w:t>
      </w:r>
      <w:r>
        <w:rPr/>
        <w:t xml:space="preserve"> be picked up on the same day in the week.  O. Reg. 562/94, s. 19.</w:t>
      </w:r>
    </w:p>
    <w:p>
      <w:pPr>
        <w:pStyle w:val="P15"/>
      </w:pPr>
      <w:bookmarkStart w:id="26" w:name="BK24"/>
      <w:bookmarkEnd w:id="26"/>
      <w:r>
        <w:t xml:space="preserve">Monitoring — Alternate Sampling Point Used under Section </w:t>
      </w:r>
      <w:r>
        <w:rPr>
          <w:caps w:val="1"/>
        </w:rPr>
        <w:t xml:space="preserve">23 </w:t>
      </w:r>
      <w:r>
        <w:t>— Weekly</w:t>
      </w:r>
    </w:p>
    <w:p>
      <w:pPr>
        <w:pStyle w:val="P21"/>
      </w:pPr>
      <w:r>
        <w:t xml:space="preserve">  </w:t>
      </w:r>
      <w:r>
        <w:rPr/>
        <w:tab/>
      </w:r>
      <w:r>
        <w:rPr>
          <w:b/>
        </w:rPr>
        <w:t xml:space="preserve">20.  </w:t>
      </w:r>
      <w:r>
        <w:rPr/>
        <w:t xml:space="preserve">(1)  In addition to complying with section 19, on one day in each week, each discharger </w:t>
      </w:r>
      <w:r>
        <w:rPr>
          <w:highlight w:val="yellow"/>
        </w:rPr>
        <w:t>shall</w:t>
      </w:r>
      <w:r>
        <w:rPr/>
        <w:t xml:space="preserve"> pick up a set of samples collected at each alternate sampling point established for the purposes of section 23 at the discharger’s plant and </w:t>
      </w:r>
      <w:r>
        <w:rPr>
          <w:highlight w:val="yellow"/>
        </w:rPr>
        <w:t>shall</w:t>
      </w:r>
      <w:r>
        <w:rPr/>
        <w:t xml:space="preserve"> analyze each set of samples for the following parameters:</w:t>
      </w:r>
    </w:p>
    <w:p>
      <w:pPr>
        <w:pStyle w:val="P16"/>
      </w:pPr>
      <w:r>
        <w:tab/>
        <w:t>1.</w:t>
        <w:tab/>
        <w:t>Dissolved Organic Carbon (DOC), referred to as Analytical Test Group 5a in the Ministry of the Environment publication entitled “Protocol for the Sampling and Analysis of Industrial/Municipal Wastewater”, as amended from time to time.</w:t>
      </w:r>
    </w:p>
    <w:p>
      <w:pPr>
        <w:pStyle w:val="P16"/>
      </w:pPr>
      <w:r>
        <w:tab/>
        <w:t>2.</w:t>
        <w:tab/>
        <w:t>Total Suspended Solids (TSS), referred to as Analytical Test Group 8 in the Ministry of the Environment publication entitled “Protocol for the Sampling and Analysis of Industrial/Municipal Wastewater”, as amended from time to time.</w:t>
      </w:r>
    </w:p>
    <w:p>
      <w:pPr>
        <w:pStyle w:val="P16"/>
      </w:pPr>
      <w:r>
        <w:tab/>
        <w:t>3.</w:t>
        <w:tab/>
        <w:t xml:space="preserve">Phenolics (4AAP), referred to as Analytical Test Group 14 in the Ministry of the Environment publication entitled “Protocol for the Sampling and Analysis of Industrial/Municipal Wastewater”, as amended from time to time.  O. Reg. 562/94, s. 20 (1); O. Reg. 236/07, s. 3.</w:t>
      </w:r>
    </w:p>
    <w:p>
      <w:pPr>
        <w:pStyle w:val="P22"/>
      </w:pPr>
      <w:r>
        <w:t xml:space="preserve">  </w:t>
      </w:r>
      <w:r>
        <w:rPr/>
        <w:tab/>
        <w:t xml:space="preserve">(2)  There </w:t>
      </w:r>
      <w:r>
        <w:rPr>
          <w:highlight w:val="yellow"/>
        </w:rPr>
        <w:t>shall</w:t>
      </w:r>
      <w:r>
        <w:rPr/>
        <w:t xml:space="preserve"> be an interval of at least four days between successive pick-up days at the plant under subsection (1).  O. Reg. 562/94, s. 20 (2).</w:t>
      </w:r>
    </w:p>
    <w:p>
      <w:pPr>
        <w:pStyle w:val="P22"/>
      </w:pPr>
      <w:r>
        <w:t xml:space="preserve">  </w:t>
      </w:r>
      <w:r>
        <w:rPr/>
        <w:tab/>
        <w:t xml:space="preserve">(3)  All samples picked up under subsection (1) in a week </w:t>
      </w:r>
      <w:r>
        <w:rPr>
          <w:highlight w:val="yellow"/>
        </w:rPr>
        <w:t>shall</w:t>
      </w:r>
      <w:r>
        <w:rPr/>
        <w:t xml:space="preserve"> be picked up on the same day in the week.  O. Reg. 562/94, s. 20 (3).</w:t>
      </w:r>
    </w:p>
    <w:p>
      <w:pPr>
        <w:pStyle w:val="P15"/>
      </w:pPr>
      <w:bookmarkStart w:id="27" w:name="BK25"/>
      <w:bookmarkEnd w:id="27"/>
      <w:r>
        <w:t>Monitoring — Process Effluent — Quality Control</w:t>
      </w:r>
    </w:p>
    <w:p>
      <w:pPr>
        <w:pStyle w:val="P21"/>
      </w:pPr>
      <w:r>
        <w:t xml:space="preserve">  </w:t>
      </w:r>
      <w:r>
        <w:rPr/>
        <w:tab/>
      </w:r>
      <w:r>
        <w:rPr>
          <w:b/>
        </w:rPr>
        <w:t xml:space="preserve">21. </w:t>
      </w:r>
      <w:r>
        <w:rPr/>
        <w:t xml:space="preserve"> (1)  On one day in each year after 1994, on a day on which samples are picked up at the plant under subsection 19 (1), each discharger </w:t>
      </w:r>
      <w:r>
        <w:rPr>
          <w:highlight w:val="yellow"/>
        </w:rPr>
        <w:t>shall</w:t>
      </w:r>
      <w:r>
        <w:rPr/>
        <w:t xml:space="preserve"> collect and pick up a duplicate sample for each sample picked up on that day under subsection 19 (1) at one process effluent sampling point at the discharger’s plant and </w:t>
      </w:r>
      <w:r>
        <w:rPr>
          <w:highlight w:val="yellow"/>
        </w:rPr>
        <w:t>shall</w:t>
      </w:r>
      <w:r>
        <w:rPr/>
        <w:t xml:space="preserve"> analyze each duplicate sample for the parameters for which the frequency of monitoring, as set out in Column 2 of the table in Schedule 2 for the discharger’s plant, is weekly.  O. Reg. 562/94, s. 21 (1); O. Reg. 307/17, s. 5.</w:t>
      </w:r>
    </w:p>
    <w:p>
      <w:pPr>
        <w:pStyle w:val="P22"/>
      </w:pPr>
      <w:r>
        <w:t xml:space="preserve">  </w:t>
      </w:r>
      <w:r>
        <w:rPr/>
        <w:tab/>
        <w:t xml:space="preserve">(2)  Each discharger </w:t>
      </w:r>
      <w:r>
        <w:rPr>
          <w:highlight w:val="yellow"/>
        </w:rPr>
        <w:t>shall</w:t>
      </w:r>
      <w:r>
        <w:rPr/>
        <w:t xml:space="preserve"> prepare a travelling blank and travelling spiked blank sample for each sample for which a duplicate sample is picked up at the plant under subsection (1)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236/07, s. 4.</w:t>
      </w:r>
    </w:p>
    <w:p>
      <w:pPr>
        <w:pStyle w:val="P22"/>
      </w:pPr>
      <w:r>
        <w:t xml:space="preserve">  </w:t>
      </w:r>
      <w:r>
        <w:rPr/>
        <w:tab/>
        <w:t xml:space="preserve">(3)  There </w:t>
      </w:r>
      <w:r>
        <w:rPr>
          <w:highlight w:val="yellow"/>
        </w:rPr>
        <w:t>shall</w:t>
      </w:r>
      <w:r>
        <w:rPr/>
        <w:t xml:space="preserve"> be an interval of at least six months between successive pick-up days at the plant under subsection (1).  O. Reg. 562/94, s. 21 (3).</w:t>
      </w:r>
    </w:p>
    <w:p>
      <w:pPr>
        <w:pStyle w:val="P15"/>
      </w:pPr>
      <w:bookmarkStart w:id="28" w:name="BK26"/>
      <w:bookmarkEnd w:id="28"/>
      <w:r>
        <w:t>Monitoring — Process Effluent — pH Measurement</w:t>
      </w:r>
    </w:p>
    <w:p>
      <w:pPr>
        <w:pStyle w:val="P21"/>
      </w:pPr>
      <w:r>
        <w:t xml:space="preserve">  </w:t>
      </w:r>
      <w:r>
        <w:rPr/>
        <w:tab/>
      </w:r>
      <w:r>
        <w:rPr>
          <w:b/>
        </w:rPr>
        <w:t xml:space="preserve">22.  </w:t>
      </w:r>
      <w:r>
        <w:rPr/>
        <w:t xml:space="preserve">(1)  Each discharger </w:t>
      </w:r>
      <w:r>
        <w:rPr>
          <w:highlight w:val="yellow"/>
        </w:rPr>
        <w:t>shall</w:t>
      </w:r>
      <w:r>
        <w:rPr/>
        <w:t xml:space="preserve">, on each day during the time period applicable to the plant under subsection 17 (4) or (5), collect a grab sample from each process effluent monitoring stream at the discharger’s plant and </w:t>
      </w:r>
      <w:r>
        <w:rPr>
          <w:highlight w:val="yellow"/>
        </w:rPr>
        <w:t>shall</w:t>
      </w:r>
      <w:r>
        <w:rPr/>
        <w:t xml:space="preserve"> analyze each sample for the parameter pH.</w:t>
      </w:r>
    </w:p>
    <w:p>
      <w:pPr>
        <w:pStyle w:val="P22"/>
      </w:pPr>
      <w:r>
        <w:t xml:space="preserve">  </w:t>
      </w:r>
      <w:r>
        <w:rPr/>
        <w:tab/>
        <w:t xml:space="preserve">(2)  Each discharger </w:t>
      </w:r>
      <w:r>
        <w:rPr>
          <w:highlight w:val="yellow"/>
        </w:rPr>
        <w:t>shall</w:t>
      </w:r>
      <w:r>
        <w:rPr/>
        <w:t xml:space="preserve">, within each 24-hour period beginning with the collection of the first grab sample at the plant under subsection (1) on each day, collect two more grab samples from each process effluent monitoring stream at the discharger’s plant and </w:t>
      </w:r>
      <w:r>
        <w:rPr>
          <w:highlight w:val="yellow"/>
        </w:rPr>
        <w:t>shall</w:t>
      </w:r>
      <w:r>
        <w:rPr/>
        <w:t xml:space="preserve"> analyze each sample for the parameter pH.</w:t>
      </w:r>
    </w:p>
    <w:p>
      <w:pPr>
        <w:pStyle w:val="P22"/>
      </w:pPr>
      <w:r>
        <w:t xml:space="preserve">  </w:t>
      </w:r>
      <w:r>
        <w:rPr/>
        <w:tab/>
        <w:t xml:space="preserve">(3)  There </w:t>
      </w:r>
      <w:r>
        <w:rPr>
          <w:highlight w:val="yellow"/>
        </w:rPr>
        <w:t>shall</w:t>
      </w:r>
      <w:r>
        <w:rPr/>
        <w:t xml:space="preserve"> be an interval of at least four hours between each of the three collections at a stream under subsections (1) and (2) in each 24-hour period.</w:t>
      </w:r>
    </w:p>
    <w:p>
      <w:pPr>
        <w:pStyle w:val="P22"/>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2"/>
      </w:pPr>
      <w:r>
        <w:tab/>
        <w:t>(5)  Instead of complying with subsections (1) to (4) with respect to a stream, a discharger may use an on-line analyzer at the sampling point on the stream and analyze the effluent at the sampling point for the parameter pH once in each day during the time period applicable to the plant under subsection 17 (4) or (5), and two more times in each 24-hour period beginning with the first analysis at the plant under this subsection in each day.</w:t>
      </w:r>
    </w:p>
    <w:p>
      <w:pPr>
        <w:pStyle w:val="P22"/>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w:t>
      </w:r>
    </w:p>
    <w:p>
      <w:pPr>
        <w:pStyle w:val="P22"/>
      </w:pPr>
      <w:r>
        <w:t xml:space="preserve">  </w:t>
      </w:r>
      <w:r>
        <w:rPr/>
        <w:tab/>
        <w:t xml:space="preserve">(7)  For the purposes of this section, a discharger </w:t>
      </w:r>
      <w:r>
        <w:rPr>
          <w:highlight w:val="yellow"/>
        </w:rPr>
        <w:t>shall</w:t>
      </w:r>
      <w:r>
        <w:rPr/>
        <w:t xml:space="preserve"> use either the sampling point established under section 8 on the stream or an alternate sampling point located downstream of the sampling point but before the point of discharge of the stream to surface water or to an industrial sewer used in common with another plant.</w:t>
      </w:r>
    </w:p>
    <w:p>
      <w:pPr>
        <w:pStyle w:val="P22"/>
      </w:pPr>
      <w:r>
        <w:t xml:space="preserve">  </w:t>
      </w:r>
      <w:r>
        <w:rPr/>
        <w:tab/>
        <w:t xml:space="preserve">(8)  Before using an alternate sampling point under subsection (7), a discharger </w:t>
      </w:r>
      <w:r>
        <w:rPr>
          <w:highlight w:val="yellow"/>
        </w:rPr>
        <w:t>shall</w:t>
      </w:r>
      <w:r>
        <w:rPr/>
        <w:t xml:space="preserve"> give the Director a written notice describing the location of the alternate sampling point, together with a revised version of the list and plot plan submitted under section 9 showing the alternate sampling point.  O. Reg. 562/94, s. 22.</w:t>
      </w:r>
    </w:p>
    <w:p>
      <w:pPr>
        <w:pStyle w:val="P15"/>
      </w:pPr>
      <w:bookmarkStart w:id="29" w:name="BK27"/>
      <w:bookmarkEnd w:id="29"/>
      <w:r>
        <w:t>Monitoring — Acute Lethality Testing — Rainbow Trout</w:t>
      </w:r>
    </w:p>
    <w:p>
      <w:pPr>
        <w:pStyle w:val="P21"/>
      </w:pPr>
      <w:r>
        <w:t xml:space="preserve">  </w:t>
      </w:r>
      <w:r>
        <w:rPr/>
        <w:t xml:space="preserve">  </w:t>
      </w:r>
      <w:r>
        <w:rPr/>
        <w:tab/>
      </w:r>
      <w:r>
        <w:rPr>
          <w:b/>
        </w:rPr>
        <w:t xml:space="preserve">23.  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236/07, s. 5.</w:t>
      </w:r>
    </w:p>
    <w:p>
      <w:pPr>
        <w:pStyle w:val="P22"/>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562/94, s. 23 (2).</w:t>
      </w:r>
    </w:p>
    <w:p>
      <w:pPr>
        <w:pStyle w:val="P22"/>
      </w:pPr>
      <w:r>
        <w:t xml:space="preserve">  </w:t>
      </w:r>
      <w:r>
        <w:rPr/>
        <w:tab/>
        <w:t xml:space="preserve">(3)  On one day in each month, on a day on which samples are picked up at the plant under subsection 19 (1), each discharger </w:t>
      </w:r>
      <w:r>
        <w:rPr>
          <w:highlight w:val="yellow"/>
        </w:rPr>
        <w:t>shall</w:t>
      </w:r>
      <w:r>
        <w:rPr/>
        <w:t xml:space="preserve"> collect and immediately pick up a grab sample from each process effluent sampling point at the discharger’s plant and </w:t>
      </w:r>
      <w:r>
        <w:rPr>
          <w:highlight w:val="yellow"/>
        </w:rPr>
        <w:t>shall</w:t>
      </w:r>
      <w:r>
        <w:rPr/>
        <w:t xml:space="preserve"> perform a rainbow trout acute lethality test on each sample.  O. Reg. 562/94, s. 23 (3).</w:t>
      </w:r>
    </w:p>
    <w:p>
      <w:pPr>
        <w:pStyle w:val="P22"/>
      </w:pPr>
      <w:r>
        <w:tab/>
        <w:t xml:space="preserve">(4)  For the purposes of this section, a discharger may, instead of using a process effluent sampling point on a stream, use an alternate sampling point located downstream of the process effluent sampling point but before the point of discharge of the stream to surface water or to an industrial sewer used in common with another plant.  O. Reg. 562/94, s. 23 (4).</w:t>
      </w:r>
    </w:p>
    <w:p>
      <w:pPr>
        <w:pStyle w:val="P22"/>
      </w:pPr>
      <w:r>
        <w:tab/>
        <w:t xml:space="preserve">(5)  Subsection (4) applies only if the process effluent in the stream is intentionally combined with cooling water effluent before discharge from the plant.  O. Reg. 562/94, s. 23 (5).</w:t>
      </w:r>
    </w:p>
    <w:p>
      <w:pPr>
        <w:pStyle w:val="P22"/>
      </w:pPr>
      <w:r>
        <w:t xml:space="preserve">  </w:t>
      </w:r>
      <w:r>
        <w:rPr/>
        <w:tab/>
        <w:t xml:space="preserve">(6)  There </w:t>
      </w:r>
      <w:r>
        <w:rPr>
          <w:highlight w:val="yellow"/>
        </w:rPr>
        <w:t>shall</w:t>
      </w:r>
      <w:r>
        <w:rPr/>
        <w:t xml:space="preserve"> be an interval of at least 15 days between successive pick-up days at the plant under subsection (3).  O. Reg. 562/94, s. 23 (6).</w:t>
      </w:r>
    </w:p>
    <w:p>
      <w:pPr>
        <w:pStyle w:val="P22"/>
      </w:pPr>
      <w:r>
        <w:t xml:space="preserve">  </w:t>
      </w:r>
      <w:r>
        <w:rPr/>
        <w:tab/>
        <w:t xml:space="preserve">(7)  All samples picked up under subsection (3) in a month </w:t>
      </w:r>
      <w:r>
        <w:rPr>
          <w:highlight w:val="yellow"/>
        </w:rPr>
        <w:t>shall</w:t>
      </w:r>
      <w:r>
        <w:rPr/>
        <w:t xml:space="preserve"> be picked up on the same day in the month.  O. Reg. 562/94, s. 23 (7).</w:t>
      </w:r>
    </w:p>
    <w:p>
      <w:pPr>
        <w:pStyle w:val="P22"/>
      </w:pPr>
      <w:r>
        <w:t xml:space="preserve">  </w:t>
      </w:r>
      <w:r>
        <w:rPr/>
        <w:tab/>
        <w:t xml:space="preserve">(8)  Where a discharger has performed tests under subsection (3) for 12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562/94, s. 23 (8).</w:t>
      </w:r>
    </w:p>
    <w:p>
      <w:pPr>
        <w:pStyle w:val="P22"/>
      </w:pPr>
      <w:r>
        <w:t xml:space="preserve">  </w:t>
      </w:r>
      <w:r>
        <w:rPr/>
        <w:tab/>
        <w:t xml:space="preserve">(9)  Samples picked up at a plant under subsection (8) </w:t>
      </w:r>
      <w:r>
        <w:rPr>
          <w:highlight w:val="yellow"/>
        </w:rPr>
        <w:t>shall</w:t>
      </w:r>
      <w:r>
        <w:rPr/>
        <w:t xml:space="preserve"> be picked up on a day on which samples are picked up at the plant under subsection (3).  O. Reg. 562/94, s. 23 (9).</w:t>
      </w:r>
    </w:p>
    <w:p>
      <w:pPr>
        <w:pStyle w:val="P22"/>
      </w:pPr>
      <w:r>
        <w:t xml:space="preserve">  </w:t>
      </w:r>
      <w:r>
        <w:rPr/>
        <w:tab/>
        <w:t xml:space="preserve">(10)  If no samples are being picked up at a plant under subsection (3) during a quarter, samples picked up at the plant during the quarter under subsection (8) </w:t>
      </w:r>
      <w:r>
        <w:rPr>
          <w:highlight w:val="yellow"/>
        </w:rPr>
        <w:t>shall</w:t>
      </w:r>
      <w:r>
        <w:rPr/>
        <w:t xml:space="preserve"> be picked up on a day on which samples are picked up at the plant under subsection 19 (1).  O. Reg. 562/94, s. 23 (10).</w:t>
      </w:r>
    </w:p>
    <w:p>
      <w:pPr>
        <w:pStyle w:val="P22"/>
      </w:pPr>
      <w:r>
        <w:t xml:space="preserve">  </w:t>
      </w:r>
      <w:r>
        <w:rPr/>
        <w:tab/>
        <w:t xml:space="preserve">(11)  There </w:t>
      </w:r>
      <w:r>
        <w:rPr>
          <w:highlight w:val="yellow"/>
        </w:rPr>
        <w:t>shall</w:t>
      </w:r>
      <w:r>
        <w:rPr/>
        <w:t xml:space="preserve"> be an interval of at least 45 days between successive pick-up days at the plant under subsection (8).  O. Reg. 562/94, s. 23 (11).</w:t>
      </w:r>
    </w:p>
    <w:p>
      <w:pPr>
        <w:pStyle w:val="P22"/>
      </w:pPr>
      <w:r>
        <w:t xml:space="preserve">  </w:t>
      </w:r>
      <w:r>
        <w:rPr/>
        <w:tab/>
        <w:t xml:space="preserve">(12)  All samples picked up under subsection (8) in a quarter </w:t>
      </w:r>
      <w:r>
        <w:rPr>
          <w:highlight w:val="yellow"/>
        </w:rPr>
        <w:t>shall</w:t>
      </w:r>
      <w:r>
        <w:rPr/>
        <w:t xml:space="preserve"> be picked up on the same day in the quarter.  O. Reg. 562/94, s. 23 (12).</w:t>
      </w:r>
    </w:p>
    <w:p>
      <w:pPr>
        <w:pStyle w:val="P22"/>
      </w:pPr>
      <w:r>
        <w:t xml:space="preserve">  </w:t>
      </w:r>
      <w:r>
        <w:rPr/>
        <w:tab/>
        <w:t xml:space="preserve">(13)  If a rainbow trout acute lethality test performed under subsection (8) on any sample from a sampling point results in mortality of more than 50 per cent of the test rainbow trout, subsections (8) to (12) cease to apply in respect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12 consecutive months result in mortality for no more than 50 per cent of the rainbow trout for each test.  O. Reg. 562/94, s. 23 (13).</w:t>
      </w:r>
    </w:p>
    <w:p>
      <w:pPr>
        <w:pStyle w:val="P22"/>
      </w:pPr>
      <w:r>
        <w:t xml:space="preserve">  </w:t>
      </w:r>
      <w:r>
        <w:rPr/>
        <w:tab/>
        <w:t xml:space="preserve">(14)  A discharger </w:t>
      </w:r>
      <w:r>
        <w:rPr>
          <w:highlight w:val="yellow"/>
        </w:rPr>
        <w:t>shall</w:t>
      </w:r>
      <w:r>
        <w:rPr/>
        <w:t xml:space="preserve"> notify the Director in writing of any change in the frequency of acute lethality testing under this Regulation at the discharger’s plant, within 30 days after the day on which the change begins.  O. Reg. 562/94, s. 23 (14).</w:t>
      </w:r>
    </w:p>
    <w:p>
      <w:pPr>
        <w:pStyle w:val="P22"/>
      </w:pPr>
      <w:r>
        <w:tab/>
        <w:t>(15), (16)  </w:t>
      </w:r>
      <w:r>
        <w:rPr>
          <w:rStyle w:val="C20"/>
        </w:rPr>
        <w:t>Revoked</w:t>
      </w:r>
      <w:r>
        <w:t xml:space="preserve">:  O. Reg. 562/94, s. 23 (17).</w:t>
      </w:r>
    </w:p>
    <w:p>
      <w:pPr>
        <w:pStyle w:val="P22"/>
      </w:pPr>
      <w:r>
        <w:tab/>
        <w:t>(17)  </w:t>
      </w:r>
      <w:r>
        <w:rPr>
          <w:rStyle w:val="C20"/>
        </w:rPr>
        <w:t>Spent</w:t>
      </w:r>
      <w:r>
        <w:t xml:space="preserve">:  O. Reg. 562/94, s. 23 (17).</w:t>
      </w:r>
    </w:p>
    <w:p>
      <w:pPr>
        <w:pStyle w:val="P22"/>
      </w:pPr>
      <w:r>
        <w:t xml:space="preserve">  </w:t>
      </w:r>
      <w:r>
        <w:rPr/>
        <w:tab/>
        <w:t xml:space="preserve">(18)  Subsections (2) to (17) apply with necessary modifications to each cooling water effluent sampling point and, for the purpose, the reference in subsection (3) to each process effluent sampling point </w:t>
      </w:r>
      <w:r>
        <w:rPr>
          <w:highlight w:val="yellow"/>
        </w:rPr>
        <w:t>shall</w:t>
      </w:r>
      <w:r>
        <w:rPr/>
        <w:t xml:space="preserve"> be deemed to be a reference to each cooling water effluent sampling point and the reference in subsections (3) and (10) to subsection 19 (1) </w:t>
      </w:r>
      <w:r>
        <w:rPr>
          <w:highlight w:val="yellow"/>
        </w:rPr>
        <w:t>shall</w:t>
      </w:r>
      <w:r>
        <w:rPr/>
        <w:t xml:space="preserve"> be deemed to be a reference to subsection 26 (1).  O. Reg. 562/94, s. 23 (18).</w:t>
      </w:r>
    </w:p>
    <w:p>
      <w:pPr>
        <w:pStyle w:val="P22"/>
      </w:pPr>
      <w:r>
        <w:tab/>
        <w:t xml:space="preserve">(19)  A discharger need not perform any monitoring under subsection (18) in any month in which the discharger uses an alternate sampling point in accordance with subsection (4).  O. Reg. 562/94, s. 23 (19).</w:t>
      </w:r>
    </w:p>
    <w:p>
      <w:pPr>
        <w:pStyle w:val="P15"/>
      </w:pPr>
      <w:bookmarkStart w:id="30" w:name="BK28"/>
      <w:bookmarkEnd w:id="30"/>
      <w:r>
        <w:t xml:space="preserve">Monitoring — Acute Lethality Testing — </w:t>
      </w:r>
      <w:r>
        <w:rPr>
          <w:i w:val="1"/>
        </w:rPr>
        <w:t>Daphnia magna</w:t>
      </w:r>
    </w:p>
    <w:p>
      <w:pPr>
        <w:pStyle w:val="P21"/>
      </w:pPr>
      <w:r>
        <w:t xml:space="preserve">  </w:t>
      </w:r>
      <w:r>
        <w:rPr/>
        <w:t xml:space="preserve">  </w:t>
      </w:r>
      <w:r>
        <w:rPr/>
        <w:tab/>
      </w:r>
      <w:r>
        <w:rPr>
          <w:b/>
        </w:rPr>
        <w:t xml:space="preserve">24.  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5"/>
        </w:rPr>
        <w:t>Daphnia magna</w:t>
      </w:r>
      <w:r>
        <w:rPr/>
        <w:t>”, as amended from time to time.  O. Reg. 236/07, s. 6.</w:t>
      </w:r>
    </w:p>
    <w:p>
      <w:pPr>
        <w:pStyle w:val="P22"/>
      </w:pPr>
      <w:r>
        <w:t xml:space="preserve">  </w:t>
      </w:r>
      <w:r>
        <w:rPr/>
        <w:tab/>
        <w:t xml:space="preserve">(2)  Subsections 23 (2) to (19) apply with necessary modifications to </w:t>
      </w:r>
      <w:r>
        <w:rPr>
          <w:rStyle w:val="C5"/>
        </w:rPr>
        <w:t>Daphnia magna</w:t>
      </w:r>
      <w:r>
        <w:rPr/>
        <w:t xml:space="preserve"> acute lethality tests and, for the purpose, a reference to rainbow trout </w:t>
      </w:r>
      <w:r>
        <w:rPr>
          <w:highlight w:val="yellow"/>
        </w:rPr>
        <w:t>shall</w:t>
      </w:r>
      <w:r>
        <w:rPr/>
        <w:t xml:space="preserve"> be deemed to be a reference to </w:t>
      </w:r>
      <w:r>
        <w:rPr>
          <w:rStyle w:val="C5"/>
        </w:rPr>
        <w:t>Daphnia magna</w:t>
      </w:r>
      <w:r>
        <w:rPr/>
        <w:t>.  O. Reg. 562/94, s. 24 (2).</w:t>
      </w:r>
    </w:p>
    <w:p>
      <w:pPr>
        <w:pStyle w:val="P22"/>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23, to the extent possible having regard to the frequency of monitoring </w:t>
      </w:r>
      <w:r>
        <w:rPr>
          <w:highlight w:val="cyan"/>
        </w:rPr>
        <w:t>required</w:t>
      </w:r>
      <w:r>
        <w:rPr/>
        <w:t xml:space="preserve"> at the sampling point under this section and section 23.  O. Reg. 562/94, s. 24 (3).</w:t>
      </w:r>
    </w:p>
    <w:p>
      <w:pPr>
        <w:pStyle w:val="P15"/>
      </w:pPr>
      <w:bookmarkStart w:id="31" w:name="BK29"/>
      <w:bookmarkEnd w:id="31"/>
      <w:r>
        <w:t xml:space="preserve">Monitoring — Chronic Toxicity Testing — Fathead Minnow and </w:t>
      </w:r>
      <w:r>
        <w:rPr>
          <w:i w:val="1"/>
        </w:rPr>
        <w:t>Ceriodaphnia dubia</w:t>
      </w:r>
    </w:p>
    <w:p>
      <w:pPr>
        <w:pStyle w:val="P21"/>
      </w:pPr>
      <w:r>
        <w:t xml:space="preserve">  </w:t>
      </w:r>
      <w:r>
        <w:rPr/>
        <w:t xml:space="preserve">  </w:t>
      </w:r>
      <w:r>
        <w:rPr/>
        <w:tab/>
      </w:r>
      <w:r>
        <w:rPr>
          <w:b/>
        </w:rPr>
        <w:t xml:space="preserve">25.  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236/07, s. 7.</w:t>
      </w:r>
    </w:p>
    <w:p>
      <w:pPr>
        <w:pStyle w:val="P22"/>
      </w:pPr>
      <w:r>
        <w:t xml:space="preserve">  </w:t>
      </w:r>
      <w:r>
        <w:rPr/>
        <w:t xml:space="preserve">  </w:t>
      </w:r>
      <w:r>
        <w:rPr/>
        <w:tab/>
        <w:t xml:space="preserve">(2)  Where a discharger is </w:t>
      </w:r>
      <w:r>
        <w:rPr>
          <w:highlight w:val="cyan"/>
        </w:rPr>
        <w:t>required</w:t>
      </w:r>
      <w:r>
        <w:rPr/>
        <w:t xml:space="preserve"> to perform a seven-day </w:t>
      </w:r>
      <w:r>
        <w:rPr>
          <w:rStyle w:val="C5"/>
        </w:rPr>
        <w:t xml:space="preserve">Ceriodaphnia dubia </w:t>
      </w:r>
      <w:r>
        <w:rPr/>
        <w:t xml:space="preserve">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rStyle w:val="C5"/>
        </w:rPr>
        <w:t>Ceriodaphnia dubia</w:t>
      </w:r>
      <w:r>
        <w:rPr/>
        <w:t>”, as amended from time to time.  O. Reg. 236/07, s. 7.</w:t>
      </w:r>
    </w:p>
    <w:p>
      <w:pPr>
        <w:pStyle w:val="P22"/>
      </w:pPr>
      <w:r>
        <w:t xml:space="preserve">  </w:t>
      </w:r>
      <w:r>
        <w:rPr/>
        <w:tab/>
        <w:t xml:space="preserve">(3)  On one day in each semi-annual period, on a day on which samples are picked up at the plant under subsection 19 (1), each discharger </w:t>
      </w:r>
      <w:r>
        <w:rPr>
          <w:highlight w:val="yellow"/>
        </w:rPr>
        <w:t>shall</w:t>
      </w:r>
      <w:r>
        <w:rPr/>
        <w:t xml:space="preserve"> collect and immediately pick up a grab sample from each process effluent sampling point at the discharger’s plant, and </w:t>
      </w:r>
      <w:r>
        <w:rPr>
          <w:highlight w:val="yellow"/>
        </w:rPr>
        <w:t>shall</w:t>
      </w:r>
      <w:r>
        <w:rPr/>
        <w:t xml:space="preserve"> perform a seven-day fathead minnow growth inhibition test and a seven-day </w:t>
      </w:r>
      <w:r>
        <w:rPr>
          <w:rStyle w:val="C5"/>
        </w:rPr>
        <w:t>Ceriodaphnia dubia</w:t>
      </w:r>
      <w:r>
        <w:rPr/>
        <w:t xml:space="preserve"> reproduction inhibition and survivability test on each sample.  O. Reg. 562/94, s. 25 (3).</w:t>
      </w:r>
    </w:p>
    <w:p>
      <w:pPr>
        <w:pStyle w:val="P22"/>
      </w:pPr>
      <w:r>
        <w:t xml:space="preserve">  </w:t>
      </w:r>
      <w:r>
        <w:rPr/>
        <w:tab/>
        <w:t xml:space="preserve">(4)  There </w:t>
      </w:r>
      <w:r>
        <w:rPr>
          <w:highlight w:val="yellow"/>
        </w:rPr>
        <w:t>shall</w:t>
      </w:r>
      <w:r>
        <w:rPr/>
        <w:t xml:space="preserve"> be an interval of at least 90 days between successive pick-up days at the plant under subsection (3).  O. Reg. 562/94, s. 25 (4).</w:t>
      </w:r>
    </w:p>
    <w:p>
      <w:pPr>
        <w:pStyle w:val="P22"/>
      </w:pPr>
      <w:r>
        <w:t xml:space="preserve">  </w:t>
      </w:r>
      <w:r>
        <w:rPr/>
        <w:tab/>
        <w:t xml:space="preserve">(5)  All samples picked up under subsection (3) in a semi-annual period </w:t>
      </w:r>
      <w:r>
        <w:rPr>
          <w:highlight w:val="yellow"/>
        </w:rPr>
        <w:t>shall</w:t>
      </w:r>
      <w:r>
        <w:rPr/>
        <w:t xml:space="preserve"> be picked up on the same day in the semi-annual period.  O. Reg. 562/94, s. 25 (5).</w:t>
      </w:r>
    </w:p>
    <w:p>
      <w:pPr>
        <w:pStyle w:val="P22"/>
      </w:pPr>
      <w:r>
        <w:tab/>
        <w:t xml:space="preserve">(6)  A discharger need not collect a sample from a sampling point in accordance with subsection (3) until 12 consecutive monthly rainbow trout acute lethality tests and 12 consecutive monthly </w:t>
      </w:r>
      <w:r>
        <w:rPr>
          <w:rStyle w:val="C5"/>
        </w:rPr>
        <w:t>Daphnia magna</w:t>
      </w:r>
      <w:r>
        <w:t xml:space="preserve"> acute lethality tests performed on samples collected at the sampling point at a discharger’s plant result in mortality for no more than 50 per cent of the test organisms in 100 per cent effluent.  O. Reg. 562/94, s. 25 (6).</w:t>
      </w:r>
    </w:p>
    <w:p>
      <w:pPr>
        <w:pStyle w:val="P15"/>
      </w:pPr>
      <w:bookmarkStart w:id="32" w:name="BK30"/>
      <w:bookmarkEnd w:id="32"/>
      <w:r>
        <w:t>Monitoring — Cooling Water Effluent — Weekly Assessment</w:t>
      </w:r>
    </w:p>
    <w:p>
      <w:pPr>
        <w:pStyle w:val="P21"/>
      </w:pPr>
      <w:r>
        <w:t xml:space="preserve">  </w:t>
      </w:r>
      <w:r>
        <w:rPr/>
        <w:tab/>
      </w:r>
      <w:r>
        <w:rPr>
          <w:b/>
        </w:rPr>
        <w:t xml:space="preserve">26.  </w:t>
      </w:r>
      <w:r>
        <w:rPr/>
        <w:t xml:space="preserve">(1)  Each discharger </w:t>
      </w:r>
      <w:r>
        <w:rPr>
          <w:highlight w:val="yellow"/>
        </w:rPr>
        <w:t>shall</w:t>
      </w:r>
      <w:r>
        <w:rPr/>
        <w:t xml:space="preserve">, on one day in each week, pick up a set of samples collected at each cooling water effluent sampling point at the discharger’s plant and </w:t>
      </w:r>
      <w:r>
        <w:rPr>
          <w:highlight w:val="yellow"/>
        </w:rPr>
        <w:t>shall</w:t>
      </w:r>
      <w:r>
        <w:rPr/>
        <w:t xml:space="preserve"> analyze each set of samples for each assessment parameter listed in the table in Schedule 3 for that discharger’s plant. O. Reg. 307/17, s. 6.</w:t>
      </w:r>
    </w:p>
    <w:p>
      <w:pPr>
        <w:pStyle w:val="P22"/>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2"/>
      </w:pPr>
      <w:r>
        <w:t xml:space="preserve">  </w:t>
      </w:r>
      <w:r>
        <w:rPr/>
        <w:tab/>
        <w:t xml:space="preserve">(3)  All samples picked up under subsection (1) in a week </w:t>
      </w:r>
      <w:r>
        <w:rPr>
          <w:highlight w:val="yellow"/>
        </w:rPr>
        <w:t>shall</w:t>
      </w:r>
      <w:r>
        <w:rPr/>
        <w:t xml:space="preserve"> be picked up on the same day in the week.  O. Reg. 562/94, s. 26.</w:t>
      </w:r>
    </w:p>
    <w:p>
      <w:pPr>
        <w:pStyle w:val="P17"/>
        <w:rPr>
          <w:lang w:val="fr-CA"/>
        </w:rPr>
      </w:pPr>
      <w:bookmarkStart w:id="33" w:name="BK31"/>
      <w:bookmarkEnd w:id="33"/>
      <w:r>
        <w:rPr>
          <w:lang w:val="fr-CA"/>
        </w:rPr>
        <w:t>PART VI</w:t>
        <w:br w:type="textWrapping"/>
        <w:t>EFFLUENT VOLUME</w:t>
      </w:r>
    </w:p>
    <w:p>
      <w:pPr>
        <w:pStyle w:val="P15"/>
      </w:pPr>
      <w:bookmarkStart w:id="34" w:name="BK32"/>
      <w:bookmarkEnd w:id="34"/>
      <w:r>
        <w:t>Flow Measurement — General</w:t>
      </w:r>
    </w:p>
    <w:p>
      <w:pPr>
        <w:pStyle w:val="P21"/>
      </w:pPr>
      <w:r>
        <w:tab/>
      </w:r>
      <w:r>
        <w:rPr>
          <w:b w:val="1"/>
        </w:rPr>
        <w:t>27.  </w:t>
      </w:r>
      <w:r>
        <w:t>(1)  For the purposes of this section, a volume of effluent for a stream for a day is the volume that flowed past the sampling point established under Part II on the stream during the 24-hour period preceding the pick-up of the first sample picked up from the sampling point for the day.</w:t>
      </w:r>
    </w:p>
    <w:p>
      <w:pPr>
        <w:pStyle w:val="P22"/>
      </w:pPr>
      <w:r>
        <w:t xml:space="preserve">  </w:t>
      </w:r>
      <w:r>
        <w:rPr/>
        <w:tab/>
        <w:t xml:space="preserve">(2)  Each discharger </w:t>
      </w:r>
      <w:r>
        <w:rPr>
          <w:highlight w:val="yellow"/>
        </w:rPr>
        <w:t>shall</w:t>
      </w:r>
      <w:r>
        <w:rPr/>
        <w:t xml:space="preserve"> determine in cubic metres a daily volume of effluent for each process effluent stream at the discharger’s plant for each day on which a sample is collected under this Regulation from the stream, by integration of continuous flowrate measurements.</w:t>
      </w:r>
    </w:p>
    <w:p>
      <w:pPr>
        <w:pStyle w:val="P22"/>
      </w:pPr>
      <w:r>
        <w:tab/>
        <w:t>(3)  Despite subsection (2), where a process effluent stream discharges on an intermittent basis, the daily volumes for the stream may be determined either by integration of continuous flowrate measurements or by the summation of individual batch volume measurements.</w:t>
      </w:r>
    </w:p>
    <w:p>
      <w:pPr>
        <w:pStyle w:val="P22"/>
      </w:pPr>
      <w:r>
        <w:t xml:space="preserve">  </w:t>
      </w:r>
      <w:r>
        <w:rPr/>
        <w:tab/>
        <w:t xml:space="preserve">(4)  Each discharger </w:t>
      </w:r>
      <w:r>
        <w:rPr>
          <w:highlight w:val="yellow"/>
        </w:rPr>
        <w:t>shall</w:t>
      </w:r>
      <w:r>
        <w:rPr/>
        <w:t xml:space="preserve"> use flow measurement methods that allow the daily volumes for process effluent streams to be determined to an accuracy of within plus or minus 15 per cent.</w:t>
      </w:r>
    </w:p>
    <w:p>
      <w:pPr>
        <w:pStyle w:val="P22"/>
      </w:pPr>
      <w:r>
        <w:t xml:space="preserve">  </w:t>
      </w:r>
      <w:r>
        <w:rPr/>
        <w:tab/>
        <w:t xml:space="preserve">(5)  Each discharger </w:t>
      </w:r>
      <w:r>
        <w:rPr>
          <w:highlight w:val="yellow"/>
        </w:rPr>
        <w:t>shall</w:t>
      </w:r>
      <w:r>
        <w:rPr/>
        <w:t xml:space="preserve"> determine in cubic metres a daily volume of effluent for each cooling water effluent stream at the discharger’s plant for each day on which a sample is collected under this Regulation from the stream.</w:t>
      </w:r>
    </w:p>
    <w:p>
      <w:pPr>
        <w:pStyle w:val="P22"/>
      </w:pPr>
      <w:r>
        <w:t xml:space="preserve">  </w:t>
      </w:r>
      <w:r>
        <w:rPr/>
        <w:tab/>
        <w:t xml:space="preserve">(6)  Each discharger </w:t>
      </w:r>
      <w:r>
        <w:rPr>
          <w:highlight w:val="yellow"/>
        </w:rPr>
        <w:t>shall</w:t>
      </w:r>
      <w:r>
        <w:rPr/>
        <w:t xml:space="preserve"> use flow measurement methods that allow the daily volumes for cooling water effluent streams to be determined to an accuracy of within plus or minus 20 per cent.</w:t>
      </w:r>
    </w:p>
    <w:p>
      <w:pPr>
        <w:pStyle w:val="P22"/>
      </w:pPr>
      <w:r>
        <w:t xml:space="preserve">  </w:t>
      </w:r>
      <w:r>
        <w:rPr/>
        <w:tab/>
        <w:t xml:space="preserve">(7)  Each discharger </w:t>
      </w:r>
      <w:r>
        <w:rPr>
          <w:highlight w:val="yellow"/>
        </w:rPr>
        <w:t>shall</w:t>
      </w:r>
      <w:r>
        <w:rPr/>
        <w:t>, no later than the day that this section comes into force, determine by calibration or confirm by means of a certified report of a registered professional engineer of the Province of Ontario that each flow measurement method used under subsections (2) and (3) meets the accuracy requirements of subsection (4) and that each flow measurement method used under subsection (5) meets the accuracy requirements of subsection (6).</w:t>
      </w:r>
    </w:p>
    <w:p>
      <w:pPr>
        <w:pStyle w:val="P22"/>
      </w:pPr>
      <w:r>
        <w:t xml:space="preserve">  </w:t>
      </w:r>
      <w:r>
        <w:rPr/>
        <w:tab/>
        <w:t xml:space="preserve">(8)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(4) or (6), as the case may be, within two weeks after the day on which the new or altered method or system is used.</w:t>
      </w:r>
    </w:p>
    <w:p>
      <w:pPr>
        <w:pStyle w:val="P22"/>
      </w:pPr>
      <w:r>
        <w:t xml:space="preserve">  </w:t>
      </w:r>
      <w:r>
        <w:rPr/>
        <w:tab/>
        <w:t xml:space="preserve">(9)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2"/>
      </w:pPr>
      <w:r>
        <w:t xml:space="preserve">  </w:t>
      </w:r>
      <w:r>
        <w:rPr/>
        <w:tab/>
        <w:t xml:space="preserve">(10)  Each discharger </w:t>
      </w:r>
      <w:r>
        <w:rPr>
          <w:highlight w:val="yellow"/>
        </w:rPr>
        <w:t>shall</w:t>
      </w:r>
      <w:r>
        <w:rPr/>
        <w:t xml:space="preserve"> use reasonable efforts to set up each flow measurement system used for the purposes of this section in a way that permits inspection by a provincial officer.  O. Reg. 562/94, s. 27.</w:t>
      </w:r>
    </w:p>
    <w:p>
      <w:pPr>
        <w:pStyle w:val="P15"/>
        <w:rPr>
          <w:caps w:val="1"/>
        </w:rPr>
      </w:pPr>
      <w:bookmarkStart w:id="35" w:name="BK33"/>
      <w:bookmarkEnd w:id="35"/>
      <w:r>
        <w:t xml:space="preserve">Flow Measurement — Alternate Sampling Points Used under Section </w:t>
      </w:r>
      <w:r>
        <w:rPr>
          <w:caps w:val="1"/>
        </w:rPr>
        <w:t>23</w:t>
      </w:r>
    </w:p>
    <w:p>
      <w:pPr>
        <w:pStyle w:val="P21"/>
      </w:pPr>
      <w:r>
        <w:tab/>
      </w:r>
      <w:r>
        <w:rPr>
          <w:b w:val="1"/>
        </w:rPr>
        <w:t>28.  </w:t>
      </w:r>
      <w:r>
        <w:t>(1)  For the purposes of this section, a daily alternate volume of effluent for a stream for a day is the volume that flowed past the alternate sampling point established on the stream for the purposes of subsection 23 (4) during the 24-hour period preceding the pick-up of the first sample picked up from the alternate sampling point for the day.</w:t>
      </w:r>
    </w:p>
    <w:p>
      <w:pPr>
        <w:pStyle w:val="P22"/>
      </w:pPr>
      <w:r>
        <w:t xml:space="preserve">  </w:t>
      </w:r>
      <w:r>
        <w:rPr/>
        <w:tab/>
        <w:t xml:space="preserve">(2)  Each discharger </w:t>
      </w:r>
      <w:r>
        <w:rPr>
          <w:highlight w:val="yellow"/>
        </w:rPr>
        <w:t>shall</w:t>
      </w:r>
      <w:r>
        <w:rPr/>
        <w:t xml:space="preserve"> determine in cubic metres a daily alternate volume of effluent for each stream at the discharger’s plant on which an alternate sampling point has been established for the purposes of section 23, for each day on which a sample is collected under this Regulation from the alternate sampling point, by integration of continuous flowrate measurements.</w:t>
      </w:r>
    </w:p>
    <w:p>
      <w:pPr>
        <w:pStyle w:val="P22"/>
      </w:pPr>
      <w:r>
        <w:tab/>
        <w:t xml:space="preserve">(3)  Subsections 27 (3), (4), (7), (8), (9) and (10) apply with necessary modifications to determinations under this section.  O. Reg. 562/94, s. 28.</w:t>
      </w:r>
    </w:p>
    <w:p>
      <w:pPr>
        <w:pStyle w:val="P15"/>
      </w:pPr>
      <w:bookmarkStart w:id="36" w:name="BK34"/>
      <w:bookmarkEnd w:id="36"/>
      <w:r>
        <w:t>Calculation of Plant Volumes</w:t>
      </w:r>
    </w:p>
    <w:p>
      <w:pPr>
        <w:pStyle w:val="P21"/>
      </w:pPr>
      <w:r>
        <w:t xml:space="preserve">  </w:t>
      </w:r>
      <w:r>
        <w:rPr/>
        <w:tab/>
      </w:r>
      <w:r>
        <w:rPr>
          <w:b/>
        </w:rPr>
        <w:t xml:space="preserve">29.  </w:t>
      </w:r>
      <w:r>
        <w:rPr/>
        <w:t xml:space="preserve">(1)  Each discharger </w:t>
      </w:r>
      <w:r>
        <w:rPr>
          <w:highlight w:val="yellow"/>
        </w:rPr>
        <w:t>shall</w:t>
      </w:r>
      <w:r>
        <w:rPr/>
        <w:t xml:space="preserve"> calculate, in cubic metres, a daily process effluent plant volume for each day.</w:t>
      </w:r>
    </w:p>
    <w:p>
      <w:pPr>
        <w:pStyle w:val="P22"/>
      </w:pPr>
      <w:r>
        <w:tab/>
        <w:t>(2)  For the purposes of subsection (1), a process effluent plant volume for a day is the sum of the daily process effluent volumes determined under section 27 for the day.</w:t>
      </w:r>
    </w:p>
    <w:p>
      <w:pPr>
        <w:pStyle w:val="P22"/>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2"/>
      </w:pPr>
      <w:r>
        <w:t xml:space="preserve">  </w:t>
      </w:r>
      <w:r>
        <w:rPr/>
        <w:tab/>
        <w:t xml:space="preserve">(4)  Each discharger </w:t>
      </w:r>
      <w:r>
        <w:rPr>
          <w:highlight w:val="yellow"/>
        </w:rPr>
        <w:t>shall</w:t>
      </w:r>
      <w:r>
        <w:rPr/>
        <w:t xml:space="preserve"> calculate, in cubic metres, a daily cooling water effluent plant volume for each day.</w:t>
      </w:r>
    </w:p>
    <w:p>
      <w:pPr>
        <w:pStyle w:val="P22"/>
      </w:pPr>
      <w:r>
        <w:tab/>
        <w:t>(5)  For the purposes of subsection (4), a cooling water effluent plant volume for a day is the sum of the daily cooling water volumes determined under section 27 for the day.</w:t>
      </w:r>
    </w:p>
    <w:p>
      <w:pPr>
        <w:pStyle w:val="P22"/>
      </w:pPr>
      <w:r>
        <w:t xml:space="preserve">  </w:t>
      </w:r>
      <w:r>
        <w:rPr/>
        <w:tab/>
        <w:t xml:space="preserve">(6)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(4) for the month.</w:t>
      </w:r>
    </w:p>
    <w:p>
      <w:pPr>
        <w:pStyle w:val="P22"/>
      </w:pPr>
      <w:r>
        <w:t xml:space="preserve">  </w:t>
      </w:r>
      <w:r>
        <w:rPr/>
        <w:tab/>
        <w:t xml:space="preserve">(7)  Each discharger </w:t>
      </w:r>
      <w:r>
        <w:rPr>
          <w:highlight w:val="yellow"/>
        </w:rPr>
        <w:t>shall</w:t>
      </w:r>
      <w:r>
        <w:rPr/>
        <w:t xml:space="preserve"> calculate, in cubic metres, a monthly average alternate volume of effluent for the discharger’s plant for each month, by taking the arithmetic mean of the daily alternate volumes determined under section 28 for the month.  O. Reg. 562/94, s. 29.</w:t>
      </w:r>
    </w:p>
    <w:p>
      <w:pPr>
        <w:pStyle w:val="P17"/>
      </w:pPr>
      <w:bookmarkStart w:id="37" w:name="BK35"/>
      <w:bookmarkEnd w:id="37"/>
      <w:r>
        <w:t>PART VII</w:t>
        <w:br w:type="textWrapping"/>
        <w:t>STORM WATER CONTROL STUDY</w:t>
      </w:r>
    </w:p>
    <w:p>
      <w:pPr>
        <w:pStyle w:val="P15"/>
      </w:pPr>
      <w:bookmarkStart w:id="38" w:name="BK36"/>
      <w:bookmarkEnd w:id="38"/>
      <w:r>
        <w:t>Storm Water Control Study</w:t>
      </w:r>
    </w:p>
    <w:p>
      <w:pPr>
        <w:pStyle w:val="P21"/>
      </w:pPr>
      <w:r>
        <w:t xml:space="preserve">  </w:t>
      </w:r>
      <w:r>
        <w:rPr/>
        <w:tab/>
      </w:r>
      <w:r>
        <w:rPr>
          <w:b/>
        </w:rPr>
        <w:t xml:space="preserve">30.  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w:t>
      </w:r>
    </w:p>
    <w:p>
      <w:pPr>
        <w:pStyle w:val="P22"/>
      </w:pPr>
      <w:r>
        <w:tab/>
        <w:t>(2)  A discharger need not comply with subsection (1) in respect of the discharger’s plant if,</w:t>
      </w:r>
    </w:p>
    <w:p>
      <w:pPr>
        <w:pStyle w:val="P11"/>
      </w:pPr>
      <w:r>
        <w:tab/>
        <w:t>(a)</w:t>
        <w:tab/>
        <w:t>the plant meets the exemption criteria set out in the Ministry of Environment and Energy publication entitled “Protocol for Conducting a Storm Water Control Study”, dated August, 1994; and</w:t>
      </w:r>
    </w:p>
    <w:p>
      <w:pPr>
        <w:pStyle w:val="P11"/>
      </w:pPr>
      <w:r>
        <w:tab/>
        <w:t>(b)</w:t>
        <w:tab/>
        <w:t>the discharger notifies the Director in writing, by August 28, 1995, that the plant meets the exemption criteria referred to in clause (a).</w:t>
      </w:r>
    </w:p>
    <w:p>
      <w:pPr>
        <w:pStyle w:val="P22"/>
      </w:pPr>
      <w:r>
        <w:t xml:space="preserve">  </w:t>
      </w:r>
      <w:r>
        <w:rPr/>
        <w:tab/>
        <w:t xml:space="preserve">(3)  Subject to subsection (4), a discharger </w:t>
      </w:r>
      <w:r>
        <w:rPr>
          <w:highlight w:val="yellow"/>
        </w:rPr>
        <w:t>shall</w:t>
      </w:r>
      <w:r>
        <w:rPr/>
        <w:t xml:space="preserve"> complete the storm water control study in respect of the discharger’s plant by August 26, 1996.  O. Reg. 562/94, s. 30 (1-3).</w:t>
      </w:r>
    </w:p>
    <w:p>
      <w:pPr>
        <w:pStyle w:val="P22"/>
      </w:pPr>
      <w:r>
        <w:tab/>
        <w:t>(4)  A discharger may postpone completion of the storm water control study in respect of the discharger’s plant until August 26, 1998 if,</w:t>
      </w:r>
    </w:p>
    <w:p>
      <w:pPr>
        <w:pStyle w:val="P11"/>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11"/>
      </w:pPr>
      <w:r>
        <w:tab/>
        <w:t>(b)</w:t>
        <w:tab/>
        <w:t xml:space="preserve">the discharger notifies the Director in writing, by August 26, 1996, of the plans referred to in clause (a).  O. Reg. 562/94, s. 30 (4); O. Reg. 526/95, s. 4.</w:t>
      </w:r>
    </w:p>
    <w:p>
      <w:pPr>
        <w:pStyle w:val="P22"/>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562/94, s. 30 (5).</w:t>
      </w:r>
    </w:p>
    <w:p>
      <w:pPr>
        <w:pStyle w:val="P17"/>
      </w:pPr>
      <w:bookmarkStart w:id="39" w:name="BK37"/>
      <w:bookmarkEnd w:id="39"/>
      <w:r>
        <w:t>PART VIII</w:t>
        <w:br w:type="textWrapping"/>
        <w:t>RECORDS AND REPORTS</w:t>
      </w:r>
    </w:p>
    <w:p>
      <w:pPr>
        <w:pStyle w:val="P15"/>
      </w:pPr>
      <w:bookmarkStart w:id="40" w:name="BK38"/>
      <w:bookmarkEnd w:id="40"/>
      <w:r>
        <w:t>Record Keeping</w:t>
      </w:r>
    </w:p>
    <w:p>
      <w:pPr>
        <w:pStyle w:val="P21"/>
      </w:pPr>
      <w:r>
        <w:t xml:space="preserve">  </w:t>
      </w:r>
      <w:r>
        <w:rPr/>
        <w:tab/>
      </w:r>
      <w:r>
        <w:rPr>
          <w:b/>
        </w:rPr>
        <w:t xml:space="preserve">31.  </w:t>
      </w:r>
      <w:r>
        <w:rPr/>
        <w:t xml:space="preserve">(1)  Each discharger </w:t>
      </w:r>
      <w:r>
        <w:rPr>
          <w:highlight w:val="yellow"/>
        </w:rPr>
        <w:t>shall</w:t>
      </w:r>
      <w:r>
        <w:rPr/>
        <w:t xml:space="preserve"> keep records, in an electronic format acceptable to the Director, of all analytical results obtained under sections 18, 19, 20, 22 and 26, all calculations performed under sections 12, 13 and 14 and all determinations and calculations made or performed under sections 27, 28 and 29.</w:t>
      </w:r>
    </w:p>
    <w:p>
      <w:pPr>
        <w:pStyle w:val="P22"/>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pick-up, the sampling procedures used, and any incidents likely to affect the analytical results.</w:t>
      </w:r>
    </w:p>
    <w:p>
      <w:pPr>
        <w:pStyle w:val="P22"/>
      </w:pPr>
      <w:r>
        <w:t xml:space="preserve">  </w:t>
      </w:r>
      <w:r>
        <w:rPr/>
        <w:tab/>
        <w:t xml:space="preserve">(3)  Each discharger </w:t>
      </w:r>
      <w:r>
        <w:rPr>
          <w:highlight w:val="yellow"/>
        </w:rPr>
        <w:t>shall</w:t>
      </w:r>
      <w:r>
        <w:rPr/>
        <w:t xml:space="preserve"> keep records of the results of all monitoring performed under sections 21 and 23 to 25.</w:t>
      </w:r>
    </w:p>
    <w:p>
      <w:pPr>
        <w:pStyle w:val="P22"/>
      </w:pPr>
      <w:r>
        <w:t xml:space="preserve">  </w:t>
      </w:r>
      <w:r>
        <w:rPr/>
        <w:tab/>
        <w:t xml:space="preserve">(4)  Each discharger </w:t>
      </w:r>
      <w:r>
        <w:rPr>
          <w:highlight w:val="yellow"/>
        </w:rPr>
        <w:t>shall</w:t>
      </w:r>
      <w:r>
        <w:rPr/>
        <w:t xml:space="preserve"> keep records of all maintenance and calibration procedures performed under sections 27 and 28.</w:t>
      </w:r>
    </w:p>
    <w:p>
      <w:pPr>
        <w:pStyle w:val="P22"/>
      </w:pPr>
      <w:r>
        <w:t xml:space="preserve">  </w:t>
      </w:r>
      <w:r>
        <w:rPr/>
        <w:tab/>
        <w:t xml:space="preserve">(5)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2"/>
      </w:pPr>
      <w:r>
        <w:t xml:space="preserve">  </w:t>
      </w:r>
      <w:r>
        <w:rPr/>
        <w:tab/>
        <w:t xml:space="preserve">(6)  Each discharger </w:t>
      </w:r>
      <w:r>
        <w:rPr>
          <w:highlight w:val="yellow"/>
        </w:rPr>
        <w:t>shall</w:t>
      </w:r>
      <w:r>
        <w:rPr/>
        <w:t xml:space="preserve"> keep records of any incident in which process effluent is discharged from the discharger’s plant without flowing past a sampling point established on a process effluent stream in accordance with Part II before being discharged, stating the date, duration, cause and nature of each incident.</w:t>
      </w:r>
    </w:p>
    <w:p>
      <w:pPr>
        <w:pStyle w:val="P22"/>
      </w:pPr>
      <w:r>
        <w:t xml:space="preserve">  </w:t>
      </w:r>
      <w:r>
        <w:rPr/>
        <w:tab/>
        <w:t xml:space="preserve">(7)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w:t>
      </w:r>
    </w:p>
    <w:p>
      <w:pPr>
        <w:pStyle w:val="P22"/>
      </w:pPr>
      <w:r>
        <w:t xml:space="preserve">  </w:t>
      </w:r>
      <w:r>
        <w:rPr/>
        <w:tab/>
        <w:t xml:space="preserve">(8)  Each discharger </w:t>
      </w:r>
      <w:r>
        <w:rPr>
          <w:highlight w:val="yellow"/>
        </w:rPr>
        <w:t>shall</w:t>
      </w:r>
      <w:r>
        <w:rPr/>
        <w:t xml:space="preserve"> keep records of the daily production, in tonnes, for the products listed in Column 2 of Schedule 4 for the discharger’s plant.</w:t>
      </w:r>
    </w:p>
    <w:p>
      <w:pPr>
        <w:pStyle w:val="P22"/>
      </w:pPr>
      <w:r>
        <w:t xml:space="preserve">  </w:t>
      </w:r>
      <w:r>
        <w:rPr/>
        <w:tab/>
        <w:t xml:space="preserve">(9)  Each discharger </w:t>
      </w:r>
      <w:r>
        <w:rPr>
          <w:highlight w:val="yellow"/>
        </w:rPr>
        <w:t>shall</w:t>
      </w:r>
      <w:r>
        <w:rPr/>
        <w:t xml:space="preserve"> keep records of the location of each sampling point established at the discharger’s plant under Part II.</w:t>
      </w:r>
    </w:p>
    <w:p>
      <w:pPr>
        <w:pStyle w:val="P22"/>
      </w:pPr>
      <w:r>
        <w:t xml:space="preserve">  </w:t>
      </w:r>
      <w:r>
        <w:rPr/>
        <w:t xml:space="preserve">  </w:t>
      </w:r>
      <w:r>
        <w:rPr/>
        <w:tab/>
        <w:t xml:space="preserve">(10)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2"/>
      </w:pPr>
      <w:r>
        <w:t xml:space="preserve">  </w:t>
      </w:r>
      <w:r>
        <w:rPr/>
        <w:tab/>
        <w:t xml:space="preserve">(11)  Each discharger </w:t>
      </w:r>
      <w:r>
        <w:rPr>
          <w:highlight w:val="yellow"/>
        </w:rPr>
        <w:t>shall</w:t>
      </w:r>
      <w:r>
        <w:rPr/>
        <w:t xml:space="preserve"> ensure that all records kept under this section are available to Ministry staff at the discharger’s plant, on request during the plant’s normal office hours.  O. Reg. 562/94, s. 31.</w:t>
      </w:r>
    </w:p>
    <w:p>
      <w:pPr>
        <w:pStyle w:val="P15"/>
      </w:pPr>
      <w:bookmarkStart w:id="41" w:name="BK39"/>
      <w:bookmarkEnd w:id="41"/>
      <w:r>
        <w:t>Reports Available to the Public</w:t>
      </w:r>
    </w:p>
    <w:p>
      <w:pPr>
        <w:pStyle w:val="P21"/>
      </w:pPr>
      <w:r>
        <w:t xml:space="preserve">  </w:t>
      </w:r>
      <w:r>
        <w:rPr/>
        <w:tab/>
      </w:r>
      <w:r>
        <w:rPr>
          <w:b/>
        </w:rPr>
        <w:t xml:space="preserve">32.  </w:t>
      </w:r>
      <w:r>
        <w:rPr/>
        <w:t xml:space="preserve">(1)  On or before June 1 in each year, each discharger </w:t>
      </w:r>
      <w:r>
        <w:rPr>
          <w:highlight w:val="yellow"/>
        </w:rPr>
        <w:t>shall</w:t>
      </w:r>
      <w:r>
        <w:rPr/>
        <w:t xml:space="preserve"> prepare a report relating to the previous calendar year and including,</w:t>
      </w:r>
    </w:p>
    <w:p>
      <w:pPr>
        <w:pStyle w:val="P11"/>
      </w:pPr>
      <w:r>
        <w:tab/>
        <w:t>(a)</w:t>
        <w:tab/>
        <w:t>a summary of plant loadings calculated under sections 12 and 14;</w:t>
      </w:r>
    </w:p>
    <w:p>
      <w:pPr>
        <w:pStyle w:val="P11"/>
      </w:pPr>
      <w:r>
        <w:tab/>
        <w:t>(b)</w:t>
        <w:tab/>
        <w:t>a summary of results of monitoring performed under sections 18, 19, 20 and 22 to 26;</w:t>
      </w:r>
    </w:p>
    <w:p>
      <w:pPr>
        <w:pStyle w:val="P11"/>
      </w:pPr>
      <w:r>
        <w:tab/>
        <w:t>(c)</w:t>
        <w:tab/>
        <w:t>a summary of calculations performed under subsections 29 (1), (4) and (7);</w:t>
      </w:r>
    </w:p>
    <w:p>
      <w:pPr>
        <w:pStyle w:val="P11"/>
      </w:pPr>
      <w:r>
        <w:tab/>
        <w:t>(d)</w:t>
        <w:tab/>
        <w:t>a summary of the loadings or other results that exceeded a limit prescribed by section 15 or 16; and</w:t>
      </w:r>
    </w:p>
    <w:p>
      <w:pPr>
        <w:pStyle w:val="P11"/>
      </w:pPr>
      <w:r>
        <w:tab/>
        <w:t>(e)</w:t>
        <w:tab/>
        <w:t>a summary of the incidents in which process effluent was discharged from the discharger’s plant without flowing past a sampling point established on a process effluent stream in accordance with Part II before being discharged.</w:t>
      </w:r>
    </w:p>
    <w:p>
      <w:pPr>
        <w:pStyle w:val="P22"/>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2"/>
      </w:pPr>
      <w:r>
        <w:t xml:space="preserve">  </w:t>
      </w:r>
      <w:r>
        <w:rPr/>
        <w:tab/>
        <w:t xml:space="preserve">(3)  Each discharger </w:t>
      </w:r>
      <w:r>
        <w:rPr>
          <w:highlight w:val="yellow"/>
        </w:rPr>
        <w:t>shall</w:t>
      </w:r>
      <w:r>
        <w:rPr/>
        <w:t xml:space="preserve"> provide the Director, upon request, with a copy of any report that the discharger has prepared under subsection (1).  O. Reg. 562/94, s. 32.</w:t>
      </w:r>
    </w:p>
    <w:p>
      <w:pPr>
        <w:pStyle w:val="P15"/>
      </w:pPr>
      <w:bookmarkStart w:id="42" w:name="BK40"/>
      <w:bookmarkEnd w:id="42"/>
      <w:r>
        <w:t>Reports to the Director — General</w:t>
      </w:r>
    </w:p>
    <w:p>
      <w:pPr>
        <w:pStyle w:val="P21"/>
      </w:pPr>
      <w:r>
        <w:t xml:space="preserve">  </w:t>
      </w:r>
      <w:r>
        <w:rPr/>
        <w:tab/>
      </w:r>
      <w:r>
        <w:rPr>
          <w:b/>
        </w:rPr>
        <w:t xml:space="preserve">33.  </w:t>
      </w:r>
      <w:r>
        <w:rPr/>
        <w:t xml:space="preserve">(1)  Each discharger </w:t>
      </w:r>
      <w:r>
        <w:rPr>
          <w:highlight w:val="yellow"/>
        </w:rPr>
        <w:t>shall</w:t>
      </w:r>
      <w:r>
        <w:rPr/>
        <w:t xml:space="preserve"> notify the Director in writing of any change of name or ownership of the discharger’s plant occurring after August 26, 1994, within 30 days after the end of the month in which the change occurs.</w:t>
      </w:r>
    </w:p>
    <w:p>
      <w:pPr>
        <w:pStyle w:val="P22"/>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30 days of the change or redirection.</w:t>
      </w:r>
    </w:p>
    <w:p>
      <w:pPr>
        <w:pStyle w:val="P22"/>
      </w:pPr>
      <w:r>
        <w:tab/>
        <w:t>(3)  A discharger need not comply with subsection (2) where the effect of the change or redirection on effluent quality is of less than one week’s duration.</w:t>
      </w:r>
    </w:p>
    <w:p>
      <w:pPr>
        <w:pStyle w:val="P22"/>
      </w:pPr>
      <w:r>
        <w:t xml:space="preserve">  </w:t>
      </w:r>
      <w:r>
        <w:rPr/>
        <w:tab/>
        <w:t xml:space="preserve">(4)  Each discharger </w:t>
      </w:r>
      <w:r>
        <w:rPr>
          <w:highlight w:val="yellow"/>
        </w:rPr>
        <w:t>shall</w:t>
      </w:r>
      <w:r>
        <w:rPr/>
        <w:t xml:space="preserve"> notify the Director in writing if the discharger’s plant has, for more than 90 consecutive days, operated at less than 75 per cent of the production rate specified in Schedule 4 for the discharger’s plant, within 30 days of the end of the 90-day period.  O. Reg. 562/94, s. 33.</w:t>
      </w:r>
    </w:p>
    <w:p>
      <w:pPr>
        <w:pStyle w:val="P15"/>
      </w:pPr>
      <w:bookmarkStart w:id="43" w:name="BK41"/>
      <w:bookmarkEnd w:id="43"/>
      <w:r>
        <w:t xml:space="preserve">Reports to the Director on Compliance with Section </w:t>
      </w:r>
      <w:r>
        <w:rPr>
          <w:caps w:val="1"/>
        </w:rPr>
        <w:t>6</w:t>
      </w:r>
      <w:r>
        <w:t xml:space="preserve"> and Part IV</w:t>
      </w:r>
    </w:p>
    <w:p>
      <w:pPr>
        <w:pStyle w:val="P21"/>
      </w:pPr>
      <w:r>
        <w:t xml:space="preserve">  </w:t>
      </w:r>
      <w:r>
        <w:rPr/>
        <w:tab/>
      </w:r>
      <w:r>
        <w:rPr>
          <w:b/>
        </w:rPr>
        <w:t xml:space="preserve">34.  </w:t>
      </w:r>
      <w:r>
        <w:rPr/>
        <w:t xml:space="preserve">(1)  Each discharger </w:t>
      </w:r>
      <w:r>
        <w:rPr>
          <w:highlight w:val="yellow"/>
        </w:rPr>
        <w:t>shall</w:t>
      </w:r>
      <w:r>
        <w:rPr/>
        <w:t xml:space="preserve"> report any incident in which process effluent is discharged from the discharger’s plant without flowing past a sampling point established on a process effluent stream in accordance with Part II before being discharged.</w:t>
      </w:r>
    </w:p>
    <w:p>
      <w:pPr>
        <w:pStyle w:val="P22"/>
      </w:pPr>
      <w:r>
        <w:t xml:space="preserve">  </w:t>
      </w:r>
      <w:r>
        <w:rPr/>
        <w:tab/>
        <w:t xml:space="preserve">(2)  Each discharger </w:t>
      </w:r>
      <w:r>
        <w:rPr>
          <w:highlight w:val="yellow"/>
        </w:rPr>
        <w:t>shall</w:t>
      </w:r>
      <w:r>
        <w:rPr/>
        <w:t xml:space="preserve"> report any loading, concentration or other result that exceeds a limit prescribed by section 15 or 16.</w:t>
      </w:r>
    </w:p>
    <w:p>
      <w:pPr>
        <w:pStyle w:val="P22"/>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562/94, s. 34.</w:t>
      </w:r>
    </w:p>
    <w:p>
      <w:pPr>
        <w:pStyle w:val="P15"/>
      </w:pPr>
      <w:bookmarkStart w:id="44" w:name="BK42"/>
      <w:bookmarkEnd w:id="44"/>
      <w:r>
        <w:t>Quarterly Reports to the Director</w:t>
      </w:r>
    </w:p>
    <w:p>
      <w:pPr>
        <w:pStyle w:val="P21"/>
      </w:pPr>
      <w:r>
        <w:t xml:space="preserve">  </w:t>
      </w:r>
      <w:r>
        <w:rPr/>
        <w:t xml:space="preserve">  </w:t>
      </w:r>
      <w:r>
        <w:rPr/>
        <w:tab/>
      </w:r>
      <w:r>
        <w:rPr>
          <w:b/>
        </w:rPr>
        <w:t xml:space="preserve">35.  </w:t>
      </w:r>
      <w:r>
        <w:rPr/>
        <w:t xml:space="preserve">(1)  No later than 45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(8).</w:t>
      </w:r>
    </w:p>
    <w:p>
      <w:pPr>
        <w:pStyle w:val="P22"/>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and signed by the discharger.</w:t>
      </w:r>
    </w:p>
    <w:p>
      <w:pPr>
        <w:pStyle w:val="P22"/>
      </w:pPr>
      <w:r>
        <w:t xml:space="preserve">  </w:t>
      </w:r>
      <w:r>
        <w:rPr/>
        <w:tab/>
        <w:t xml:space="preserve">(3)  A report under this section </w:t>
      </w:r>
      <w:r>
        <w:rPr>
          <w:highlight w:val="yellow"/>
        </w:rPr>
        <w:t>shall</w:t>
      </w:r>
      <w:r>
        <w:rPr/>
        <w:t xml:space="preserve"> include all information included in a report given under section 34 during the quarter.</w:t>
      </w:r>
    </w:p>
    <w:p>
      <w:pPr>
        <w:pStyle w:val="P22"/>
      </w:pPr>
      <w:r>
        <w:t xml:space="preserve">  </w:t>
      </w:r>
      <w:r>
        <w:rPr/>
        <w:tab/>
        <w:t xml:space="preserve">(4)  Each discharger </w:t>
      </w:r>
      <w:r>
        <w:rPr>
          <w:highlight w:val="yellow"/>
        </w:rPr>
        <w:t>shall</w:t>
      </w:r>
      <w:r>
        <w:rPr/>
        <w:t xml:space="preserve"> report, for each month in the quarter,</w:t>
      </w:r>
    </w:p>
    <w:p>
      <w:pPr>
        <w:pStyle w:val="P11"/>
      </w:pPr>
      <w:r>
        <w:tab/>
        <w:t>(a)</w:t>
        <w:tab/>
        <w:t>the monthly average plant loadings and the highest and lowest daily plant loadings calculated under sections 12 and 14 for each limited parameter and each assessment parameter; and</w:t>
      </w:r>
    </w:p>
    <w:p>
      <w:pPr>
        <w:pStyle w:val="P11"/>
      </w:pPr>
      <w:r>
        <w:tab/>
        <w:t>(b)</w:t>
        <w:tab/>
        <w:t>the monthly average alternate loadings and the highest and lowest daily alternate loadings calculated under section 13 for each parameter listed in subsection 20 (1).</w:t>
      </w:r>
    </w:p>
    <w:p>
      <w:pPr>
        <w:pStyle w:val="P22"/>
      </w:pPr>
      <w:r>
        <w:t xml:space="preserve">  </w:t>
      </w:r>
      <w:r>
        <w:rPr/>
        <w:tab/>
        <w:t xml:space="preserve">(5)  Each discharger </w:t>
      </w:r>
      <w:r>
        <w:rPr>
          <w:highlight w:val="yellow"/>
        </w:rPr>
        <w:t>shall</w:t>
      </w:r>
      <w:r>
        <w:rPr/>
        <w:t xml:space="preserve"> report, for each month in the quarter,</w:t>
      </w:r>
    </w:p>
    <w:p>
      <w:pPr>
        <w:pStyle w:val="P11"/>
      </w:pPr>
      <w:r>
        <w:tab/>
        <w:t>(a)</w:t>
        <w:tab/>
        <w:t>the monthly average process effluent plant volume and the highest and lowest daily process effluent plant volumes calculated under section 29; and</w:t>
      </w:r>
    </w:p>
    <w:p>
      <w:pPr>
        <w:pStyle w:val="P11"/>
      </w:pPr>
      <w:r>
        <w:tab/>
        <w:t>(b)</w:t>
        <w:tab/>
        <w:t>the monthly average alternate volume calculated under subsection 29 (7) and the highest and lowest daily alternate volumes calculated for each stream under section 28.</w:t>
      </w:r>
    </w:p>
    <w:p>
      <w:pPr>
        <w:pStyle w:val="P22"/>
      </w:pPr>
      <w:r>
        <w:t xml:space="preserve">  </w:t>
      </w:r>
      <w:r>
        <w:rPr/>
        <w:tab/>
        <w:t xml:space="preserve">(6)  Each discharger </w:t>
      </w:r>
      <w:r>
        <w:rPr>
          <w:highlight w:val="yellow"/>
        </w:rPr>
        <w:t>shall</w:t>
      </w:r>
      <w:r>
        <w:rPr/>
        <w:t xml:space="preserve"> report, for each month in the quarter, the monthly average cooling water effluent plant volume and the highest and lowest daily cooling water effluent plant volumes calculated under section 29.</w:t>
      </w:r>
    </w:p>
    <w:p>
      <w:pPr>
        <w:pStyle w:val="P22"/>
      </w:pPr>
      <w:r>
        <w:t xml:space="preserve">  </w:t>
      </w:r>
      <w:r>
        <w:rPr/>
        <w:tab/>
        <w:t xml:space="preserve">(7)  Each discharger </w:t>
      </w:r>
      <w:r>
        <w:rPr>
          <w:highlight w:val="yellow"/>
        </w:rPr>
        <w:t>shall</w:t>
      </w:r>
      <w:r>
        <w:rPr/>
        <w:t xml:space="preserve"> report the number of days in each month in the quarter on which process effluent was discharged from the discharger’s plant.</w:t>
      </w:r>
    </w:p>
    <w:p>
      <w:pPr>
        <w:pStyle w:val="P22"/>
      </w:pPr>
      <w:r>
        <w:t xml:space="preserve">  </w:t>
      </w:r>
      <w:r>
        <w:rPr/>
        <w:tab/>
        <w:t xml:space="preserve">(8)  Each discharger </w:t>
      </w:r>
      <w:r>
        <w:rPr>
          <w:highlight w:val="yellow"/>
        </w:rPr>
        <w:t>shall</w:t>
      </w:r>
      <w:r>
        <w:rPr/>
        <w:t xml:space="preserve"> report, for each month in the quarter, the highest and lowest pH results obtained under section 22 for each process effluent monitoring stream at the discharger’s plant.  O. Reg. 562/94, s. 35.</w:t>
      </w:r>
    </w:p>
    <w:p>
      <w:pPr>
        <w:pStyle w:val="P15"/>
      </w:pPr>
      <w:bookmarkStart w:id="45" w:name="BK43"/>
      <w:bookmarkEnd w:id="45"/>
      <w:r>
        <w:t>Reports to the Director on Chronic Toxicity Testing</w:t>
      </w:r>
    </w:p>
    <w:p>
      <w:pPr>
        <w:pStyle w:val="P21"/>
      </w:pPr>
      <w:r>
        <w:t xml:space="preserve">  </w:t>
      </w:r>
      <w:r>
        <w:rPr/>
        <w:tab/>
      </w:r>
      <w:r>
        <w:rPr>
          <w:b/>
        </w:rPr>
        <w:t xml:space="preserve">36.  </w:t>
      </w:r>
      <w:r>
        <w:rPr/>
        <w:t xml:space="preserve">(1)  Each discharger </w:t>
      </w:r>
      <w:r>
        <w:rPr>
          <w:highlight w:val="yellow"/>
        </w:rPr>
        <w:t>shall</w:t>
      </w:r>
      <w:r>
        <w:rPr/>
        <w:t xml:space="preserve"> report to the Director the results of all monitoring performed under section 25, together with the date on which each sample was picked up, no later than 60 days after the end of each semi-annual period in which the monitoring was performed.</w:t>
      </w:r>
    </w:p>
    <w:p>
      <w:pPr>
        <w:pStyle w:val="P22"/>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562/94, s. 36.</w:t>
      </w:r>
    </w:p>
    <w:p>
      <w:pPr>
        <w:pStyle w:val="P21"/>
      </w:pPr>
      <w:r>
        <w:tab/>
      </w:r>
      <w:r>
        <w:rPr>
          <w:b w:val="1"/>
        </w:rPr>
        <w:t>37.</w:t>
      </w:r>
      <w:r>
        <w:t>  </w:t>
      </w:r>
      <w:r>
        <w:rPr>
          <w:rStyle w:val="C20"/>
        </w:rPr>
        <w:t>Omitted (revokes other Regulations)</w:t>
      </w:r>
      <w:r>
        <w:t xml:space="preserve">.  O. Reg. 562/94, s. 37.</w:t>
      </w:r>
    </w:p>
    <w:p>
      <w:pPr>
        <w:pStyle w:val="P21"/>
      </w:pPr>
      <w:r>
        <w:tab/>
      </w:r>
      <w:r>
        <w:rPr>
          <w:b w:val="1"/>
        </w:rPr>
        <w:t>38.</w:t>
      </w:r>
      <w:r>
        <w:t>  </w:t>
      </w:r>
      <w:r>
        <w:rPr>
          <w:rStyle w:val="C20"/>
        </w:rPr>
        <w:t>Omitted (provides for coming into force of provisions of this Regulation</w:t>
      </w:r>
      <w:r>
        <w:t xml:space="preserve">).  O. Reg. 562/94, s. 38.</w:t>
      </w:r>
    </w:p>
    <w:p>
      <w:pPr>
        <w:pStyle w:val="P20"/>
      </w:pPr>
      <w:bookmarkStart w:id="46" w:name="BK44"/>
      <w:bookmarkEnd w:id="46"/>
      <w:r>
        <w:t>Schedule 1</w:t>
        <w:br w:type="textWrapping"/>
        <w:t>List of Regulated Plants</w:t>
      </w:r>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1913" w:type="dxa"/>
          </w:tcPr>
          <w:p>
            <w:pPr>
              <w:pStyle w:val="P23"/>
            </w:pPr>
            <w:r>
              <w:t>Plant Name</w:t>
            </w:r>
          </w:p>
        </w:tc>
        <w:tc>
          <w:tcPr>
            <w:tcW w:w="956" w:type="dxa"/>
          </w:tcPr>
          <w:p>
            <w:pPr>
              <w:pStyle w:val="P23"/>
            </w:pPr>
            <w:r>
              <w:t xml:space="preserve">Location </w:t>
            </w:r>
          </w:p>
        </w:tc>
        <w:tc>
          <w:tcPr>
            <w:tcW w:w="1913" w:type="dxa"/>
          </w:tcPr>
          <w:p>
            <w:pPr>
              <w:pStyle w:val="P23"/>
            </w:pPr>
            <w:r>
              <w:t xml:space="preserve">Owner as of October 1992 </w:t>
            </w:r>
          </w:p>
        </w:tc>
      </w:tr>
      <w:tr>
        <w:tblPrEx>
          <w:tblCellMar>
            <w:top w:w="0" w:type="dxa"/>
            <w:bottom w:w="0" w:type="dxa"/>
          </w:tblCellMar>
        </w:tblPrEx>
        <w:tc>
          <w:tcPr>
            <w:tcW w:w="1913" w:type="dxa"/>
          </w:tcPr>
          <w:p>
            <w:pPr>
              <w:pStyle w:val="P23"/>
            </w:pPr>
            <w:r>
              <w:t>Canada Alloy Casting Ltd.</w:t>
            </w:r>
          </w:p>
        </w:tc>
        <w:tc>
          <w:tcPr>
            <w:tcW w:w="956" w:type="dxa"/>
          </w:tcPr>
          <w:p>
            <w:pPr>
              <w:pStyle w:val="P23"/>
            </w:pPr>
            <w:r>
              <w:t>Kitchener</w:t>
            </w:r>
          </w:p>
        </w:tc>
        <w:tc>
          <w:tcPr>
            <w:tcW w:w="1913" w:type="dxa"/>
          </w:tcPr>
          <w:p>
            <w:pPr>
              <w:pStyle w:val="P23"/>
            </w:pPr>
            <w:r>
              <w:t>Canada Alloy Casting Ltd.</w:t>
            </w:r>
          </w:p>
        </w:tc>
      </w:tr>
      <w:tr>
        <w:tblPrEx>
          <w:tblCellMar>
            <w:top w:w="0" w:type="dxa"/>
            <w:bottom w:w="0" w:type="dxa"/>
          </w:tblCellMar>
        </w:tblPrEx>
        <w:tc>
          <w:tcPr>
            <w:tcW w:w="1913" w:type="dxa"/>
          </w:tcPr>
          <w:p>
            <w:pPr>
              <w:pStyle w:val="P23"/>
            </w:pPr>
            <w:r>
              <w:t>Chrysler, Etobicoke Casting Plant</w:t>
            </w:r>
          </w:p>
        </w:tc>
        <w:tc>
          <w:tcPr>
            <w:tcW w:w="956" w:type="dxa"/>
          </w:tcPr>
          <w:p>
            <w:pPr>
              <w:pStyle w:val="P23"/>
            </w:pPr>
            <w:r>
              <w:t>Toronto</w:t>
            </w:r>
          </w:p>
        </w:tc>
        <w:tc>
          <w:tcPr>
            <w:tcW w:w="1913" w:type="dxa"/>
          </w:tcPr>
          <w:p>
            <w:pPr>
              <w:pStyle w:val="P23"/>
            </w:pPr>
            <w:r>
              <w:t>Chrysler Canada Ltd.</w:t>
            </w:r>
          </w:p>
        </w:tc>
      </w:tr>
      <w:tr>
        <w:tblPrEx>
          <w:tblCellMar>
            <w:top w:w="0" w:type="dxa"/>
            <w:bottom w:w="0" w:type="dxa"/>
          </w:tblCellMar>
        </w:tblPrEx>
        <w:tc>
          <w:tcPr>
            <w:tcW w:w="1913" w:type="dxa"/>
          </w:tcPr>
          <w:p>
            <w:pPr>
              <w:pStyle w:val="P23"/>
            </w:pPr>
            <w:r>
              <w:t>Ford Motor Company of Canada Ltd. Windsor Casting Plant</w:t>
            </w:r>
          </w:p>
        </w:tc>
        <w:tc>
          <w:tcPr>
            <w:tcW w:w="956" w:type="dxa"/>
          </w:tcPr>
          <w:p>
            <w:pPr>
              <w:pStyle w:val="P23"/>
            </w:pPr>
            <w:r>
              <w:t>Windsor</w:t>
            </w:r>
          </w:p>
        </w:tc>
        <w:tc>
          <w:tcPr>
            <w:tcW w:w="1913" w:type="dxa"/>
          </w:tcPr>
          <w:p>
            <w:pPr>
              <w:pStyle w:val="P23"/>
            </w:pPr>
            <w:r>
              <w:t>Ford Motor Company of Canada, Limited</w:t>
            </w:r>
          </w:p>
        </w:tc>
      </w:tr>
      <w:tr>
        <w:tblPrEx>
          <w:tblCellMar>
            <w:top w:w="0" w:type="dxa"/>
            <w:bottom w:w="0" w:type="dxa"/>
          </w:tblCellMar>
        </w:tblPrEx>
        <w:tc>
          <w:tcPr>
            <w:tcW w:w="1913" w:type="dxa"/>
          </w:tcPr>
          <w:p>
            <w:pPr>
              <w:pStyle w:val="P23"/>
            </w:pPr>
            <w:r>
              <w:t>Haley Industries Ltd.</w:t>
            </w:r>
          </w:p>
        </w:tc>
        <w:tc>
          <w:tcPr>
            <w:tcW w:w="956" w:type="dxa"/>
          </w:tcPr>
          <w:p>
            <w:pPr>
              <w:pStyle w:val="P23"/>
            </w:pPr>
            <w:r>
              <w:t>Haley</w:t>
            </w:r>
          </w:p>
        </w:tc>
        <w:tc>
          <w:tcPr>
            <w:tcW w:w="1913" w:type="dxa"/>
          </w:tcPr>
          <w:p>
            <w:pPr>
              <w:pStyle w:val="P23"/>
            </w:pPr>
            <w:r>
              <w:t>Haley Industries Ltd.</w:t>
            </w:r>
          </w:p>
        </w:tc>
      </w:tr>
      <w:tr>
        <w:tblPrEx>
          <w:tblCellMar>
            <w:top w:w="0" w:type="dxa"/>
            <w:bottom w:w="0" w:type="dxa"/>
          </w:tblCellMar>
        </w:tblPrEx>
        <w:tc>
          <w:tcPr>
            <w:tcW w:w="1913" w:type="dxa"/>
          </w:tcPr>
          <w:p>
            <w:pPr>
              <w:pStyle w:val="P23"/>
            </w:pPr>
            <w:r>
              <w:t>Kubota Metal Corporation, Fahramet Division</w:t>
            </w:r>
          </w:p>
        </w:tc>
        <w:tc>
          <w:tcPr>
            <w:tcW w:w="956" w:type="dxa"/>
          </w:tcPr>
          <w:p>
            <w:pPr>
              <w:pStyle w:val="P23"/>
            </w:pPr>
            <w:r>
              <w:t>Orillia</w:t>
            </w:r>
          </w:p>
        </w:tc>
        <w:tc>
          <w:tcPr>
            <w:tcW w:w="1913" w:type="dxa"/>
          </w:tcPr>
          <w:p>
            <w:pPr>
              <w:pStyle w:val="P23"/>
            </w:pPr>
            <w:r>
              <w:t>Kubota Corporation, Japan</w:t>
            </w:r>
          </w:p>
        </w:tc>
      </w:tr>
      <w:tr>
        <w:tblPrEx>
          <w:tblCellMar>
            <w:top w:w="0" w:type="dxa"/>
            <w:bottom w:w="0" w:type="dxa"/>
          </w:tblCellMar>
        </w:tblPrEx>
        <w:tc>
          <w:tcPr>
            <w:tcW w:w="1913" w:type="dxa"/>
          </w:tcPr>
          <w:p>
            <w:pPr>
              <w:pStyle w:val="P23"/>
            </w:pPr>
            <w:r>
              <w:t>Western Foundry Company Limited</w:t>
            </w:r>
          </w:p>
        </w:tc>
        <w:tc>
          <w:tcPr>
            <w:tcW w:w="956" w:type="dxa"/>
          </w:tcPr>
          <w:p>
            <w:pPr>
              <w:pStyle w:val="P23"/>
            </w:pPr>
            <w:r>
              <w:t>Wingham</w:t>
            </w:r>
          </w:p>
        </w:tc>
        <w:tc>
          <w:tcPr>
            <w:tcW w:w="1913" w:type="dxa"/>
          </w:tcPr>
          <w:p>
            <w:pPr>
              <w:pStyle w:val="P23"/>
            </w:pPr>
            <w:r>
              <w:t>R.W.L. Investments Ltd. L.F.T. Investments Ltd.</w:t>
            </w:r>
          </w:p>
        </w:tc>
      </w:tr>
    </w:tbl>
    <w:p>
      <w:pPr>
        <w:pStyle w:val="P29"/>
      </w:pPr>
      <w:r>
        <w:t>O. Reg. 562/94, Sched. 1.</w:t>
      </w:r>
    </w:p>
    <w:p>
      <w:pPr>
        <w:pStyle w:val="P20"/>
      </w:pPr>
      <w:bookmarkStart w:id="47" w:name="BK45"/>
      <w:bookmarkEnd w:id="47"/>
      <w:bookmarkStart w:id="48" w:name="BK47"/>
      <w:bookmarkEnd w:id="48"/>
      <w:r>
        <w:t>Schedule 2</w:t>
        <w:br w:type="textWrapping"/>
        <w:t>Process Effluent Limits and Monitoring Frequency</w:t>
      </w:r>
    </w:p>
    <w:p>
      <w:pPr>
        <w:pStyle w:val="P137"/>
      </w:pPr>
      <w:r>
        <w:t>TABLE 1</w:t>
        <w:br w:type="textWrapping"/>
        <w:t xml:space="preserve">Ford Motor Company of Canada, Limited Windsor Casting Plant Windsor  </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67" w:type="dxa"/>
          </w:tcPr>
          <w:p>
            <w:pPr>
              <w:pStyle w:val="P23"/>
            </w:pPr>
            <w:r>
              <w:t>Item</w:t>
            </w:r>
          </w:p>
        </w:tc>
        <w:tc>
          <w:tcPr>
            <w:tcW w:w="1409" w:type="dxa"/>
          </w:tcPr>
          <w:p>
            <w:pPr>
              <w:pStyle w:val="P23"/>
            </w:pPr>
            <w:r>
              <w:t>Analytical Test Group</w:t>
            </w:r>
          </w:p>
        </w:tc>
        <w:tc>
          <w:tcPr>
            <w:tcW w:w="1734" w:type="dxa"/>
          </w:tcPr>
          <w:p>
            <w:pPr>
              <w:pStyle w:val="P23"/>
            </w:pPr>
            <w:r>
              <w:t>Column 1</w:t>
            </w:r>
          </w:p>
          <w:p>
            <w:pPr>
              <w:pStyle w:val="P23"/>
            </w:pPr>
            <w:r>
              <w:t>Parameter</w:t>
            </w:r>
          </w:p>
        </w:tc>
        <w:tc>
          <w:tcPr>
            <w:tcW w:w="1734" w:type="dxa"/>
          </w:tcPr>
          <w:p>
            <w:pPr>
              <w:pStyle w:val="P23"/>
            </w:pPr>
            <w:r>
              <w:t>Column 2</w:t>
            </w:r>
          </w:p>
          <w:p>
            <w:pPr>
              <w:pStyle w:val="P23"/>
            </w:pPr>
            <w:r>
              <w:t>Monitoring Frequency</w:t>
            </w:r>
          </w:p>
        </w:tc>
        <w:tc>
          <w:tcPr>
            <w:tcW w:w="2168" w:type="dxa"/>
          </w:tcPr>
          <w:p>
            <w:pPr>
              <w:pStyle w:val="P23"/>
            </w:pPr>
            <w:r>
              <w:t>Column 3</w:t>
            </w:r>
          </w:p>
          <w:p>
            <w:pPr>
              <w:pStyle w:val="P23"/>
            </w:pPr>
            <w:r>
              <w:t>Daily Plant Loading Limit</w:t>
            </w:r>
          </w:p>
          <w:p>
            <w:pPr>
              <w:pStyle w:val="P23"/>
            </w:pPr>
            <w:r>
              <w:t>in kilograms per day</w:t>
            </w:r>
          </w:p>
        </w:tc>
        <w:tc>
          <w:tcPr>
            <w:tcW w:w="2168" w:type="dxa"/>
          </w:tcPr>
          <w:p>
            <w:pPr>
              <w:pStyle w:val="P23"/>
            </w:pPr>
            <w:r>
              <w:t>Column 4</w:t>
            </w:r>
          </w:p>
          <w:p>
            <w:pPr>
              <w:pStyle w:val="P23"/>
            </w:pPr>
            <w:r>
              <w:t>Monthly Average Plant Loading Limit</w:t>
            </w:r>
          </w:p>
          <w:p>
            <w:pPr>
              <w:pStyle w:val="P23"/>
            </w:pPr>
            <w:r>
              <w:t>in kilograms per day</w:t>
            </w:r>
          </w:p>
        </w:tc>
      </w:tr>
      <w:tr>
        <w:tc>
          <w:tcPr>
            <w:tcW w:w="867" w:type="dxa"/>
          </w:tcPr>
          <w:p>
            <w:pPr>
              <w:pStyle w:val="P23"/>
            </w:pPr>
            <w:r>
              <w:t>1.</w:t>
            </w:r>
          </w:p>
        </w:tc>
        <w:tc>
          <w:tcPr>
            <w:tcW w:w="1409" w:type="dxa"/>
          </w:tcPr>
          <w:p>
            <w:pPr>
              <w:pStyle w:val="P23"/>
            </w:pPr>
            <w:r>
              <w:t>2</w:t>
            </w:r>
          </w:p>
        </w:tc>
        <w:tc>
          <w:tcPr>
            <w:tcW w:w="1734" w:type="dxa"/>
          </w:tcPr>
          <w:p>
            <w:pPr>
              <w:pStyle w:val="P23"/>
            </w:pPr>
            <w:r>
              <w:t>Total Cyanide</w:t>
            </w:r>
          </w:p>
        </w:tc>
        <w:tc>
          <w:tcPr>
            <w:tcW w:w="1734" w:type="dxa"/>
          </w:tcPr>
          <w:p>
            <w:pPr>
              <w:pStyle w:val="P23"/>
            </w:pPr>
            <w:r>
              <w:t>Weekly</w:t>
            </w:r>
          </w:p>
        </w:tc>
        <w:tc>
          <w:tcPr>
            <w:tcW w:w="2168" w:type="dxa"/>
          </w:tcPr>
          <w:p>
            <w:pPr>
              <w:pStyle w:val="P23"/>
            </w:pPr>
            <w:r>
              <w:t>25.0</w:t>
            </w:r>
          </w:p>
        </w:tc>
        <w:tc>
          <w:tcPr>
            <w:tcW w:w="2168" w:type="dxa"/>
          </w:tcPr>
          <w:p>
            <w:pPr>
              <w:pStyle w:val="P23"/>
            </w:pPr>
            <w:r>
              <w:t>Not applicable</w:t>
            </w:r>
          </w:p>
        </w:tc>
      </w:tr>
      <w:tr>
        <w:tc>
          <w:tcPr>
            <w:tcW w:w="867" w:type="dxa"/>
          </w:tcPr>
          <w:p>
            <w:pPr>
              <w:pStyle w:val="P23"/>
            </w:pPr>
            <w:r>
              <w:t>2.</w:t>
            </w:r>
          </w:p>
        </w:tc>
        <w:tc>
          <w:tcPr>
            <w:tcW w:w="1409" w:type="dxa"/>
          </w:tcPr>
          <w:p>
            <w:pPr>
              <w:pStyle w:val="P23"/>
            </w:pPr>
            <w:r>
              <w:t>5a</w:t>
            </w:r>
          </w:p>
        </w:tc>
        <w:tc>
          <w:tcPr>
            <w:tcW w:w="1734" w:type="dxa"/>
          </w:tcPr>
          <w:p>
            <w:pPr>
              <w:pStyle w:val="P23"/>
            </w:pPr>
            <w:r>
              <w:t>Dissolved Organic Carbon (DOC)</w:t>
            </w:r>
          </w:p>
        </w:tc>
        <w:tc>
          <w:tcPr>
            <w:tcW w:w="1734" w:type="dxa"/>
          </w:tcPr>
          <w:p>
            <w:pPr>
              <w:pStyle w:val="P23"/>
            </w:pPr>
            <w:r>
              <w:t>Daily</w:t>
            </w:r>
          </w:p>
        </w:tc>
        <w:tc>
          <w:tcPr>
            <w:tcW w:w="2168" w:type="dxa"/>
          </w:tcPr>
          <w:p>
            <w:pPr>
              <w:pStyle w:val="P23"/>
            </w:pPr>
            <w:r>
              <w:t>884</w:t>
            </w:r>
          </w:p>
        </w:tc>
        <w:tc>
          <w:tcPr>
            <w:tcW w:w="2168" w:type="dxa"/>
          </w:tcPr>
          <w:p>
            <w:pPr>
              <w:pStyle w:val="P23"/>
            </w:pPr>
            <w:r>
              <w:t>317</w:t>
            </w:r>
          </w:p>
        </w:tc>
      </w:tr>
      <w:tr>
        <w:tc>
          <w:tcPr>
            <w:tcW w:w="867" w:type="dxa"/>
          </w:tcPr>
          <w:p>
            <w:pPr>
              <w:pStyle w:val="P23"/>
            </w:pPr>
            <w:r>
              <w:t>3.</w:t>
            </w:r>
          </w:p>
        </w:tc>
        <w:tc>
          <w:tcPr>
            <w:tcW w:w="1409" w:type="dxa"/>
          </w:tcPr>
          <w:p>
            <w:pPr>
              <w:pStyle w:val="P23"/>
            </w:pPr>
            <w:r>
              <w:t>8</w:t>
            </w:r>
          </w:p>
        </w:tc>
        <w:tc>
          <w:tcPr>
            <w:tcW w:w="1734" w:type="dxa"/>
          </w:tcPr>
          <w:p>
            <w:pPr>
              <w:pStyle w:val="P23"/>
            </w:pPr>
            <w:r>
              <w:t>Total Suspended Solids (TSS)</w:t>
            </w:r>
          </w:p>
        </w:tc>
        <w:tc>
          <w:tcPr>
            <w:tcW w:w="1734" w:type="dxa"/>
          </w:tcPr>
          <w:p>
            <w:pPr>
              <w:pStyle w:val="P23"/>
            </w:pPr>
            <w:r>
              <w:t>Daily</w:t>
            </w:r>
          </w:p>
        </w:tc>
        <w:tc>
          <w:tcPr>
            <w:tcW w:w="2168" w:type="dxa"/>
          </w:tcPr>
          <w:p>
            <w:pPr>
              <w:pStyle w:val="P23"/>
            </w:pPr>
            <w:r>
              <w:t>3220</w:t>
            </w:r>
          </w:p>
        </w:tc>
        <w:tc>
          <w:tcPr>
            <w:tcW w:w="2168" w:type="dxa"/>
          </w:tcPr>
          <w:p>
            <w:pPr>
              <w:pStyle w:val="P23"/>
            </w:pPr>
            <w:r>
              <w:t>847</w:t>
            </w:r>
          </w:p>
        </w:tc>
      </w:tr>
      <w:tr>
        <w:tc>
          <w:tcPr>
            <w:tcW w:w="867" w:type="dxa"/>
          </w:tcPr>
          <w:p>
            <w:pPr>
              <w:pStyle w:val="P23"/>
            </w:pPr>
            <w:r>
              <w:t>4.</w:t>
            </w:r>
          </w:p>
        </w:tc>
        <w:tc>
          <w:tcPr>
            <w:tcW w:w="1409" w:type="dxa"/>
          </w:tcPr>
          <w:p>
            <w:pPr>
              <w:pStyle w:val="P23"/>
            </w:pPr>
            <w:r>
              <w:t>9</w:t>
            </w:r>
          </w:p>
        </w:tc>
        <w:tc>
          <w:tcPr>
            <w:tcW w:w="1734" w:type="dxa"/>
          </w:tcPr>
          <w:p>
            <w:pPr>
              <w:pStyle w:val="P23"/>
            </w:pPr>
            <w:r>
              <w:t>Aluminum</w:t>
            </w:r>
          </w:p>
        </w:tc>
        <w:tc>
          <w:tcPr>
            <w:tcW w:w="1734" w:type="dxa"/>
          </w:tcPr>
          <w:p>
            <w:pPr>
              <w:pStyle w:val="P23"/>
            </w:pPr>
            <w:r>
              <w:t>Weekly</w:t>
            </w:r>
          </w:p>
        </w:tc>
        <w:tc>
          <w:tcPr>
            <w:tcW w:w="2168" w:type="dxa"/>
          </w:tcPr>
          <w:p>
            <w:pPr>
              <w:pStyle w:val="P23"/>
            </w:pPr>
            <w:r>
              <w:t>530</w:t>
            </w:r>
          </w:p>
        </w:tc>
        <w:tc>
          <w:tcPr>
            <w:tcW w:w="2168" w:type="dxa"/>
          </w:tcPr>
          <w:p>
            <w:pPr>
              <w:pStyle w:val="P23"/>
            </w:pPr>
            <w:r>
              <w:t>107</w:t>
            </w:r>
          </w:p>
        </w:tc>
      </w:tr>
      <w:tr>
        <w:tc>
          <w:tcPr>
            <w:tcW w:w="867" w:type="dxa"/>
          </w:tcPr>
          <w:p>
            <w:pPr>
              <w:pStyle w:val="P23"/>
            </w:pPr>
            <w:r>
              <w:t>5.</w:t>
            </w:r>
          </w:p>
        </w:tc>
        <w:tc>
          <w:tcPr>
            <w:tcW w:w="1409" w:type="dxa"/>
          </w:tcPr>
          <w:p>
            <w:pPr>
              <w:pStyle w:val="P23"/>
            </w:pPr>
            <w:r>
              <w:t>9</w:t>
            </w:r>
          </w:p>
        </w:tc>
        <w:tc>
          <w:tcPr>
            <w:tcW w:w="1734" w:type="dxa"/>
          </w:tcPr>
          <w:p>
            <w:pPr>
              <w:pStyle w:val="P23"/>
            </w:pPr>
            <w:r>
              <w:t>Zinc</w:t>
            </w:r>
          </w:p>
        </w:tc>
        <w:tc>
          <w:tcPr>
            <w:tcW w:w="1734" w:type="dxa"/>
          </w:tcPr>
          <w:p>
            <w:pPr>
              <w:pStyle w:val="P23"/>
            </w:pPr>
            <w:r>
              <w:t>Weekly</w:t>
            </w:r>
          </w:p>
        </w:tc>
        <w:tc>
          <w:tcPr>
            <w:tcW w:w="2168" w:type="dxa"/>
          </w:tcPr>
          <w:p>
            <w:pPr>
              <w:pStyle w:val="P23"/>
            </w:pPr>
            <w:r>
              <w:t>137</w:t>
            </w:r>
          </w:p>
        </w:tc>
        <w:tc>
          <w:tcPr>
            <w:tcW w:w="2168" w:type="dxa"/>
          </w:tcPr>
          <w:p>
            <w:pPr>
              <w:pStyle w:val="P23"/>
            </w:pPr>
            <w:r>
              <w:t>29.7</w:t>
            </w:r>
          </w:p>
        </w:tc>
      </w:tr>
      <w:tr>
        <w:tc>
          <w:tcPr>
            <w:tcW w:w="867" w:type="dxa"/>
          </w:tcPr>
          <w:p>
            <w:pPr>
              <w:pStyle w:val="P23"/>
            </w:pPr>
            <w:r>
              <w:t>6.</w:t>
            </w:r>
          </w:p>
        </w:tc>
        <w:tc>
          <w:tcPr>
            <w:tcW w:w="1409" w:type="dxa"/>
          </w:tcPr>
          <w:p>
            <w:pPr>
              <w:pStyle w:val="P23"/>
            </w:pPr>
            <w:r>
              <w:t>14</w:t>
            </w:r>
          </w:p>
        </w:tc>
        <w:tc>
          <w:tcPr>
            <w:tcW w:w="1734" w:type="dxa"/>
          </w:tcPr>
          <w:p>
            <w:pPr>
              <w:pStyle w:val="P23"/>
            </w:pPr>
            <w:r>
              <w:t>Phenolics (4AAP)</w:t>
            </w:r>
          </w:p>
        </w:tc>
        <w:tc>
          <w:tcPr>
            <w:tcW w:w="1734" w:type="dxa"/>
          </w:tcPr>
          <w:p>
            <w:pPr>
              <w:pStyle w:val="P23"/>
            </w:pPr>
            <w:r>
              <w:t>Daily</w:t>
            </w:r>
          </w:p>
        </w:tc>
        <w:tc>
          <w:tcPr>
            <w:tcW w:w="2168" w:type="dxa"/>
          </w:tcPr>
          <w:p>
            <w:pPr>
              <w:pStyle w:val="P23"/>
            </w:pPr>
            <w:r>
              <w:t>34.4</w:t>
            </w:r>
          </w:p>
        </w:tc>
        <w:tc>
          <w:tcPr>
            <w:tcW w:w="2168" w:type="dxa"/>
          </w:tcPr>
          <w:p>
            <w:pPr>
              <w:pStyle w:val="P23"/>
            </w:pPr>
            <w:r>
              <w:t>7.34</w:t>
            </w:r>
          </w:p>
        </w:tc>
      </w:tr>
    </w:tbl>
    <w:p/>
    <w:p>
      <w:pPr>
        <w:pStyle w:val="P137"/>
      </w:pPr>
      <w:r>
        <w:t>TABLE 2</w:t>
        <w:br w:type="textWrapping"/>
        <w:t xml:space="preserve">HALEY INDUSTRIES LTD., HALEY </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155" w:type="dxa"/>
          </w:tcPr>
          <w:p>
            <w:pPr>
              <w:pStyle w:val="P23"/>
            </w:pPr>
            <w:r>
              <w:t>Item</w:t>
            </w:r>
          </w:p>
        </w:tc>
        <w:tc>
          <w:tcPr>
            <w:tcW w:w="1365" w:type="dxa"/>
          </w:tcPr>
          <w:p>
            <w:pPr>
              <w:pStyle w:val="P23"/>
            </w:pPr>
            <w:r>
              <w:t>Analytical Test Group</w:t>
            </w:r>
          </w:p>
        </w:tc>
        <w:tc>
          <w:tcPr>
            <w:tcW w:w="1680" w:type="dxa"/>
          </w:tcPr>
          <w:p>
            <w:pPr>
              <w:pStyle w:val="P23"/>
            </w:pPr>
            <w:r>
              <w:t>Column 1</w:t>
            </w:r>
          </w:p>
          <w:p>
            <w:pPr>
              <w:pStyle w:val="P23"/>
            </w:pPr>
            <w:r>
              <w:t>Parameter</w:t>
            </w:r>
          </w:p>
        </w:tc>
        <w:tc>
          <w:tcPr>
            <w:tcW w:w="1680" w:type="dxa"/>
          </w:tcPr>
          <w:p>
            <w:pPr>
              <w:pStyle w:val="P23"/>
            </w:pPr>
            <w:r>
              <w:t>Column 2</w:t>
            </w:r>
          </w:p>
          <w:p>
            <w:pPr>
              <w:pStyle w:val="P23"/>
            </w:pPr>
            <w:r>
              <w:t>Monitoring Frequency</w:t>
            </w:r>
          </w:p>
        </w:tc>
        <w:tc>
          <w:tcPr>
            <w:tcW w:w="2100" w:type="dxa"/>
          </w:tcPr>
          <w:p>
            <w:pPr>
              <w:pStyle w:val="P23"/>
            </w:pPr>
            <w:r>
              <w:t>Column 3</w:t>
            </w:r>
          </w:p>
          <w:p>
            <w:pPr>
              <w:pStyle w:val="P23"/>
            </w:pPr>
            <w:r>
              <w:t>Daily Plant Loading Limit</w:t>
            </w:r>
          </w:p>
          <w:p>
            <w:pPr>
              <w:pStyle w:val="P23"/>
            </w:pPr>
            <w:r>
              <w:t>in kilograms per day</w:t>
            </w:r>
          </w:p>
        </w:tc>
        <w:tc>
          <w:tcPr>
            <w:tcW w:w="2100" w:type="dxa"/>
          </w:tcPr>
          <w:p>
            <w:pPr>
              <w:pStyle w:val="P23"/>
            </w:pPr>
            <w:r>
              <w:t>Column 4</w:t>
            </w:r>
          </w:p>
          <w:p>
            <w:pPr>
              <w:pStyle w:val="P23"/>
            </w:pPr>
            <w:r>
              <w:t>Monthly Average Plant Loading Limit</w:t>
            </w:r>
          </w:p>
          <w:p>
            <w:pPr>
              <w:pStyle w:val="P23"/>
            </w:pPr>
            <w:r>
              <w:t>in kilograms per day</w:t>
            </w:r>
          </w:p>
        </w:tc>
      </w:tr>
      <w:tr>
        <w:tc>
          <w:tcPr>
            <w:tcW w:w="1155" w:type="dxa"/>
          </w:tcPr>
          <w:p>
            <w:pPr>
              <w:pStyle w:val="P23"/>
            </w:pPr>
            <w:r>
              <w:t>1.</w:t>
            </w:r>
          </w:p>
        </w:tc>
        <w:tc>
          <w:tcPr>
            <w:tcW w:w="1365" w:type="dxa"/>
          </w:tcPr>
          <w:p>
            <w:pPr>
              <w:pStyle w:val="P23"/>
            </w:pPr>
            <w:r>
              <w:t>1a</w:t>
            </w:r>
          </w:p>
        </w:tc>
        <w:tc>
          <w:tcPr>
            <w:tcW w:w="1680" w:type="dxa"/>
          </w:tcPr>
          <w:p>
            <w:pPr>
              <w:pStyle w:val="P23"/>
            </w:pPr>
            <w:r>
              <w:t>Biochemical Oxygen Demand</w:t>
            </w:r>
          </w:p>
        </w:tc>
        <w:tc>
          <w:tcPr>
            <w:tcW w:w="1680" w:type="dxa"/>
          </w:tcPr>
          <w:p>
            <w:pPr>
              <w:pStyle w:val="P23"/>
            </w:pPr>
            <w:r>
              <w:t>Weekly</w:t>
            </w:r>
          </w:p>
        </w:tc>
        <w:tc>
          <w:tcPr>
            <w:tcW w:w="2100" w:type="dxa"/>
          </w:tcPr>
          <w:p>
            <w:pPr>
              <w:pStyle w:val="P23"/>
            </w:pPr>
            <w:r>
              <w:t>8.85</w:t>
            </w:r>
          </w:p>
        </w:tc>
        <w:tc>
          <w:tcPr>
            <w:tcW w:w="2100" w:type="dxa"/>
          </w:tcPr>
          <w:p>
            <w:pPr>
              <w:pStyle w:val="P23"/>
            </w:pPr>
            <w:r>
              <w:t>3.60</w:t>
            </w:r>
          </w:p>
        </w:tc>
      </w:tr>
      <w:tr>
        <w:tc>
          <w:tcPr>
            <w:tcW w:w="1155" w:type="dxa"/>
          </w:tcPr>
          <w:p>
            <w:pPr>
              <w:pStyle w:val="P23"/>
            </w:pPr>
            <w:r>
              <w:t>2.</w:t>
            </w:r>
          </w:p>
        </w:tc>
        <w:tc>
          <w:tcPr>
            <w:tcW w:w="1365" w:type="dxa"/>
          </w:tcPr>
          <w:p>
            <w:pPr>
              <w:pStyle w:val="P23"/>
            </w:pPr>
            <w:r>
              <w:t>2</w:t>
            </w:r>
          </w:p>
        </w:tc>
        <w:tc>
          <w:tcPr>
            <w:tcW w:w="1680" w:type="dxa"/>
          </w:tcPr>
          <w:p>
            <w:pPr>
              <w:pStyle w:val="P23"/>
            </w:pPr>
            <w:r>
              <w:t>Total Cyanide</w:t>
            </w:r>
          </w:p>
        </w:tc>
        <w:tc>
          <w:tcPr>
            <w:tcW w:w="1680" w:type="dxa"/>
          </w:tcPr>
          <w:p>
            <w:pPr>
              <w:pStyle w:val="P23"/>
            </w:pPr>
            <w:r>
              <w:t>Weekly</w:t>
            </w:r>
          </w:p>
        </w:tc>
        <w:tc>
          <w:tcPr>
            <w:tcW w:w="2100" w:type="dxa"/>
          </w:tcPr>
          <w:p>
            <w:pPr>
              <w:pStyle w:val="P23"/>
            </w:pPr>
            <w:r>
              <w:t>1.00</w:t>
            </w:r>
          </w:p>
        </w:tc>
        <w:tc>
          <w:tcPr>
            <w:tcW w:w="2100" w:type="dxa"/>
          </w:tcPr>
          <w:p>
            <w:pPr>
              <w:pStyle w:val="P23"/>
            </w:pPr>
            <w:r>
              <w:t>0.393</w:t>
            </w:r>
          </w:p>
        </w:tc>
      </w:tr>
      <w:tr>
        <w:tc>
          <w:tcPr>
            <w:tcW w:w="1155" w:type="dxa"/>
          </w:tcPr>
          <w:p>
            <w:pPr>
              <w:pStyle w:val="P23"/>
            </w:pPr>
            <w:r>
              <w:t>3.</w:t>
            </w:r>
          </w:p>
        </w:tc>
        <w:tc>
          <w:tcPr>
            <w:tcW w:w="1365" w:type="dxa"/>
          </w:tcPr>
          <w:p>
            <w:pPr>
              <w:pStyle w:val="P23"/>
            </w:pPr>
            <w:r>
              <w:t>4a</w:t>
            </w:r>
          </w:p>
        </w:tc>
        <w:tc>
          <w:tcPr>
            <w:tcW w:w="1680" w:type="dxa"/>
          </w:tcPr>
          <w:p>
            <w:pPr>
              <w:pStyle w:val="P23"/>
            </w:pPr>
            <w:r>
              <w:t xml:space="preserve">Ammonia plus Ammonium </w:t>
            </w:r>
          </w:p>
        </w:tc>
        <w:tc>
          <w:tcPr>
            <w:tcW w:w="1680" w:type="dxa"/>
          </w:tcPr>
          <w:p>
            <w:pPr>
              <w:pStyle w:val="P23"/>
            </w:pPr>
            <w:r>
              <w:t>Weekly</w:t>
            </w:r>
          </w:p>
        </w:tc>
        <w:tc>
          <w:tcPr>
            <w:tcW w:w="2100" w:type="dxa"/>
          </w:tcPr>
          <w:p>
            <w:pPr>
              <w:pStyle w:val="P23"/>
            </w:pPr>
            <w:r>
              <w:t>13.1</w:t>
            </w:r>
          </w:p>
        </w:tc>
        <w:tc>
          <w:tcPr>
            <w:tcW w:w="2100" w:type="dxa"/>
          </w:tcPr>
          <w:p>
            <w:pPr>
              <w:pStyle w:val="P23"/>
            </w:pPr>
            <w:r>
              <w:t>7.22</w:t>
            </w:r>
          </w:p>
        </w:tc>
      </w:tr>
      <w:tr>
        <w:tc>
          <w:tcPr>
            <w:tcW w:w="1155" w:type="dxa"/>
          </w:tcPr>
          <w:p>
            <w:pPr>
              <w:pStyle w:val="P23"/>
            </w:pPr>
            <w:r>
              <w:t>4.</w:t>
            </w:r>
          </w:p>
        </w:tc>
        <w:tc>
          <w:tcPr>
            <w:tcW w:w="1365" w:type="dxa"/>
          </w:tcPr>
          <w:p>
            <w:pPr>
              <w:pStyle w:val="P23"/>
            </w:pPr>
            <w:r>
              <w:t>6</w:t>
            </w:r>
          </w:p>
        </w:tc>
        <w:tc>
          <w:tcPr>
            <w:tcW w:w="1680" w:type="dxa"/>
          </w:tcPr>
          <w:p>
            <w:pPr>
              <w:pStyle w:val="P23"/>
            </w:pPr>
            <w:r>
              <w:t>Total Phosphorus</w:t>
            </w:r>
          </w:p>
        </w:tc>
        <w:tc>
          <w:tcPr>
            <w:tcW w:w="1680" w:type="dxa"/>
          </w:tcPr>
          <w:p>
            <w:pPr>
              <w:pStyle w:val="P23"/>
            </w:pPr>
            <w:r>
              <w:t>Weekly</w:t>
            </w:r>
          </w:p>
        </w:tc>
        <w:tc>
          <w:tcPr>
            <w:tcW w:w="2100" w:type="dxa"/>
          </w:tcPr>
          <w:p>
            <w:pPr>
              <w:pStyle w:val="P23"/>
            </w:pPr>
            <w:r>
              <w:t>0.844</w:t>
            </w:r>
          </w:p>
        </w:tc>
        <w:tc>
          <w:tcPr>
            <w:tcW w:w="2100" w:type="dxa"/>
          </w:tcPr>
          <w:p>
            <w:pPr>
              <w:pStyle w:val="P23"/>
            </w:pPr>
            <w:r>
              <w:t>0.309</w:t>
            </w:r>
          </w:p>
        </w:tc>
      </w:tr>
      <w:tr>
        <w:tc>
          <w:tcPr>
            <w:tcW w:w="1155" w:type="dxa"/>
          </w:tcPr>
          <w:p>
            <w:pPr>
              <w:pStyle w:val="P23"/>
            </w:pPr>
            <w:r>
              <w:t>5.</w:t>
            </w:r>
          </w:p>
        </w:tc>
        <w:tc>
          <w:tcPr>
            <w:tcW w:w="1365" w:type="dxa"/>
          </w:tcPr>
          <w:p>
            <w:pPr>
              <w:pStyle w:val="P23"/>
            </w:pPr>
            <w:r>
              <w:t>8</w:t>
            </w:r>
          </w:p>
        </w:tc>
        <w:tc>
          <w:tcPr>
            <w:tcW w:w="1680" w:type="dxa"/>
          </w:tcPr>
          <w:p>
            <w:pPr>
              <w:pStyle w:val="P23"/>
            </w:pPr>
            <w:r>
              <w:t>Total Suspended Solids (TSS)</w:t>
            </w:r>
          </w:p>
        </w:tc>
        <w:tc>
          <w:tcPr>
            <w:tcW w:w="1680" w:type="dxa"/>
          </w:tcPr>
          <w:p>
            <w:pPr>
              <w:pStyle w:val="P23"/>
            </w:pPr>
            <w:r>
              <w:t>Daily</w:t>
            </w:r>
          </w:p>
        </w:tc>
        <w:tc>
          <w:tcPr>
            <w:tcW w:w="2100" w:type="dxa"/>
          </w:tcPr>
          <w:p>
            <w:pPr>
              <w:pStyle w:val="P23"/>
            </w:pPr>
            <w:r>
              <w:t>17.8</w:t>
            </w:r>
          </w:p>
        </w:tc>
        <w:tc>
          <w:tcPr>
            <w:tcW w:w="2100" w:type="dxa"/>
          </w:tcPr>
          <w:p>
            <w:pPr>
              <w:pStyle w:val="P23"/>
            </w:pPr>
            <w:r>
              <w:t>3.60</w:t>
            </w:r>
          </w:p>
        </w:tc>
      </w:tr>
      <w:tr>
        <w:tc>
          <w:tcPr>
            <w:tcW w:w="1155" w:type="dxa"/>
          </w:tcPr>
          <w:p>
            <w:pPr>
              <w:pStyle w:val="P23"/>
            </w:pPr>
            <w:r>
              <w:t>6.</w:t>
            </w:r>
          </w:p>
        </w:tc>
        <w:tc>
          <w:tcPr>
            <w:tcW w:w="1365" w:type="dxa"/>
          </w:tcPr>
          <w:p>
            <w:pPr>
              <w:pStyle w:val="P23"/>
            </w:pPr>
            <w:r>
              <w:t>9</w:t>
            </w:r>
          </w:p>
        </w:tc>
        <w:tc>
          <w:tcPr>
            <w:tcW w:w="1680" w:type="dxa"/>
          </w:tcPr>
          <w:p>
            <w:pPr>
              <w:pStyle w:val="P23"/>
            </w:pPr>
            <w:r>
              <w:t>Aluminum</w:t>
            </w:r>
          </w:p>
        </w:tc>
        <w:tc>
          <w:tcPr>
            <w:tcW w:w="1680" w:type="dxa"/>
          </w:tcPr>
          <w:p>
            <w:pPr>
              <w:pStyle w:val="P23"/>
            </w:pPr>
            <w:r>
              <w:t>Weekly</w:t>
            </w:r>
          </w:p>
        </w:tc>
        <w:tc>
          <w:tcPr>
            <w:tcW w:w="2100" w:type="dxa"/>
          </w:tcPr>
          <w:p>
            <w:pPr>
              <w:pStyle w:val="P23"/>
            </w:pPr>
            <w:r>
              <w:t>1.69</w:t>
            </w:r>
          </w:p>
        </w:tc>
        <w:tc>
          <w:tcPr>
            <w:tcW w:w="2100" w:type="dxa"/>
          </w:tcPr>
          <w:p>
            <w:pPr>
              <w:pStyle w:val="P23"/>
            </w:pPr>
            <w:r>
              <w:t>0.360</w:t>
            </w:r>
          </w:p>
        </w:tc>
      </w:tr>
      <w:tr>
        <w:tc>
          <w:tcPr>
            <w:tcW w:w="1155" w:type="dxa"/>
          </w:tcPr>
          <w:p>
            <w:pPr>
              <w:pStyle w:val="P23"/>
            </w:pPr>
            <w:r>
              <w:t>7.</w:t>
            </w:r>
          </w:p>
        </w:tc>
        <w:tc>
          <w:tcPr>
            <w:tcW w:w="1365" w:type="dxa"/>
          </w:tcPr>
          <w:p>
            <w:pPr>
              <w:pStyle w:val="P23"/>
            </w:pPr>
            <w:r>
              <w:t>9</w:t>
            </w:r>
          </w:p>
        </w:tc>
        <w:tc>
          <w:tcPr>
            <w:tcW w:w="1680" w:type="dxa"/>
          </w:tcPr>
          <w:p>
            <w:pPr>
              <w:pStyle w:val="P23"/>
            </w:pPr>
            <w:r>
              <w:t>Chromium</w:t>
            </w:r>
          </w:p>
        </w:tc>
        <w:tc>
          <w:tcPr>
            <w:tcW w:w="1680" w:type="dxa"/>
          </w:tcPr>
          <w:p>
            <w:pPr>
              <w:pStyle w:val="P23"/>
            </w:pPr>
            <w:r>
              <w:t>Weekly</w:t>
            </w:r>
          </w:p>
        </w:tc>
        <w:tc>
          <w:tcPr>
            <w:tcW w:w="2100" w:type="dxa"/>
          </w:tcPr>
          <w:p>
            <w:pPr>
              <w:pStyle w:val="P23"/>
            </w:pPr>
            <w:r>
              <w:t>0.650</w:t>
            </w:r>
          </w:p>
        </w:tc>
        <w:tc>
          <w:tcPr>
            <w:tcW w:w="2100" w:type="dxa"/>
          </w:tcPr>
          <w:p>
            <w:pPr>
              <w:pStyle w:val="P23"/>
            </w:pPr>
            <w:r>
              <w:t>0.144</w:t>
            </w:r>
          </w:p>
        </w:tc>
      </w:tr>
      <w:tr>
        <w:tc>
          <w:tcPr>
            <w:tcW w:w="1155" w:type="dxa"/>
          </w:tcPr>
          <w:p>
            <w:pPr>
              <w:pStyle w:val="P23"/>
            </w:pPr>
            <w:r>
              <w:t>8.</w:t>
            </w:r>
          </w:p>
        </w:tc>
        <w:tc>
          <w:tcPr>
            <w:tcW w:w="1365" w:type="dxa"/>
          </w:tcPr>
          <w:p>
            <w:pPr>
              <w:pStyle w:val="P23"/>
            </w:pPr>
            <w:r>
              <w:t>9</w:t>
            </w:r>
          </w:p>
        </w:tc>
        <w:tc>
          <w:tcPr>
            <w:tcW w:w="1680" w:type="dxa"/>
          </w:tcPr>
          <w:p>
            <w:pPr>
              <w:pStyle w:val="P23"/>
            </w:pPr>
            <w:r>
              <w:t>Copper</w:t>
            </w:r>
          </w:p>
        </w:tc>
        <w:tc>
          <w:tcPr>
            <w:tcW w:w="1680" w:type="dxa"/>
          </w:tcPr>
          <w:p>
            <w:pPr>
              <w:pStyle w:val="P23"/>
            </w:pPr>
            <w:r>
              <w:t>Weekly</w:t>
            </w:r>
          </w:p>
        </w:tc>
        <w:tc>
          <w:tcPr>
            <w:tcW w:w="2100" w:type="dxa"/>
          </w:tcPr>
          <w:p>
            <w:pPr>
              <w:pStyle w:val="P23"/>
            </w:pPr>
            <w:r>
              <w:t>0.534</w:t>
            </w:r>
          </w:p>
        </w:tc>
        <w:tc>
          <w:tcPr>
            <w:tcW w:w="2100" w:type="dxa"/>
          </w:tcPr>
          <w:p>
            <w:pPr>
              <w:pStyle w:val="P23"/>
            </w:pPr>
            <w:r>
              <w:t>0.144</w:t>
            </w:r>
          </w:p>
        </w:tc>
      </w:tr>
      <w:tr>
        <w:tc>
          <w:tcPr>
            <w:tcW w:w="1155" w:type="dxa"/>
          </w:tcPr>
          <w:p>
            <w:pPr>
              <w:pStyle w:val="P23"/>
            </w:pPr>
            <w:r>
              <w:t>9.</w:t>
            </w:r>
          </w:p>
        </w:tc>
        <w:tc>
          <w:tcPr>
            <w:tcW w:w="1365" w:type="dxa"/>
          </w:tcPr>
          <w:p>
            <w:pPr>
              <w:pStyle w:val="P23"/>
            </w:pPr>
            <w:r>
              <w:t>9</w:t>
            </w:r>
          </w:p>
        </w:tc>
        <w:tc>
          <w:tcPr>
            <w:tcW w:w="1680" w:type="dxa"/>
          </w:tcPr>
          <w:p>
            <w:pPr>
              <w:pStyle w:val="P23"/>
            </w:pPr>
            <w:r>
              <w:t>Silver</w:t>
            </w:r>
          </w:p>
        </w:tc>
        <w:tc>
          <w:tcPr>
            <w:tcW w:w="1680" w:type="dxa"/>
          </w:tcPr>
          <w:p>
            <w:pPr>
              <w:pStyle w:val="P23"/>
            </w:pPr>
            <w:r>
              <w:t>Weekly</w:t>
            </w:r>
          </w:p>
        </w:tc>
        <w:tc>
          <w:tcPr>
            <w:tcW w:w="2100" w:type="dxa"/>
          </w:tcPr>
          <w:p>
            <w:pPr>
              <w:pStyle w:val="P23"/>
            </w:pPr>
            <w:r>
              <w:t>0.286</w:t>
            </w:r>
          </w:p>
        </w:tc>
        <w:tc>
          <w:tcPr>
            <w:tcW w:w="2100" w:type="dxa"/>
          </w:tcPr>
          <w:p>
            <w:pPr>
              <w:pStyle w:val="P23"/>
            </w:pPr>
            <w:r>
              <w:t>0.106</w:t>
            </w:r>
          </w:p>
        </w:tc>
      </w:tr>
      <w:tr>
        <w:tc>
          <w:tcPr>
            <w:tcW w:w="1155" w:type="dxa"/>
          </w:tcPr>
          <w:p>
            <w:pPr>
              <w:pStyle w:val="P23"/>
            </w:pPr>
            <w:r>
              <w:t>10.</w:t>
            </w:r>
          </w:p>
        </w:tc>
        <w:tc>
          <w:tcPr>
            <w:tcW w:w="1365" w:type="dxa"/>
          </w:tcPr>
          <w:p>
            <w:pPr>
              <w:pStyle w:val="P23"/>
            </w:pPr>
            <w:r>
              <w:t>9</w:t>
            </w:r>
          </w:p>
        </w:tc>
        <w:tc>
          <w:tcPr>
            <w:tcW w:w="1680" w:type="dxa"/>
          </w:tcPr>
          <w:p>
            <w:pPr>
              <w:pStyle w:val="P23"/>
            </w:pPr>
            <w:r>
              <w:t>Zinc</w:t>
            </w:r>
          </w:p>
        </w:tc>
        <w:tc>
          <w:tcPr>
            <w:tcW w:w="1680" w:type="dxa"/>
          </w:tcPr>
          <w:p>
            <w:pPr>
              <w:pStyle w:val="P23"/>
            </w:pPr>
            <w:r>
              <w:t>Weekly</w:t>
            </w:r>
          </w:p>
        </w:tc>
        <w:tc>
          <w:tcPr>
            <w:tcW w:w="2100" w:type="dxa"/>
          </w:tcPr>
          <w:p>
            <w:pPr>
              <w:pStyle w:val="P23"/>
            </w:pPr>
            <w:r>
              <w:t>0.749</w:t>
            </w:r>
          </w:p>
        </w:tc>
        <w:tc>
          <w:tcPr>
            <w:tcW w:w="2100" w:type="dxa"/>
          </w:tcPr>
          <w:p>
            <w:pPr>
              <w:pStyle w:val="P23"/>
            </w:pPr>
            <w:r>
              <w:t>0.144</w:t>
            </w:r>
          </w:p>
        </w:tc>
      </w:tr>
      <w:tr>
        <w:tc>
          <w:tcPr>
            <w:tcW w:w="1155" w:type="dxa"/>
          </w:tcPr>
          <w:p>
            <w:pPr>
              <w:pStyle w:val="P23"/>
            </w:pPr>
            <w:r>
              <w:t>11.</w:t>
            </w:r>
          </w:p>
        </w:tc>
        <w:tc>
          <w:tcPr>
            <w:tcW w:w="1365" w:type="dxa"/>
          </w:tcPr>
          <w:p>
            <w:pPr>
              <w:pStyle w:val="P23"/>
            </w:pPr>
            <w:r>
              <w:t>14</w:t>
            </w:r>
          </w:p>
        </w:tc>
        <w:tc>
          <w:tcPr>
            <w:tcW w:w="1680" w:type="dxa"/>
          </w:tcPr>
          <w:p>
            <w:pPr>
              <w:pStyle w:val="P23"/>
            </w:pPr>
            <w:r>
              <w:t>Phenolics (4AAP)</w:t>
            </w:r>
          </w:p>
        </w:tc>
        <w:tc>
          <w:tcPr>
            <w:tcW w:w="1680" w:type="dxa"/>
          </w:tcPr>
          <w:p>
            <w:pPr>
              <w:pStyle w:val="P23"/>
            </w:pPr>
            <w:r>
              <w:t xml:space="preserve">Daily </w:t>
            </w:r>
          </w:p>
        </w:tc>
        <w:tc>
          <w:tcPr>
            <w:tcW w:w="2100" w:type="dxa"/>
          </w:tcPr>
          <w:p>
            <w:pPr>
              <w:pStyle w:val="P23"/>
            </w:pPr>
            <w:r>
              <w:t>0.0433</w:t>
            </w:r>
          </w:p>
        </w:tc>
        <w:tc>
          <w:tcPr>
            <w:tcW w:w="2100" w:type="dxa"/>
          </w:tcPr>
          <w:p>
            <w:pPr>
              <w:pStyle w:val="P23"/>
            </w:pPr>
            <w:r>
              <w:t>0.00703</w:t>
            </w:r>
          </w:p>
        </w:tc>
      </w:tr>
    </w:tbl>
    <w:p>
      <w:pPr>
        <w:pStyle w:val="P29"/>
      </w:pPr>
      <w:r>
        <w:t>O. Reg. 307/17, s. 7.</w:t>
      </w:r>
    </w:p>
    <w:p>
      <w:pPr>
        <w:pStyle w:val="P20"/>
      </w:pPr>
      <w:r>
        <w:t>Schedule 3</w:t>
        <w:br w:type="textWrapping"/>
        <w:t>Cooling Water Assessment Monitoring Requirements</w:t>
      </w:r>
    </w:p>
    <w:p>
      <w:pPr>
        <w:pStyle w:val="P137"/>
      </w:pPr>
      <w:r>
        <w:t>TABLE 1</w:t>
        <w:br w:type="textWrapping"/>
        <w:t>Canada Alloy Casting Ltd., Kitchener</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139" w:type="dxa"/>
          </w:tcPr>
          <w:p>
            <w:pPr>
              <w:pStyle w:val="P23"/>
            </w:pPr>
            <w:r>
              <w:t>Item</w:t>
            </w:r>
          </w:p>
        </w:tc>
        <w:tc>
          <w:tcPr>
            <w:tcW w:w="3050" w:type="dxa"/>
          </w:tcPr>
          <w:p>
            <w:pPr>
              <w:pStyle w:val="P23"/>
            </w:pPr>
            <w:r>
              <w:t>Analytical Test Group</w:t>
            </w:r>
          </w:p>
        </w:tc>
        <w:tc>
          <w:tcPr>
            <w:tcW w:w="3142" w:type="dxa"/>
          </w:tcPr>
          <w:p>
            <w:pPr>
              <w:pStyle w:val="P23"/>
            </w:pPr>
            <w:r>
              <w:t>Column 1</w:t>
            </w:r>
          </w:p>
          <w:p>
            <w:pPr>
              <w:pStyle w:val="P23"/>
            </w:pPr>
            <w:r>
              <w:t>Parameter</w:t>
            </w:r>
          </w:p>
        </w:tc>
        <w:tc>
          <w:tcPr>
            <w:tcW w:w="2749" w:type="dxa"/>
          </w:tcPr>
          <w:p>
            <w:pPr>
              <w:pStyle w:val="P23"/>
            </w:pPr>
            <w:r>
              <w:t>Column 2</w:t>
            </w:r>
          </w:p>
          <w:p>
            <w:pPr>
              <w:pStyle w:val="P23"/>
            </w:pPr>
            <w:r>
              <w:t>Monitoring Frequency</w:t>
            </w:r>
          </w:p>
        </w:tc>
      </w:tr>
      <w:tr>
        <w:tc>
          <w:tcPr>
            <w:tcW w:w="1139" w:type="dxa"/>
          </w:tcPr>
          <w:p>
            <w:pPr>
              <w:pStyle w:val="P23"/>
            </w:pPr>
            <w:r>
              <w:t>1.</w:t>
            </w:r>
          </w:p>
        </w:tc>
        <w:tc>
          <w:tcPr>
            <w:tcW w:w="3050" w:type="dxa"/>
          </w:tcPr>
          <w:p>
            <w:pPr>
              <w:pStyle w:val="P23"/>
            </w:pPr>
            <w:r>
              <w:t>5a</w:t>
            </w:r>
          </w:p>
        </w:tc>
        <w:tc>
          <w:tcPr>
            <w:tcW w:w="3142" w:type="dxa"/>
          </w:tcPr>
          <w:p>
            <w:pPr>
              <w:pStyle w:val="P23"/>
            </w:pPr>
            <w:r>
              <w:t>Dissolved Organic Carbon (DOC)</w:t>
            </w:r>
          </w:p>
        </w:tc>
        <w:tc>
          <w:tcPr>
            <w:tcW w:w="2749" w:type="dxa"/>
          </w:tcPr>
          <w:p>
            <w:pPr>
              <w:pStyle w:val="P23"/>
            </w:pPr>
            <w:r>
              <w:t>Weekly</w:t>
            </w:r>
          </w:p>
        </w:tc>
      </w:tr>
      <w:tr>
        <w:tc>
          <w:tcPr>
            <w:tcW w:w="1139" w:type="dxa"/>
          </w:tcPr>
          <w:p>
            <w:pPr>
              <w:pStyle w:val="P23"/>
            </w:pPr>
            <w:r>
              <w:t>2.</w:t>
            </w:r>
          </w:p>
        </w:tc>
        <w:tc>
          <w:tcPr>
            <w:tcW w:w="3050" w:type="dxa"/>
          </w:tcPr>
          <w:p>
            <w:pPr>
              <w:pStyle w:val="P23"/>
            </w:pPr>
            <w:r>
              <w:t>8</w:t>
            </w:r>
          </w:p>
        </w:tc>
        <w:tc>
          <w:tcPr>
            <w:tcW w:w="3142" w:type="dxa"/>
          </w:tcPr>
          <w:p>
            <w:pPr>
              <w:pStyle w:val="P23"/>
            </w:pPr>
            <w:r>
              <w:t xml:space="preserve">Total Suspended Solids (TSS) </w:t>
            </w:r>
          </w:p>
        </w:tc>
        <w:tc>
          <w:tcPr>
            <w:tcW w:w="2749" w:type="dxa"/>
          </w:tcPr>
          <w:p>
            <w:pPr>
              <w:pStyle w:val="P23"/>
            </w:pPr>
            <w:r>
              <w:t>Weekly</w:t>
            </w:r>
          </w:p>
        </w:tc>
      </w:tr>
    </w:tbl>
    <w:p/>
    <w:p>
      <w:pPr>
        <w:pStyle w:val="P137"/>
      </w:pPr>
      <w:r>
        <w:t>TABLE 2</w:t>
        <w:br w:type="textWrapping"/>
        <w:t xml:space="preserve">CHRYSLER, ETOBICOKE CASTING PLANT, TORONTO </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134" w:type="dxa"/>
          </w:tcPr>
          <w:p>
            <w:pPr>
              <w:pStyle w:val="P23"/>
            </w:pPr>
            <w:r>
              <w:t xml:space="preserve">Item </w:t>
            </w:r>
          </w:p>
        </w:tc>
        <w:tc>
          <w:tcPr>
            <w:tcW w:w="3055" w:type="dxa"/>
          </w:tcPr>
          <w:p>
            <w:pPr>
              <w:pStyle w:val="P23"/>
            </w:pPr>
            <w:r>
              <w:t>Analytical Test Group</w:t>
            </w:r>
          </w:p>
        </w:tc>
        <w:tc>
          <w:tcPr>
            <w:tcW w:w="3142" w:type="dxa"/>
          </w:tcPr>
          <w:p>
            <w:pPr>
              <w:pStyle w:val="P23"/>
            </w:pPr>
            <w:r>
              <w:t>Column 1</w:t>
            </w:r>
          </w:p>
          <w:p>
            <w:pPr>
              <w:pStyle w:val="P23"/>
            </w:pPr>
            <w:r>
              <w:t>Parameter</w:t>
            </w:r>
          </w:p>
        </w:tc>
        <w:tc>
          <w:tcPr>
            <w:tcW w:w="2749" w:type="dxa"/>
          </w:tcPr>
          <w:p>
            <w:pPr>
              <w:pStyle w:val="P23"/>
            </w:pPr>
            <w:r>
              <w:t>Column 2</w:t>
            </w:r>
          </w:p>
          <w:p>
            <w:pPr>
              <w:pStyle w:val="P23"/>
            </w:pPr>
            <w:r>
              <w:t>Monitoring Frequency</w:t>
            </w:r>
          </w:p>
        </w:tc>
      </w:tr>
      <w:tr>
        <w:tc>
          <w:tcPr>
            <w:tcW w:w="1134" w:type="dxa"/>
          </w:tcPr>
          <w:p>
            <w:pPr>
              <w:pStyle w:val="P23"/>
            </w:pPr>
            <w:r>
              <w:t>1.</w:t>
            </w:r>
          </w:p>
        </w:tc>
        <w:tc>
          <w:tcPr>
            <w:tcW w:w="3055" w:type="dxa"/>
          </w:tcPr>
          <w:p>
            <w:pPr>
              <w:pStyle w:val="P23"/>
            </w:pPr>
            <w:r>
              <w:t>5a</w:t>
            </w:r>
          </w:p>
        </w:tc>
        <w:tc>
          <w:tcPr>
            <w:tcW w:w="3142" w:type="dxa"/>
          </w:tcPr>
          <w:p>
            <w:pPr>
              <w:pStyle w:val="P23"/>
            </w:pPr>
            <w:r>
              <w:t>Dissolved Organic Carbon (DOC)</w:t>
            </w:r>
          </w:p>
        </w:tc>
        <w:tc>
          <w:tcPr>
            <w:tcW w:w="2749" w:type="dxa"/>
          </w:tcPr>
          <w:p>
            <w:pPr>
              <w:pStyle w:val="P23"/>
            </w:pPr>
            <w:r>
              <w:t>Weekly</w:t>
            </w:r>
          </w:p>
        </w:tc>
      </w:tr>
      <w:tr>
        <w:tc>
          <w:tcPr>
            <w:tcW w:w="1134" w:type="dxa"/>
          </w:tcPr>
          <w:p>
            <w:pPr>
              <w:pStyle w:val="P23"/>
            </w:pPr>
            <w:r>
              <w:t>2.</w:t>
            </w:r>
          </w:p>
        </w:tc>
        <w:tc>
          <w:tcPr>
            <w:tcW w:w="3055" w:type="dxa"/>
          </w:tcPr>
          <w:p>
            <w:pPr>
              <w:pStyle w:val="P23"/>
            </w:pPr>
            <w:r>
              <w:t>8</w:t>
            </w:r>
          </w:p>
        </w:tc>
        <w:tc>
          <w:tcPr>
            <w:tcW w:w="3142" w:type="dxa"/>
          </w:tcPr>
          <w:p>
            <w:pPr>
              <w:pStyle w:val="P23"/>
            </w:pPr>
            <w:r>
              <w:t xml:space="preserve">Total Suspended Solids (TSS) </w:t>
            </w:r>
          </w:p>
        </w:tc>
        <w:tc>
          <w:tcPr>
            <w:tcW w:w="2749" w:type="dxa"/>
          </w:tcPr>
          <w:p>
            <w:pPr>
              <w:pStyle w:val="P23"/>
            </w:pPr>
            <w:r>
              <w:t>Weekly</w:t>
            </w:r>
          </w:p>
        </w:tc>
      </w:tr>
      <w:tr>
        <w:tc>
          <w:tcPr>
            <w:tcW w:w="1134" w:type="dxa"/>
          </w:tcPr>
          <w:p>
            <w:pPr>
              <w:pStyle w:val="P23"/>
            </w:pPr>
            <w:r>
              <w:t>3.</w:t>
            </w:r>
          </w:p>
        </w:tc>
        <w:tc>
          <w:tcPr>
            <w:tcW w:w="3055" w:type="dxa"/>
          </w:tcPr>
          <w:p>
            <w:pPr>
              <w:pStyle w:val="P23"/>
            </w:pPr>
            <w:r>
              <w:t>30</w:t>
            </w:r>
          </w:p>
        </w:tc>
        <w:tc>
          <w:tcPr>
            <w:tcW w:w="3142" w:type="dxa"/>
          </w:tcPr>
          <w:p>
            <w:pPr>
              <w:pStyle w:val="P23"/>
            </w:pPr>
            <w:r>
              <w:t>Fluoride</w:t>
            </w:r>
          </w:p>
        </w:tc>
        <w:tc>
          <w:tcPr>
            <w:tcW w:w="2749" w:type="dxa"/>
          </w:tcPr>
          <w:p>
            <w:pPr>
              <w:pStyle w:val="P23"/>
            </w:pPr>
            <w:r>
              <w:t>Weekly</w:t>
            </w:r>
          </w:p>
        </w:tc>
      </w:tr>
    </w:tbl>
    <w:p/>
    <w:p>
      <w:pPr>
        <w:pStyle w:val="P137"/>
      </w:pPr>
      <w:r>
        <w:t>TABLE 3</w:t>
        <w:br w:type="textWrapping"/>
        <w:t>Kubota Metal Corporation, Fahramet Division, Orillia</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134" w:type="dxa"/>
          </w:tcPr>
          <w:p>
            <w:pPr>
              <w:pStyle w:val="P23"/>
            </w:pPr>
            <w:r>
              <w:t>Item</w:t>
            </w:r>
          </w:p>
        </w:tc>
        <w:tc>
          <w:tcPr>
            <w:tcW w:w="3055" w:type="dxa"/>
          </w:tcPr>
          <w:p>
            <w:pPr>
              <w:pStyle w:val="P23"/>
            </w:pPr>
            <w:r>
              <w:t>Analytical Test Group</w:t>
            </w:r>
          </w:p>
        </w:tc>
        <w:tc>
          <w:tcPr>
            <w:tcW w:w="3142" w:type="dxa"/>
          </w:tcPr>
          <w:p>
            <w:pPr>
              <w:pStyle w:val="P23"/>
            </w:pPr>
            <w:r>
              <w:t>Column 1</w:t>
            </w:r>
          </w:p>
          <w:p>
            <w:pPr>
              <w:pStyle w:val="P23"/>
            </w:pPr>
            <w:r>
              <w:t>Parameter</w:t>
            </w:r>
          </w:p>
        </w:tc>
        <w:tc>
          <w:tcPr>
            <w:tcW w:w="2749" w:type="dxa"/>
          </w:tcPr>
          <w:p>
            <w:pPr>
              <w:pStyle w:val="P23"/>
            </w:pPr>
            <w:r>
              <w:t>Column 2</w:t>
            </w:r>
          </w:p>
          <w:p>
            <w:pPr>
              <w:pStyle w:val="P23"/>
            </w:pPr>
            <w:r>
              <w:t>Monitoring Frequency</w:t>
            </w:r>
          </w:p>
        </w:tc>
      </w:tr>
      <w:tr>
        <w:tc>
          <w:tcPr>
            <w:tcW w:w="1134" w:type="dxa"/>
          </w:tcPr>
          <w:p>
            <w:pPr>
              <w:pStyle w:val="P23"/>
            </w:pPr>
            <w:r>
              <w:t>1.</w:t>
            </w:r>
          </w:p>
        </w:tc>
        <w:tc>
          <w:tcPr>
            <w:tcW w:w="3055" w:type="dxa"/>
          </w:tcPr>
          <w:p>
            <w:pPr>
              <w:pStyle w:val="P23"/>
            </w:pPr>
            <w:r>
              <w:t>5a</w:t>
            </w:r>
          </w:p>
        </w:tc>
        <w:tc>
          <w:tcPr>
            <w:tcW w:w="3142" w:type="dxa"/>
          </w:tcPr>
          <w:p>
            <w:pPr>
              <w:pStyle w:val="P23"/>
            </w:pPr>
            <w:r>
              <w:t>Dissolved Organic Carbon (DOC)</w:t>
            </w:r>
          </w:p>
        </w:tc>
        <w:tc>
          <w:tcPr>
            <w:tcW w:w="2749" w:type="dxa"/>
          </w:tcPr>
          <w:p>
            <w:pPr>
              <w:pStyle w:val="P23"/>
            </w:pPr>
            <w:r>
              <w:t>Weekly</w:t>
            </w:r>
          </w:p>
        </w:tc>
      </w:tr>
      <w:tr>
        <w:tc>
          <w:tcPr>
            <w:tcW w:w="1134" w:type="dxa"/>
          </w:tcPr>
          <w:p>
            <w:pPr>
              <w:pStyle w:val="P23"/>
            </w:pPr>
            <w:r>
              <w:t>2.</w:t>
            </w:r>
          </w:p>
        </w:tc>
        <w:tc>
          <w:tcPr>
            <w:tcW w:w="3055" w:type="dxa"/>
          </w:tcPr>
          <w:p>
            <w:pPr>
              <w:pStyle w:val="P23"/>
            </w:pPr>
            <w:r>
              <w:t>8</w:t>
            </w:r>
          </w:p>
        </w:tc>
        <w:tc>
          <w:tcPr>
            <w:tcW w:w="3142" w:type="dxa"/>
          </w:tcPr>
          <w:p>
            <w:pPr>
              <w:pStyle w:val="P23"/>
            </w:pPr>
            <w:r>
              <w:t>Total Suspended Solids (TSS)</w:t>
            </w:r>
          </w:p>
        </w:tc>
        <w:tc>
          <w:tcPr>
            <w:tcW w:w="2749" w:type="dxa"/>
          </w:tcPr>
          <w:p>
            <w:pPr>
              <w:pStyle w:val="P23"/>
            </w:pPr>
            <w:r>
              <w:t>Weekly</w:t>
            </w:r>
          </w:p>
        </w:tc>
      </w:tr>
      <w:tr>
        <w:tc>
          <w:tcPr>
            <w:tcW w:w="1134" w:type="dxa"/>
          </w:tcPr>
          <w:p>
            <w:pPr>
              <w:pStyle w:val="P23"/>
            </w:pPr>
            <w:r>
              <w:t>3.</w:t>
            </w:r>
          </w:p>
        </w:tc>
        <w:tc>
          <w:tcPr>
            <w:tcW w:w="3055" w:type="dxa"/>
          </w:tcPr>
          <w:p>
            <w:pPr>
              <w:pStyle w:val="P23"/>
            </w:pPr>
            <w:r>
              <w:t>14</w:t>
            </w:r>
          </w:p>
        </w:tc>
        <w:tc>
          <w:tcPr>
            <w:tcW w:w="3142" w:type="dxa"/>
          </w:tcPr>
          <w:p>
            <w:pPr>
              <w:pStyle w:val="P23"/>
            </w:pPr>
            <w:r>
              <w:t xml:space="preserve">Phenolics (4AAP) </w:t>
            </w:r>
          </w:p>
        </w:tc>
        <w:tc>
          <w:tcPr>
            <w:tcW w:w="2749" w:type="dxa"/>
          </w:tcPr>
          <w:p>
            <w:pPr>
              <w:pStyle w:val="P23"/>
            </w:pPr>
            <w:r>
              <w:t>Weekly</w:t>
            </w:r>
          </w:p>
        </w:tc>
      </w:tr>
    </w:tbl>
    <w:p/>
    <w:p>
      <w:pPr>
        <w:pStyle w:val="P137"/>
      </w:pPr>
      <w:r>
        <w:t>TABLE 4</w:t>
        <w:br w:type="textWrapping"/>
        <w:t>Western Foundry Company Limited, Wingham</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1117" w:type="dxa"/>
          </w:tcPr>
          <w:p>
            <w:pPr>
              <w:pStyle w:val="P23"/>
            </w:pPr>
            <w:r>
              <w:t>Item</w:t>
            </w:r>
          </w:p>
        </w:tc>
        <w:tc>
          <w:tcPr>
            <w:tcW w:w="3072" w:type="dxa"/>
          </w:tcPr>
          <w:p>
            <w:pPr>
              <w:pStyle w:val="P23"/>
            </w:pPr>
            <w:r>
              <w:t>Analytical Test Group</w:t>
            </w:r>
          </w:p>
        </w:tc>
        <w:tc>
          <w:tcPr>
            <w:tcW w:w="3142" w:type="dxa"/>
          </w:tcPr>
          <w:p>
            <w:pPr>
              <w:pStyle w:val="P23"/>
            </w:pPr>
            <w:r>
              <w:t>Column 1</w:t>
            </w:r>
          </w:p>
          <w:p>
            <w:pPr>
              <w:pStyle w:val="P23"/>
            </w:pPr>
            <w:r>
              <w:t>Parameter</w:t>
            </w:r>
          </w:p>
        </w:tc>
        <w:tc>
          <w:tcPr>
            <w:tcW w:w="2749" w:type="dxa"/>
          </w:tcPr>
          <w:p>
            <w:pPr>
              <w:pStyle w:val="P23"/>
            </w:pPr>
            <w:r>
              <w:t>Column 2</w:t>
            </w:r>
          </w:p>
          <w:p>
            <w:pPr>
              <w:pStyle w:val="P23"/>
            </w:pPr>
            <w:r>
              <w:t>Monitoring Frequency</w:t>
            </w:r>
          </w:p>
        </w:tc>
      </w:tr>
      <w:tr>
        <w:tc>
          <w:tcPr>
            <w:tcW w:w="1117" w:type="dxa"/>
          </w:tcPr>
          <w:p>
            <w:pPr>
              <w:pStyle w:val="P23"/>
            </w:pPr>
            <w:r>
              <w:t>1.</w:t>
            </w:r>
          </w:p>
        </w:tc>
        <w:tc>
          <w:tcPr>
            <w:tcW w:w="3072" w:type="dxa"/>
          </w:tcPr>
          <w:p>
            <w:pPr>
              <w:pStyle w:val="P23"/>
            </w:pPr>
            <w:r>
              <w:t>5a</w:t>
            </w:r>
          </w:p>
        </w:tc>
        <w:tc>
          <w:tcPr>
            <w:tcW w:w="3142" w:type="dxa"/>
          </w:tcPr>
          <w:p>
            <w:pPr>
              <w:pStyle w:val="P23"/>
            </w:pPr>
            <w:r>
              <w:t>Dissolved Organic Carbon (DOC)</w:t>
            </w:r>
          </w:p>
        </w:tc>
        <w:tc>
          <w:tcPr>
            <w:tcW w:w="2749" w:type="dxa"/>
          </w:tcPr>
          <w:p>
            <w:pPr>
              <w:pStyle w:val="P23"/>
            </w:pPr>
            <w:r>
              <w:t>Weekly</w:t>
            </w:r>
          </w:p>
        </w:tc>
      </w:tr>
      <w:tr>
        <w:tc>
          <w:tcPr>
            <w:tcW w:w="1117" w:type="dxa"/>
          </w:tcPr>
          <w:p>
            <w:pPr>
              <w:pStyle w:val="P23"/>
            </w:pPr>
            <w:r>
              <w:t>2.</w:t>
            </w:r>
          </w:p>
        </w:tc>
        <w:tc>
          <w:tcPr>
            <w:tcW w:w="3072" w:type="dxa"/>
          </w:tcPr>
          <w:p>
            <w:pPr>
              <w:pStyle w:val="P23"/>
            </w:pPr>
            <w:r>
              <w:t>8</w:t>
            </w:r>
          </w:p>
        </w:tc>
        <w:tc>
          <w:tcPr>
            <w:tcW w:w="3142" w:type="dxa"/>
          </w:tcPr>
          <w:p>
            <w:pPr>
              <w:pStyle w:val="P23"/>
            </w:pPr>
            <w:r>
              <w:t>Total Suspended Solids (TSS)</w:t>
            </w:r>
          </w:p>
        </w:tc>
        <w:tc>
          <w:tcPr>
            <w:tcW w:w="2749" w:type="dxa"/>
          </w:tcPr>
          <w:p>
            <w:pPr>
              <w:pStyle w:val="P23"/>
            </w:pPr>
            <w:r>
              <w:t>Weekly</w:t>
            </w:r>
          </w:p>
        </w:tc>
      </w:tr>
      <w:tr>
        <w:trPr>
          <w:trHeight w:hRule="atLeast" w:val="254"/>
        </w:trPr>
        <w:tc>
          <w:tcPr>
            <w:tcW w:w="1117" w:type="dxa"/>
          </w:tcPr>
          <w:p>
            <w:pPr>
              <w:pStyle w:val="P23"/>
            </w:pPr>
            <w:r>
              <w:t>3.</w:t>
            </w:r>
          </w:p>
        </w:tc>
        <w:tc>
          <w:tcPr>
            <w:tcW w:w="3072" w:type="dxa"/>
          </w:tcPr>
          <w:p>
            <w:pPr>
              <w:pStyle w:val="P23"/>
            </w:pPr>
            <w:r>
              <w:t>14</w:t>
            </w:r>
          </w:p>
        </w:tc>
        <w:tc>
          <w:tcPr>
            <w:tcW w:w="3142" w:type="dxa"/>
          </w:tcPr>
          <w:p>
            <w:pPr>
              <w:pStyle w:val="P23"/>
            </w:pPr>
            <w:r>
              <w:t>Phenolics (4AAP)</w:t>
            </w:r>
          </w:p>
        </w:tc>
        <w:tc>
          <w:tcPr>
            <w:tcW w:w="2749" w:type="dxa"/>
          </w:tcPr>
          <w:p>
            <w:pPr>
              <w:pStyle w:val="P23"/>
            </w:pPr>
            <w:r>
              <w:t>Weekly</w:t>
            </w:r>
          </w:p>
        </w:tc>
      </w:tr>
      <w:tr>
        <w:tc>
          <w:tcPr>
            <w:tcW w:w="1117" w:type="dxa"/>
          </w:tcPr>
          <w:p>
            <w:pPr>
              <w:pStyle w:val="P23"/>
            </w:pPr>
            <w:r>
              <w:t>4.</w:t>
            </w:r>
          </w:p>
        </w:tc>
        <w:tc>
          <w:tcPr>
            <w:tcW w:w="3072" w:type="dxa"/>
          </w:tcPr>
          <w:p>
            <w:pPr>
              <w:pStyle w:val="P23"/>
            </w:pPr>
            <w:r>
              <w:t>30</w:t>
            </w:r>
          </w:p>
        </w:tc>
        <w:tc>
          <w:tcPr>
            <w:tcW w:w="3142" w:type="dxa"/>
          </w:tcPr>
          <w:p>
            <w:pPr>
              <w:pStyle w:val="P23"/>
            </w:pPr>
            <w:r>
              <w:t xml:space="preserve">Fluoride </w:t>
            </w:r>
          </w:p>
        </w:tc>
        <w:tc>
          <w:tcPr>
            <w:tcW w:w="2749" w:type="dxa"/>
          </w:tcPr>
          <w:p>
            <w:pPr>
              <w:pStyle w:val="P23"/>
            </w:pPr>
            <w:r>
              <w:t>Weekly</w:t>
            </w:r>
          </w:p>
        </w:tc>
      </w:tr>
    </w:tbl>
    <w:p>
      <w:pPr>
        <w:pStyle w:val="P29"/>
      </w:pPr>
      <w:r>
        <w:t>O. Reg. 307/17, s. 7.</w:t>
      </w:r>
    </w:p>
    <w:p>
      <w:pPr>
        <w:pStyle w:val="P20"/>
      </w:pPr>
      <w:r>
        <w:t>Schedule 4</w:t>
        <w:br w:type="textWrapping"/>
        <w:t>Products and Production Rate</w:t>
      </w:r>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trHeight w:hRule="atLeast" w:val="630"/>
        </w:trPr>
        <w:tc>
          <w:tcPr>
            <w:tcW w:w="1651" w:type="dxa"/>
          </w:tcPr>
          <w:p>
            <w:pPr>
              <w:pStyle w:val="P23"/>
            </w:pPr>
            <w:r>
              <w:t>Plant Name</w:t>
            </w:r>
          </w:p>
          <w:p>
            <w:pPr>
              <w:pStyle w:val="P23"/>
            </w:pPr>
            <w:r>
              <w:t>Column 1</w:t>
            </w:r>
          </w:p>
        </w:tc>
        <w:tc>
          <w:tcPr>
            <w:tcW w:w="1377" w:type="dxa"/>
          </w:tcPr>
          <w:p>
            <w:pPr>
              <w:pStyle w:val="P23"/>
            </w:pPr>
            <w:r>
              <w:t>Products</w:t>
            </w:r>
          </w:p>
          <w:p>
            <w:pPr>
              <w:pStyle w:val="P23"/>
            </w:pPr>
            <w:r>
              <w:t>Column 2</w:t>
            </w:r>
          </w:p>
        </w:tc>
        <w:tc>
          <w:tcPr>
            <w:tcW w:w="1652" w:type="dxa"/>
          </w:tcPr>
          <w:p>
            <w:pPr>
              <w:pStyle w:val="P23"/>
            </w:pPr>
            <w:r>
              <w:t>Reference Production Rate (tonnes/day)</w:t>
            </w:r>
          </w:p>
          <w:p>
            <w:pPr>
              <w:pStyle w:val="P23"/>
            </w:pPr>
            <w:r>
              <w:t>Column 3</w:t>
            </w:r>
          </w:p>
        </w:tc>
      </w:tr>
      <w:tr>
        <w:tblPrEx>
          <w:tblCellMar>
            <w:top w:w="0" w:type="dxa"/>
            <w:bottom w:w="0" w:type="dxa"/>
          </w:tblCellMar>
        </w:tblPrEx>
        <w:tc>
          <w:tcPr>
            <w:tcW w:w="1651" w:type="dxa"/>
          </w:tcPr>
          <w:p>
            <w:pPr>
              <w:pStyle w:val="P23"/>
            </w:pPr>
            <w:r>
              <w:t>Ford Motor Company of Canada Ltd., Windsor Casting Plant</w:t>
            </w:r>
          </w:p>
        </w:tc>
        <w:tc>
          <w:tcPr>
            <w:tcW w:w="1377" w:type="dxa"/>
          </w:tcPr>
          <w:p>
            <w:pPr>
              <w:pStyle w:val="P23"/>
            </w:pPr>
            <w:r>
              <w:t>Automotive parts</w:t>
            </w:r>
          </w:p>
        </w:tc>
        <w:tc>
          <w:tcPr>
            <w:tcW w:w="1652" w:type="dxa"/>
          </w:tcPr>
          <w:p>
            <w:pPr>
              <w:pStyle w:val="P23"/>
              <w:jc w:val="right"/>
            </w:pPr>
            <w:r>
              <w:t>1180</w:t>
            </w:r>
          </w:p>
        </w:tc>
      </w:tr>
      <w:tr>
        <w:tblPrEx>
          <w:tblCellMar>
            <w:top w:w="0" w:type="dxa"/>
            <w:bottom w:w="0" w:type="dxa"/>
          </w:tblCellMar>
        </w:tblPrEx>
        <w:tc>
          <w:tcPr>
            <w:tcW w:w="1651" w:type="dxa"/>
          </w:tcPr>
          <w:p>
            <w:pPr>
              <w:pStyle w:val="P23"/>
            </w:pPr>
            <w:r>
              <w:t>Haley Industries Ltd.</w:t>
            </w:r>
          </w:p>
        </w:tc>
        <w:tc>
          <w:tcPr>
            <w:tcW w:w="1377" w:type="dxa"/>
          </w:tcPr>
          <w:p>
            <w:pPr>
              <w:pStyle w:val="P23"/>
            </w:pPr>
            <w:r>
              <w:t>Aerospace castings</w:t>
            </w:r>
          </w:p>
        </w:tc>
        <w:tc>
          <w:tcPr>
            <w:tcW w:w="1652" w:type="dxa"/>
          </w:tcPr>
          <w:p>
            <w:pPr>
              <w:pStyle w:val="P23"/>
              <w:jc w:val="right"/>
            </w:pPr>
            <w:r>
              <w:t>2.7</w:t>
            </w:r>
          </w:p>
        </w:tc>
      </w:tr>
    </w:tbl>
    <w:p>
      <w:pPr>
        <w:pStyle w:val="P29"/>
      </w:pPr>
      <w:r>
        <w:t>O. Reg. 562/94, Sched. 4.</w:t>
      </w:r>
    </w:p>
    <w:p>
      <w:pPr>
        <w:pStyle w:val="P29"/>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6"/>
    </w:pP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2"/>
      <w:suff w:val="tab"/>
      <w:lvlText w:val="%1."/>
      <w:lvlJc w:val="left"/>
      <w:pPr>
        <w:ind w:hanging="360" w:left="1492"/>
        <w:tabs>
          <w:tab w:val="left" w:pos="1492" w:leader="none"/>
        </w:tabs>
      </w:pPr>
      <w:rPr/>
    </w:lvl>
    <w:lvl w:ilvl="1" w:tplc="41E98E64">
      <w:start w:val="1"/>
      <w:numFmt w:val="decimal"/>
      <w:suff w:val="tab"/>
      <w:lvlText w:val="%1."/>
      <w:lvlJc w:val="left"/>
      <w:pPr/>
      <w:rPr/>
    </w:lvl>
    <w:lvl w:ilvl="2" w:tplc="592A4648">
      <w:start w:val="1"/>
      <w:numFmt w:val="decimal"/>
      <w:suff w:val="tab"/>
      <w:lvlText w:val="%1."/>
      <w:lvlJc w:val="left"/>
      <w:pPr/>
      <w:rPr/>
    </w:lvl>
    <w:lvl w:ilvl="3" w:tplc="7B685FD6">
      <w:start w:val="1"/>
      <w:numFmt w:val="decimal"/>
      <w:suff w:val="tab"/>
      <w:lvlText w:val="%1."/>
      <w:lvlJc w:val="left"/>
      <w:pPr/>
      <w:rPr/>
    </w:lvl>
    <w:lvl w:ilvl="4" w:tplc="0C446DF1">
      <w:start w:val="1"/>
      <w:numFmt w:val="decimal"/>
      <w:suff w:val="tab"/>
      <w:lvlText w:val="%1."/>
      <w:lvlJc w:val="left"/>
      <w:pPr/>
      <w:rPr/>
    </w:lvl>
    <w:lvl w:ilvl="5" w:tplc="2F113BD5">
      <w:start w:val="1"/>
      <w:numFmt w:val="decimal"/>
      <w:suff w:val="tab"/>
      <w:lvlText w:val="%1."/>
      <w:lvlJc w:val="left"/>
      <w:pPr/>
      <w:rPr/>
    </w:lvl>
    <w:lvl w:ilvl="6" w:tplc="0A52BA5C">
      <w:start w:val="1"/>
      <w:numFmt w:val="decimal"/>
      <w:suff w:val="tab"/>
      <w:lvlText w:val="%1."/>
      <w:lvlJc w:val="left"/>
      <w:pPr/>
      <w:rPr/>
    </w:lvl>
    <w:lvl w:ilvl="7" w:tplc="51436B4E">
      <w:start w:val="1"/>
      <w:numFmt w:val="decimal"/>
      <w:suff w:val="tab"/>
      <w:lvlText w:val="%1."/>
      <w:lvlJc w:val="left"/>
      <w:pPr/>
      <w:rPr/>
    </w:lvl>
    <w:lvl w:ilvl="8" w:tplc="4D8FFC3B">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6CFE4EC">
      <w:start w:val="1"/>
      <w:numFmt w:val="decimal"/>
      <w:suff w:val="tab"/>
      <w:lvlText w:val="%1."/>
      <w:lvlJc w:val="left"/>
      <w:pPr/>
      <w:rPr/>
    </w:lvl>
    <w:lvl w:ilvl="2" w:tplc="07EC7869">
      <w:start w:val="1"/>
      <w:numFmt w:val="decimal"/>
      <w:suff w:val="tab"/>
      <w:lvlText w:val="%1."/>
      <w:lvlJc w:val="left"/>
      <w:pPr/>
      <w:rPr/>
    </w:lvl>
    <w:lvl w:ilvl="3" w:tplc="3D130E87">
      <w:start w:val="1"/>
      <w:numFmt w:val="decimal"/>
      <w:suff w:val="tab"/>
      <w:lvlText w:val="%1."/>
      <w:lvlJc w:val="left"/>
      <w:pPr/>
      <w:rPr/>
    </w:lvl>
    <w:lvl w:ilvl="4" w:tplc="7C942EE2">
      <w:start w:val="1"/>
      <w:numFmt w:val="decimal"/>
      <w:suff w:val="tab"/>
      <w:lvlText w:val="%1."/>
      <w:lvlJc w:val="left"/>
      <w:pPr/>
      <w:rPr/>
    </w:lvl>
    <w:lvl w:ilvl="5" w:tplc="205791E7">
      <w:start w:val="1"/>
      <w:numFmt w:val="decimal"/>
      <w:suff w:val="tab"/>
      <w:lvlText w:val="%1."/>
      <w:lvlJc w:val="left"/>
      <w:pPr/>
      <w:rPr/>
    </w:lvl>
    <w:lvl w:ilvl="6" w:tplc="5325ECE6">
      <w:start w:val="1"/>
      <w:numFmt w:val="decimal"/>
      <w:suff w:val="tab"/>
      <w:lvlText w:val="%1."/>
      <w:lvlJc w:val="left"/>
      <w:pPr/>
      <w:rPr/>
    </w:lvl>
    <w:lvl w:ilvl="7" w:tplc="4078BC05">
      <w:start w:val="1"/>
      <w:numFmt w:val="decimal"/>
      <w:suff w:val="tab"/>
      <w:lvlText w:val="%1."/>
      <w:lvlJc w:val="left"/>
      <w:pPr/>
      <w:rPr/>
    </w:lvl>
    <w:lvl w:ilvl="8" w:tplc="4DB208E5">
      <w:start w:val="1"/>
      <w:numFmt w:val="decimal"/>
      <w:suff w:val="tab"/>
      <w:lvlText w:val="%1."/>
      <w:lvlJc w:val="left"/>
      <w:pPr/>
      <w:rPr/>
    </w:lvl>
  </w:abstractNum>
  <w:abstractNum w:abstractNumId="2">
    <w:nsid w:val="00000082"/>
    <w:multiLevelType w:val="hybridMultilevel"/>
    <w:lvl w:ilvl="0">
      <w:start w:val="1"/>
      <w:numFmt w:val="decimal"/>
      <w:pStyle w:val="P80"/>
      <w:suff w:val="tab"/>
      <w:lvlText w:val="%1."/>
      <w:lvlJc w:val="left"/>
      <w:pPr>
        <w:ind w:hanging="360" w:left="926"/>
        <w:tabs>
          <w:tab w:val="left" w:pos="926" w:leader="none"/>
        </w:tabs>
      </w:pPr>
      <w:rPr/>
    </w:lvl>
    <w:lvl w:ilvl="1" w:tplc="2BE0B1F6">
      <w:start w:val="1"/>
      <w:numFmt w:val="decimal"/>
      <w:suff w:val="tab"/>
      <w:lvlText w:val="%1."/>
      <w:lvlJc w:val="left"/>
      <w:pPr/>
      <w:rPr/>
    </w:lvl>
    <w:lvl w:ilvl="2" w:tplc="287EE0AC">
      <w:start w:val="1"/>
      <w:numFmt w:val="decimal"/>
      <w:suff w:val="tab"/>
      <w:lvlText w:val="%1."/>
      <w:lvlJc w:val="left"/>
      <w:pPr/>
      <w:rPr/>
    </w:lvl>
    <w:lvl w:ilvl="3" w:tplc="61D6DCB1">
      <w:start w:val="1"/>
      <w:numFmt w:val="decimal"/>
      <w:suff w:val="tab"/>
      <w:lvlText w:val="%1."/>
      <w:lvlJc w:val="left"/>
      <w:pPr/>
      <w:rPr/>
    </w:lvl>
    <w:lvl w:ilvl="4" w:tplc="05A739E7">
      <w:start w:val="1"/>
      <w:numFmt w:val="decimal"/>
      <w:suff w:val="tab"/>
      <w:lvlText w:val="%1."/>
      <w:lvlJc w:val="left"/>
      <w:pPr/>
      <w:rPr/>
    </w:lvl>
    <w:lvl w:ilvl="5" w:tplc="4734E2CB">
      <w:start w:val="1"/>
      <w:numFmt w:val="decimal"/>
      <w:suff w:val="tab"/>
      <w:lvlText w:val="%1."/>
      <w:lvlJc w:val="left"/>
      <w:pPr/>
      <w:rPr/>
    </w:lvl>
    <w:lvl w:ilvl="6" w:tplc="1ECD8DFC">
      <w:start w:val="1"/>
      <w:numFmt w:val="decimal"/>
      <w:suff w:val="tab"/>
      <w:lvlText w:val="%1."/>
      <w:lvlJc w:val="left"/>
      <w:pPr/>
      <w:rPr/>
    </w:lvl>
    <w:lvl w:ilvl="7" w:tplc="3690DA7E">
      <w:start w:val="1"/>
      <w:numFmt w:val="decimal"/>
      <w:suff w:val="tab"/>
      <w:lvlText w:val="%1."/>
      <w:lvlJc w:val="left"/>
      <w:pPr/>
      <w:rPr/>
    </w:lvl>
    <w:lvl w:ilvl="8" w:tplc="79526D92">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BB724DD">
      <w:start w:val="1"/>
      <w:numFmt w:val="decimal"/>
      <w:suff w:val="tab"/>
      <w:lvlText w:val="%1."/>
      <w:lvlJc w:val="left"/>
      <w:pPr/>
      <w:rPr/>
    </w:lvl>
    <w:lvl w:ilvl="2" w:tplc="76CE4303">
      <w:start w:val="1"/>
      <w:numFmt w:val="decimal"/>
      <w:suff w:val="tab"/>
      <w:lvlText w:val="%1."/>
      <w:lvlJc w:val="left"/>
      <w:pPr/>
      <w:rPr/>
    </w:lvl>
    <w:lvl w:ilvl="3" w:tplc="65F8031C">
      <w:start w:val="1"/>
      <w:numFmt w:val="decimal"/>
      <w:suff w:val="tab"/>
      <w:lvlText w:val="%1."/>
      <w:lvlJc w:val="left"/>
      <w:pPr/>
      <w:rPr/>
    </w:lvl>
    <w:lvl w:ilvl="4" w:tplc="22FD44CA">
      <w:start w:val="1"/>
      <w:numFmt w:val="decimal"/>
      <w:suff w:val="tab"/>
      <w:lvlText w:val="%1."/>
      <w:lvlJc w:val="left"/>
      <w:pPr/>
      <w:rPr/>
    </w:lvl>
    <w:lvl w:ilvl="5" w:tplc="1B00577C">
      <w:start w:val="1"/>
      <w:numFmt w:val="decimal"/>
      <w:suff w:val="tab"/>
      <w:lvlText w:val="%1."/>
      <w:lvlJc w:val="left"/>
      <w:pPr/>
      <w:rPr/>
    </w:lvl>
    <w:lvl w:ilvl="6" w:tplc="4DDB5460">
      <w:start w:val="1"/>
      <w:numFmt w:val="decimal"/>
      <w:suff w:val="tab"/>
      <w:lvlText w:val="%1."/>
      <w:lvlJc w:val="left"/>
      <w:pPr/>
      <w:rPr/>
    </w:lvl>
    <w:lvl w:ilvl="7" w:tplc="4A575CC4">
      <w:start w:val="1"/>
      <w:numFmt w:val="decimal"/>
      <w:suff w:val="tab"/>
      <w:lvlText w:val="%1."/>
      <w:lvlJc w:val="left"/>
      <w:pPr/>
      <w:rPr/>
    </w:lvl>
    <w:lvl w:ilvl="8" w:tplc="09BDEA18">
      <w:start w:val="1"/>
      <w:numFmt w:val="decimal"/>
      <w:suff w:val="tab"/>
      <w:lvlText w:val="%1."/>
      <w:lvlJc w:val="left"/>
      <w:pPr/>
      <w:rPr/>
    </w:lvl>
  </w:abstractNum>
  <w:abstractNum w:abstractNumId="4">
    <w:nsid w:val="00000080"/>
    <w:multiLevelType w:val="hybridMultilevel"/>
    <w:lvl w:ilvl="0">
      <w:start w:val="1"/>
      <w:numFmt w:val="bullet"/>
      <w:pStyle w:val="P72"/>
      <w:suff w:val="tab"/>
      <w:lvlText w:val=""/>
      <w:lvlJc w:val="left"/>
      <w:pPr>
        <w:ind w:hanging="360" w:left="1492"/>
        <w:tabs>
          <w:tab w:val="left" w:pos="1492" w:leader="none"/>
        </w:tabs>
      </w:pPr>
      <w:rPr>
        <w:rFonts w:ascii="Symbol" w:hAnsi="Symbol"/>
      </w:rPr>
    </w:lvl>
    <w:lvl w:ilvl="1" w:tplc="7ABF253F">
      <w:start w:val="1"/>
      <w:numFmt w:val="decimal"/>
      <w:suff w:val="tab"/>
      <w:lvlText w:val="%1."/>
      <w:lvlJc w:val="left"/>
      <w:pPr/>
      <w:rPr/>
    </w:lvl>
    <w:lvl w:ilvl="2" w:tplc="34FA3068">
      <w:start w:val="1"/>
      <w:numFmt w:val="decimal"/>
      <w:suff w:val="tab"/>
      <w:lvlText w:val="%1."/>
      <w:lvlJc w:val="left"/>
      <w:pPr/>
      <w:rPr/>
    </w:lvl>
    <w:lvl w:ilvl="3" w:tplc="068C700D">
      <w:start w:val="1"/>
      <w:numFmt w:val="decimal"/>
      <w:suff w:val="tab"/>
      <w:lvlText w:val="%1."/>
      <w:lvlJc w:val="left"/>
      <w:pPr/>
      <w:rPr/>
    </w:lvl>
    <w:lvl w:ilvl="4" w:tplc="5A5A7EB7">
      <w:start w:val="1"/>
      <w:numFmt w:val="decimal"/>
      <w:suff w:val="tab"/>
      <w:lvlText w:val="%1."/>
      <w:lvlJc w:val="left"/>
      <w:pPr/>
      <w:rPr/>
    </w:lvl>
    <w:lvl w:ilvl="5" w:tplc="75C6DF42">
      <w:start w:val="1"/>
      <w:numFmt w:val="decimal"/>
      <w:suff w:val="tab"/>
      <w:lvlText w:val="%1."/>
      <w:lvlJc w:val="left"/>
      <w:pPr/>
      <w:rPr/>
    </w:lvl>
    <w:lvl w:ilvl="6" w:tplc="5C37DBDF">
      <w:start w:val="1"/>
      <w:numFmt w:val="decimal"/>
      <w:suff w:val="tab"/>
      <w:lvlText w:val="%1."/>
      <w:lvlJc w:val="left"/>
      <w:pPr/>
      <w:rPr/>
    </w:lvl>
    <w:lvl w:ilvl="7" w:tplc="317F4417">
      <w:start w:val="1"/>
      <w:numFmt w:val="decimal"/>
      <w:suff w:val="tab"/>
      <w:lvlText w:val="%1."/>
      <w:lvlJc w:val="left"/>
      <w:pPr/>
      <w:rPr/>
    </w:lvl>
    <w:lvl w:ilvl="8" w:tplc="0C771F9F">
      <w:start w:val="1"/>
      <w:numFmt w:val="decimal"/>
      <w:suff w:val="tab"/>
      <w:lvlText w:val="%1."/>
      <w:lvlJc w:val="left"/>
      <w:pPr/>
      <w:rPr/>
    </w:lvl>
  </w:abstractNum>
  <w:abstractNum w:abstractNumId="5">
    <w:nsid w:val="0000007F"/>
    <w:multiLevelType w:val="hybridMultilevel"/>
    <w:lvl w:ilvl="0">
      <w:start w:val="1"/>
      <w:numFmt w:val="bullet"/>
      <w:pStyle w:val="P71"/>
      <w:suff w:val="tab"/>
      <w:lvlText w:val=""/>
      <w:lvlJc w:val="left"/>
      <w:pPr>
        <w:ind w:hanging="360" w:left="1209"/>
        <w:tabs>
          <w:tab w:val="left" w:pos="1209" w:leader="none"/>
        </w:tabs>
      </w:pPr>
      <w:rPr>
        <w:rFonts w:ascii="Symbol" w:hAnsi="Symbol"/>
      </w:rPr>
    </w:lvl>
    <w:lvl w:ilvl="1" w:tplc="5BDDE8FE">
      <w:start w:val="1"/>
      <w:numFmt w:val="decimal"/>
      <w:suff w:val="tab"/>
      <w:lvlText w:val="%1."/>
      <w:lvlJc w:val="left"/>
      <w:pPr/>
      <w:rPr/>
    </w:lvl>
    <w:lvl w:ilvl="2" w:tplc="57590307">
      <w:start w:val="1"/>
      <w:numFmt w:val="decimal"/>
      <w:suff w:val="tab"/>
      <w:lvlText w:val="%1."/>
      <w:lvlJc w:val="left"/>
      <w:pPr/>
      <w:rPr/>
    </w:lvl>
    <w:lvl w:ilvl="3" w:tplc="1241ED16">
      <w:start w:val="1"/>
      <w:numFmt w:val="decimal"/>
      <w:suff w:val="tab"/>
      <w:lvlText w:val="%1."/>
      <w:lvlJc w:val="left"/>
      <w:pPr/>
      <w:rPr/>
    </w:lvl>
    <w:lvl w:ilvl="4" w:tplc="200DA87C">
      <w:start w:val="1"/>
      <w:numFmt w:val="decimal"/>
      <w:suff w:val="tab"/>
      <w:lvlText w:val="%1."/>
      <w:lvlJc w:val="left"/>
      <w:pPr/>
      <w:rPr/>
    </w:lvl>
    <w:lvl w:ilvl="5" w:tplc="0DB3A6A4">
      <w:start w:val="1"/>
      <w:numFmt w:val="decimal"/>
      <w:suff w:val="tab"/>
      <w:lvlText w:val="%1."/>
      <w:lvlJc w:val="left"/>
      <w:pPr/>
      <w:rPr/>
    </w:lvl>
    <w:lvl w:ilvl="6" w:tplc="4BE10B08">
      <w:start w:val="1"/>
      <w:numFmt w:val="decimal"/>
      <w:suff w:val="tab"/>
      <w:lvlText w:val="%1."/>
      <w:lvlJc w:val="left"/>
      <w:pPr/>
      <w:rPr/>
    </w:lvl>
    <w:lvl w:ilvl="7" w:tplc="3B710148">
      <w:start w:val="1"/>
      <w:numFmt w:val="decimal"/>
      <w:suff w:val="tab"/>
      <w:lvlText w:val="%1."/>
      <w:lvlJc w:val="left"/>
      <w:pPr/>
      <w:rPr/>
    </w:lvl>
    <w:lvl w:ilvl="8" w:tplc="11E8C656">
      <w:start w:val="1"/>
      <w:numFmt w:val="decimal"/>
      <w:suff w:val="tab"/>
      <w:lvlText w:val="%1."/>
      <w:lvlJc w:val="left"/>
      <w:pPr/>
      <w:rPr/>
    </w:lvl>
  </w:abstractNum>
  <w:abstractNum w:abstractNumId="6">
    <w:nsid w:val="0000007E"/>
    <w:multiLevelType w:val="hybridMultilevel"/>
    <w:lvl w:ilvl="0">
      <w:start w:val="1"/>
      <w:numFmt w:val="bullet"/>
      <w:pStyle w:val="P70"/>
      <w:suff w:val="tab"/>
      <w:lvlText w:val=""/>
      <w:lvlJc w:val="left"/>
      <w:pPr>
        <w:ind w:hanging="360" w:left="926"/>
        <w:tabs>
          <w:tab w:val="left" w:pos="926" w:leader="none"/>
        </w:tabs>
      </w:pPr>
      <w:rPr>
        <w:rFonts w:ascii="Symbol" w:hAnsi="Symbol"/>
      </w:rPr>
    </w:lvl>
    <w:lvl w:ilvl="1" w:tplc="217380D4">
      <w:start w:val="1"/>
      <w:numFmt w:val="decimal"/>
      <w:suff w:val="tab"/>
      <w:lvlText w:val="%1."/>
      <w:lvlJc w:val="left"/>
      <w:pPr/>
      <w:rPr/>
    </w:lvl>
    <w:lvl w:ilvl="2" w:tplc="3C42557C">
      <w:start w:val="1"/>
      <w:numFmt w:val="decimal"/>
      <w:suff w:val="tab"/>
      <w:lvlText w:val="%1."/>
      <w:lvlJc w:val="left"/>
      <w:pPr/>
      <w:rPr/>
    </w:lvl>
    <w:lvl w:ilvl="3" w:tplc="11F5647D">
      <w:start w:val="1"/>
      <w:numFmt w:val="decimal"/>
      <w:suff w:val="tab"/>
      <w:lvlText w:val="%1."/>
      <w:lvlJc w:val="left"/>
      <w:pPr/>
      <w:rPr/>
    </w:lvl>
    <w:lvl w:ilvl="4" w:tplc="5C9AD2D9">
      <w:start w:val="1"/>
      <w:numFmt w:val="decimal"/>
      <w:suff w:val="tab"/>
      <w:lvlText w:val="%1."/>
      <w:lvlJc w:val="left"/>
      <w:pPr/>
      <w:rPr/>
    </w:lvl>
    <w:lvl w:ilvl="5" w:tplc="55B39371">
      <w:start w:val="1"/>
      <w:numFmt w:val="decimal"/>
      <w:suff w:val="tab"/>
      <w:lvlText w:val="%1."/>
      <w:lvlJc w:val="left"/>
      <w:pPr/>
      <w:rPr/>
    </w:lvl>
    <w:lvl w:ilvl="6" w:tplc="35BECE42">
      <w:start w:val="1"/>
      <w:numFmt w:val="decimal"/>
      <w:suff w:val="tab"/>
      <w:lvlText w:val="%1."/>
      <w:lvlJc w:val="left"/>
      <w:pPr/>
      <w:rPr/>
    </w:lvl>
    <w:lvl w:ilvl="7" w:tplc="1EF74572">
      <w:start w:val="1"/>
      <w:numFmt w:val="decimal"/>
      <w:suff w:val="tab"/>
      <w:lvlText w:val="%1."/>
      <w:lvlJc w:val="left"/>
      <w:pPr/>
      <w:rPr/>
    </w:lvl>
    <w:lvl w:ilvl="8" w:tplc="258C4770">
      <w:start w:val="1"/>
      <w:numFmt w:val="decimal"/>
      <w:suff w:val="tab"/>
      <w:lvlText w:val="%1."/>
      <w:lvlJc w:val="left"/>
      <w:pPr/>
      <w:rPr/>
    </w:lvl>
  </w:abstractNum>
  <w:abstractNum w:abstractNumId="7">
    <w:nsid w:val="0000007D"/>
    <w:multiLevelType w:val="hybridMultilevel"/>
    <w:lvl w:ilvl="0">
      <w:start w:val="1"/>
      <w:numFmt w:val="bullet"/>
      <w:pStyle w:val="P69"/>
      <w:suff w:val="tab"/>
      <w:lvlText w:val=""/>
      <w:lvlJc w:val="left"/>
      <w:pPr>
        <w:ind w:hanging="360" w:left="643"/>
        <w:tabs>
          <w:tab w:val="left" w:pos="643" w:leader="none"/>
        </w:tabs>
      </w:pPr>
      <w:rPr>
        <w:rFonts w:ascii="Symbol" w:hAnsi="Symbol"/>
      </w:rPr>
    </w:lvl>
    <w:lvl w:ilvl="1" w:tplc="6DC18106">
      <w:start w:val="1"/>
      <w:numFmt w:val="decimal"/>
      <w:suff w:val="tab"/>
      <w:lvlText w:val="%1."/>
      <w:lvlJc w:val="left"/>
      <w:pPr/>
      <w:rPr/>
    </w:lvl>
    <w:lvl w:ilvl="2" w:tplc="33D2A122">
      <w:start w:val="1"/>
      <w:numFmt w:val="decimal"/>
      <w:suff w:val="tab"/>
      <w:lvlText w:val="%1."/>
      <w:lvlJc w:val="left"/>
      <w:pPr/>
      <w:rPr/>
    </w:lvl>
    <w:lvl w:ilvl="3" w:tplc="6CEC20EB">
      <w:start w:val="1"/>
      <w:numFmt w:val="decimal"/>
      <w:suff w:val="tab"/>
      <w:lvlText w:val="%1."/>
      <w:lvlJc w:val="left"/>
      <w:pPr/>
      <w:rPr/>
    </w:lvl>
    <w:lvl w:ilvl="4" w:tplc="6F37BA26">
      <w:start w:val="1"/>
      <w:numFmt w:val="decimal"/>
      <w:suff w:val="tab"/>
      <w:lvlText w:val="%1."/>
      <w:lvlJc w:val="left"/>
      <w:pPr/>
      <w:rPr/>
    </w:lvl>
    <w:lvl w:ilvl="5" w:tplc="323CD31E">
      <w:start w:val="1"/>
      <w:numFmt w:val="decimal"/>
      <w:suff w:val="tab"/>
      <w:lvlText w:val="%1."/>
      <w:lvlJc w:val="left"/>
      <w:pPr/>
      <w:rPr/>
    </w:lvl>
    <w:lvl w:ilvl="6" w:tplc="1699A8CE">
      <w:start w:val="1"/>
      <w:numFmt w:val="decimal"/>
      <w:suff w:val="tab"/>
      <w:lvlText w:val="%1."/>
      <w:lvlJc w:val="left"/>
      <w:pPr/>
      <w:rPr/>
    </w:lvl>
    <w:lvl w:ilvl="7" w:tplc="528E58F7">
      <w:start w:val="1"/>
      <w:numFmt w:val="decimal"/>
      <w:suff w:val="tab"/>
      <w:lvlText w:val="%1."/>
      <w:lvlJc w:val="left"/>
      <w:pPr/>
      <w:rPr/>
    </w:lvl>
    <w:lvl w:ilvl="8" w:tplc="45B996C4">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899CBAE">
      <w:start w:val="1"/>
      <w:numFmt w:val="decimal"/>
      <w:suff w:val="tab"/>
      <w:lvlText w:val="%1."/>
      <w:lvlJc w:val="left"/>
      <w:pPr/>
      <w:rPr/>
    </w:lvl>
    <w:lvl w:ilvl="2" w:tplc="5186333D">
      <w:start w:val="1"/>
      <w:numFmt w:val="decimal"/>
      <w:suff w:val="tab"/>
      <w:lvlText w:val="%1."/>
      <w:lvlJc w:val="left"/>
      <w:pPr/>
      <w:rPr/>
    </w:lvl>
    <w:lvl w:ilvl="3" w:tplc="32B80168">
      <w:start w:val="1"/>
      <w:numFmt w:val="decimal"/>
      <w:suff w:val="tab"/>
      <w:lvlText w:val="%1."/>
      <w:lvlJc w:val="left"/>
      <w:pPr/>
      <w:rPr/>
    </w:lvl>
    <w:lvl w:ilvl="4" w:tplc="059F01D1">
      <w:start w:val="1"/>
      <w:numFmt w:val="decimal"/>
      <w:suff w:val="tab"/>
      <w:lvlText w:val="%1."/>
      <w:lvlJc w:val="left"/>
      <w:pPr/>
      <w:rPr/>
    </w:lvl>
    <w:lvl w:ilvl="5" w:tplc="5427F5CF">
      <w:start w:val="1"/>
      <w:numFmt w:val="decimal"/>
      <w:suff w:val="tab"/>
      <w:lvlText w:val="%1."/>
      <w:lvlJc w:val="left"/>
      <w:pPr/>
      <w:rPr/>
    </w:lvl>
    <w:lvl w:ilvl="6" w:tplc="3ABDC42C">
      <w:start w:val="1"/>
      <w:numFmt w:val="decimal"/>
      <w:suff w:val="tab"/>
      <w:lvlText w:val="%1."/>
      <w:lvlJc w:val="left"/>
      <w:pPr/>
      <w:rPr/>
    </w:lvl>
    <w:lvl w:ilvl="7" w:tplc="120FC2D9">
      <w:start w:val="1"/>
      <w:numFmt w:val="decimal"/>
      <w:suff w:val="tab"/>
      <w:lvlText w:val="%1."/>
      <w:lvlJc w:val="left"/>
      <w:pPr/>
      <w:rPr/>
    </w:lvl>
    <w:lvl w:ilvl="8" w:tplc="5AB2F17F">
      <w:start w:val="1"/>
      <w:numFmt w:val="decimal"/>
      <w:suff w:val="tab"/>
      <w:lvlText w:val="%1."/>
      <w:lvlJc w:val="left"/>
      <w:pPr/>
      <w:rPr/>
    </w:lvl>
  </w:abstractNum>
  <w:abstractNum w:abstractNumId="9">
    <w:nsid w:val="00000077"/>
    <w:multiLevelType w:val="hybridMultilevel"/>
    <w:lvl w:ilvl="0">
      <w:start w:val="1"/>
      <w:numFmt w:val="bullet"/>
      <w:pStyle w:val="P68"/>
      <w:suff w:val="tab"/>
      <w:lvlText w:val=""/>
      <w:lvlJc w:val="left"/>
      <w:pPr>
        <w:ind w:hanging="360" w:left="360"/>
        <w:tabs>
          <w:tab w:val="left" w:pos="360" w:leader="none"/>
        </w:tabs>
      </w:pPr>
      <w:rPr>
        <w:rFonts w:ascii="Symbol" w:hAnsi="Symbol"/>
      </w:rPr>
    </w:lvl>
    <w:lvl w:ilvl="1" w:tplc="591988D2">
      <w:start w:val="1"/>
      <w:numFmt w:val="decimal"/>
      <w:suff w:val="tab"/>
      <w:lvlText w:val="%1."/>
      <w:lvlJc w:val="left"/>
      <w:pPr/>
      <w:rPr/>
    </w:lvl>
    <w:lvl w:ilvl="2" w:tplc="0BA97D60">
      <w:start w:val="1"/>
      <w:numFmt w:val="decimal"/>
      <w:suff w:val="tab"/>
      <w:lvlText w:val="%1."/>
      <w:lvlJc w:val="left"/>
      <w:pPr/>
      <w:rPr/>
    </w:lvl>
    <w:lvl w:ilvl="3" w:tplc="691A9D5E">
      <w:start w:val="1"/>
      <w:numFmt w:val="decimal"/>
      <w:suff w:val="tab"/>
      <w:lvlText w:val="%1."/>
      <w:lvlJc w:val="left"/>
      <w:pPr/>
      <w:rPr/>
    </w:lvl>
    <w:lvl w:ilvl="4" w:tplc="1A16F913">
      <w:start w:val="1"/>
      <w:numFmt w:val="decimal"/>
      <w:suff w:val="tab"/>
      <w:lvlText w:val="%1."/>
      <w:lvlJc w:val="left"/>
      <w:pPr/>
      <w:rPr/>
    </w:lvl>
    <w:lvl w:ilvl="5" w:tplc="678C4380">
      <w:start w:val="1"/>
      <w:numFmt w:val="decimal"/>
      <w:suff w:val="tab"/>
      <w:lvlText w:val="%1."/>
      <w:lvlJc w:val="left"/>
      <w:pPr/>
      <w:rPr/>
    </w:lvl>
    <w:lvl w:ilvl="6" w:tplc="09179226">
      <w:start w:val="1"/>
      <w:numFmt w:val="decimal"/>
      <w:suff w:val="tab"/>
      <w:lvlText w:val="%1."/>
      <w:lvlJc w:val="left"/>
      <w:pPr/>
      <w:rPr/>
    </w:lvl>
    <w:lvl w:ilvl="7" w:tplc="63C46D3B">
      <w:start w:val="1"/>
      <w:numFmt w:val="decimal"/>
      <w:suff w:val="tab"/>
      <w:lvlText w:val="%1."/>
      <w:lvlJc w:val="left"/>
      <w:pPr/>
      <w:rPr/>
    </w:lvl>
    <w:lvl w:ilvl="8" w:tplc="28E3DCF0">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7">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9">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0">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1">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2">
    <w:name w:val="subsection-e"/>
    <w:basedOn w:val="P21"/>
    <w:pPr/>
    <w:rPr/>
  </w:style>
  <w:style w:type="paragraph" w:styleId="P23">
    <w:name w:val="table-e"/>
    <w:pPr>
      <w:suppressAutoHyphens w:val="1"/>
      <w:spacing w:lineRule="exact" w:line="189" w:before="11" w:beforeAutospacing="0" w:afterAutospacing="0"/>
    </w:pPr>
    <w:rPr>
      <w:sz w:val="18"/>
      <w:lang w:val="en-GB" w:eastAsia="en-US"/>
    </w:rPr>
  </w:style>
  <w:style w:type="paragraph" w:styleId="P24">
    <w:name w:val="version-e"/>
    <w:pPr>
      <w:tabs>
        <w:tab w:val="left" w:pos="0" w:leader="none"/>
      </w:tabs>
      <w:spacing w:lineRule="exact" w:line="190" w:before="139" w:beforeAutospacing="0" w:afterAutospacing="0"/>
    </w:pPr>
    <w:rPr>
      <w:b w:val="1"/>
      <w:i w:val="1"/>
      <w:lang w:val="en-GB" w:eastAsia="en-US"/>
    </w:rPr>
  </w:style>
  <w:style w:type="paragraph" w:styleId="P25">
    <w:name w:val="header"/>
    <w:basedOn w:val="P0"/>
    <w:semiHidden/>
    <w:pPr>
      <w:tabs>
        <w:tab w:val="center" w:pos="4320" w:leader="none"/>
        <w:tab w:val="right" w:pos="8640" w:leader="none"/>
      </w:tabs>
    </w:pPr>
    <w:rPr/>
  </w:style>
  <w:style w:type="paragraph" w:styleId="P26">
    <w:name w:val="footer"/>
    <w:basedOn w:val="P0"/>
    <w:pPr>
      <w:tabs>
        <w:tab w:val="center" w:pos="4320" w:leader="none"/>
        <w:tab w:val="right" w:pos="8640" w:leader="none"/>
      </w:tabs>
    </w:pPr>
    <w:rPr/>
  </w:style>
  <w:style w:type="paragraph" w:styleId="P27">
    <w:name w:val="Body Text Indent"/>
    <w:basedOn w:val="P0"/>
    <w:semiHidden/>
    <w:pPr>
      <w:spacing w:after="120" w:beforeAutospacing="0" w:afterAutospacing="0"/>
      <w:ind w:left="360"/>
    </w:pPr>
    <w:rPr/>
  </w:style>
  <w:style w:type="paragraph" w:styleId="P28">
    <w:name w:val="Body Text First Indent 2"/>
    <w:basedOn w:val="P27"/>
    <w:semiHidden/>
    <w:pPr>
      <w:ind w:firstLine="210"/>
    </w:pPr>
    <w:rPr/>
  </w:style>
  <w:style w:type="paragraph" w:styleId="P29">
    <w:name w:val="footnote-e"/>
    <w:pPr>
      <w:tabs>
        <w:tab w:val="left" w:pos="0" w:leader="none"/>
      </w:tabs>
      <w:spacing w:lineRule="exact" w:line="209" w:before="111" w:beforeAutospacing="0" w:afterAutospacing="0"/>
      <w:jc w:val="right"/>
    </w:pPr>
    <w:rPr>
      <w:lang w:val="en-GB" w:eastAsia="en-US"/>
    </w:rPr>
  </w:style>
  <w:style w:type="paragraph" w:styleId="P30">
    <w:name w:val="Notice"/>
    <w:basedOn w:val="P145"/>
    <w:pPr>
      <w:spacing w:before="80" w:after="0" w:beforeAutospacing="0" w:afterAutospacing="0"/>
    </w:pPr>
    <w:rPr>
      <w:i w:val="0"/>
      <w:color w:val="FF0000"/>
    </w:rPr>
  </w:style>
  <w:style w:type="paragraph" w:styleId="P31">
    <w:name w:val="NoticeDisclaimer"/>
    <w:basedOn w:val="P30"/>
    <w:pPr>
      <w:spacing w:after="91" w:beforeAutospacing="0" w:afterAutospacing="0"/>
    </w:pPr>
    <w:rPr/>
  </w:style>
  <w:style w:type="paragraph" w:styleId="P32">
    <w:name w:val="Normal (Web)"/>
    <w:basedOn w:val="P0"/>
    <w:semiHidden/>
    <w:pPr/>
    <w:rPr>
      <w:sz w:val="24"/>
    </w:rPr>
  </w:style>
  <w:style w:type="paragraph" w:styleId="P33">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4">
    <w:name w:val="Block Text"/>
    <w:basedOn w:val="P0"/>
    <w:semiHidden/>
    <w:pPr>
      <w:spacing w:after="120" w:beforeAutospacing="0" w:afterAutospacing="0"/>
      <w:ind w:left="1440" w:right="1440"/>
    </w:pPr>
    <w:rPr/>
  </w:style>
  <w:style w:type="paragraph" w:styleId="P35">
    <w:name w:val="Body Text"/>
    <w:basedOn w:val="P0"/>
    <w:semiHidden/>
    <w:pPr>
      <w:spacing w:after="120" w:beforeAutospacing="0" w:afterAutospacing="0"/>
    </w:pPr>
    <w:rPr/>
  </w:style>
  <w:style w:type="paragraph" w:styleId="P36">
    <w:name w:val="Body Text 2"/>
    <w:basedOn w:val="P0"/>
    <w:semiHidden/>
    <w:pPr>
      <w:spacing w:lineRule="auto" w:line="480" w:after="120" w:beforeAutospacing="0" w:afterAutospacing="0"/>
    </w:pPr>
    <w:rPr/>
  </w:style>
  <w:style w:type="paragraph" w:styleId="P37">
    <w:name w:val="Body Text 3"/>
    <w:basedOn w:val="P0"/>
    <w:semiHidden/>
    <w:pPr>
      <w:spacing w:after="120" w:beforeAutospacing="0" w:afterAutospacing="0"/>
    </w:pPr>
    <w:rPr>
      <w:sz w:val="16"/>
    </w:rPr>
  </w:style>
  <w:style w:type="paragraph" w:styleId="P38">
    <w:name w:val="Body Text First Indent"/>
    <w:basedOn w:val="P35"/>
    <w:semiHidden/>
    <w:pPr>
      <w:ind w:firstLine="210"/>
    </w:pPr>
    <w:rPr/>
  </w:style>
  <w:style w:type="paragraph" w:styleId="P39">
    <w:name w:val="Body Text Indent 2"/>
    <w:basedOn w:val="P0"/>
    <w:semiHidden/>
    <w:pPr>
      <w:spacing w:lineRule="auto" w:line="480" w:after="120" w:beforeAutospacing="0" w:afterAutospacing="0"/>
      <w:ind w:left="283"/>
    </w:pPr>
    <w:rPr/>
  </w:style>
  <w:style w:type="paragraph" w:styleId="P40">
    <w:name w:val="Body Text Indent 3"/>
    <w:basedOn w:val="P0"/>
    <w:semiHidden/>
    <w:pPr>
      <w:spacing w:after="120" w:beforeAutospacing="0" w:afterAutospacing="0"/>
      <w:ind w:left="283"/>
    </w:pPr>
    <w:rPr>
      <w:sz w:val="16"/>
    </w:rPr>
  </w:style>
  <w:style w:type="paragraph" w:styleId="P41">
    <w:name w:val="caption"/>
    <w:basedOn w:val="P0"/>
    <w:next w:val="P0"/>
    <w:qFormat/>
    <w:pPr>
      <w:spacing w:before="120" w:after="120" w:beforeAutospacing="0" w:afterAutospacing="0"/>
    </w:pPr>
    <w:rPr>
      <w:b w:val="1"/>
    </w:rPr>
  </w:style>
  <w:style w:type="paragraph" w:styleId="P42">
    <w:name w:val="Closing"/>
    <w:basedOn w:val="P0"/>
    <w:semiHidden/>
    <w:pPr>
      <w:ind w:left="4252"/>
    </w:pPr>
    <w:rPr/>
  </w:style>
  <w:style w:type="paragraph" w:styleId="P43">
    <w:name w:val="annotation text"/>
    <w:basedOn w:val="P0"/>
    <w:semiHidden/>
    <w:pPr/>
    <w:rPr/>
  </w:style>
  <w:style w:type="paragraph" w:styleId="P44">
    <w:name w:val="Date"/>
    <w:basedOn w:val="P0"/>
    <w:next w:val="P0"/>
    <w:semiHidden/>
    <w:pPr/>
    <w:rPr/>
  </w:style>
  <w:style w:type="paragraph" w:styleId="P45">
    <w:name w:val="Document Map"/>
    <w:basedOn w:val="P0"/>
    <w:semiHidden/>
    <w:pPr>
      <w:shd w:val="clear" w:fill="000080"/>
    </w:pPr>
    <w:rPr>
      <w:rFonts w:ascii="Tahoma" w:hAnsi="Tahoma"/>
    </w:rPr>
  </w:style>
  <w:style w:type="paragraph" w:styleId="P46">
    <w:name w:val="E-mail Signature"/>
    <w:basedOn w:val="P0"/>
    <w:semiHidden/>
    <w:pPr/>
    <w:rPr/>
  </w:style>
  <w:style w:type="paragraph" w:styleId="P47">
    <w:name w:val="endnote text"/>
    <w:basedOn w:val="P0"/>
    <w:semiHidden/>
    <w:pPr/>
    <w:rPr/>
  </w:style>
  <w:style w:type="paragraph" w:styleId="P48">
    <w:name w:val="envelope address"/>
    <w:basedOn w:val="P0"/>
    <w:semiHidden/>
    <w:pPr>
      <w:framePr w:w="7920" w:h="1980" w:hRule="exact" w:hSpace="180" w:wrap="auto" w:hAnchor="page" w:x="0" w:xAlign="center" w:y="0" w:yAlign="bottom"/>
      <w:ind w:left="2880"/>
    </w:pPr>
    <w:rPr>
      <w:rFonts w:ascii="Arial" w:hAnsi="Arial"/>
      <w:sz w:val="24"/>
    </w:rPr>
  </w:style>
  <w:style w:type="paragraph" w:styleId="P49">
    <w:name w:val="envelope return"/>
    <w:basedOn w:val="P0"/>
    <w:semiHidden/>
    <w:pPr/>
    <w:rPr>
      <w:rFonts w:ascii="Arial" w:hAnsi="Arial"/>
    </w:rPr>
  </w:style>
  <w:style w:type="paragraph" w:styleId="P50">
    <w:name w:val="footnote text"/>
    <w:basedOn w:val="P0"/>
    <w:semiHidden/>
    <w:pPr/>
    <w:rPr/>
  </w:style>
  <w:style w:type="paragraph" w:styleId="P51">
    <w:name w:val="HTML Address"/>
    <w:basedOn w:val="P0"/>
    <w:semiHidden/>
    <w:pPr/>
    <w:rPr>
      <w:i w:val="1"/>
    </w:rPr>
  </w:style>
  <w:style w:type="paragraph" w:styleId="P52">
    <w:name w:val="HTML Preformatted"/>
    <w:basedOn w:val="P0"/>
    <w:semiHidden/>
    <w:pPr/>
    <w:rPr>
      <w:rFonts w:ascii="Courier New" w:hAnsi="Courier New"/>
    </w:rPr>
  </w:style>
  <w:style w:type="paragraph" w:styleId="P53">
    <w:name w:val="index 1"/>
    <w:basedOn w:val="P0"/>
    <w:next w:val="P0"/>
    <w:semiHidden/>
    <w:pPr>
      <w:ind w:hanging="200" w:left="200"/>
    </w:pPr>
    <w:rPr/>
  </w:style>
  <w:style w:type="paragraph" w:styleId="P54">
    <w:name w:val="index 2"/>
    <w:basedOn w:val="P0"/>
    <w:next w:val="P0"/>
    <w:semiHidden/>
    <w:pPr>
      <w:ind w:hanging="200" w:left="400"/>
    </w:pPr>
    <w:rPr/>
  </w:style>
  <w:style w:type="paragraph" w:styleId="P55">
    <w:name w:val="index 3"/>
    <w:basedOn w:val="P0"/>
    <w:next w:val="P0"/>
    <w:semiHidden/>
    <w:pPr>
      <w:ind w:hanging="200" w:left="600"/>
    </w:pPr>
    <w:rPr/>
  </w:style>
  <w:style w:type="paragraph" w:styleId="P56">
    <w:name w:val="index 4"/>
    <w:basedOn w:val="P0"/>
    <w:next w:val="P0"/>
    <w:semiHidden/>
    <w:pPr>
      <w:ind w:hanging="200" w:left="800"/>
    </w:pPr>
    <w:rPr/>
  </w:style>
  <w:style w:type="paragraph" w:styleId="P57">
    <w:name w:val="index 5"/>
    <w:basedOn w:val="P0"/>
    <w:next w:val="P0"/>
    <w:semiHidden/>
    <w:pPr>
      <w:ind w:hanging="200" w:left="1000"/>
    </w:pPr>
    <w:rPr/>
  </w:style>
  <w:style w:type="paragraph" w:styleId="P58">
    <w:name w:val="index 6"/>
    <w:basedOn w:val="P0"/>
    <w:next w:val="P0"/>
    <w:semiHidden/>
    <w:pPr>
      <w:ind w:hanging="200" w:left="1200"/>
    </w:pPr>
    <w:rPr/>
  </w:style>
  <w:style w:type="paragraph" w:styleId="P59">
    <w:name w:val="index 7"/>
    <w:basedOn w:val="P0"/>
    <w:next w:val="P0"/>
    <w:semiHidden/>
    <w:pPr>
      <w:ind w:hanging="200" w:left="1400"/>
    </w:pPr>
    <w:rPr/>
  </w:style>
  <w:style w:type="paragraph" w:styleId="P60">
    <w:name w:val="index 8"/>
    <w:basedOn w:val="P0"/>
    <w:next w:val="P0"/>
    <w:semiHidden/>
    <w:pPr>
      <w:ind w:hanging="200" w:left="1600"/>
    </w:pPr>
    <w:rPr/>
  </w:style>
  <w:style w:type="paragraph" w:styleId="P61">
    <w:name w:val="index 9"/>
    <w:basedOn w:val="P0"/>
    <w:next w:val="P0"/>
    <w:semiHidden/>
    <w:pPr>
      <w:ind w:hanging="200" w:left="1800"/>
    </w:pPr>
    <w:rPr/>
  </w:style>
  <w:style w:type="paragraph" w:styleId="P62">
    <w:name w:val="index heading"/>
    <w:basedOn w:val="P0"/>
    <w:next w:val="P53"/>
    <w:semiHidden/>
    <w:pPr/>
    <w:rPr>
      <w:rFonts w:ascii="Arial" w:hAnsi="Arial"/>
      <w:b w:val="1"/>
    </w:rPr>
  </w:style>
  <w:style w:type="paragraph" w:styleId="P63">
    <w:name w:val="List"/>
    <w:basedOn w:val="P0"/>
    <w:semiHidden/>
    <w:pPr>
      <w:ind w:hanging="283" w:left="283"/>
    </w:pPr>
    <w:rPr/>
  </w:style>
  <w:style w:type="paragraph" w:styleId="P64">
    <w:name w:val="List 2"/>
    <w:basedOn w:val="P0"/>
    <w:semiHidden/>
    <w:pPr>
      <w:ind w:hanging="283" w:left="566"/>
    </w:pPr>
    <w:rPr/>
  </w:style>
  <w:style w:type="paragraph" w:styleId="P65">
    <w:name w:val="List 3"/>
    <w:basedOn w:val="P0"/>
    <w:semiHidden/>
    <w:pPr>
      <w:ind w:hanging="283" w:left="849"/>
    </w:pPr>
    <w:rPr/>
  </w:style>
  <w:style w:type="paragraph" w:styleId="P66">
    <w:name w:val="List 4"/>
    <w:basedOn w:val="P0"/>
    <w:semiHidden/>
    <w:pPr>
      <w:ind w:hanging="283" w:left="1132"/>
    </w:pPr>
    <w:rPr/>
  </w:style>
  <w:style w:type="paragraph" w:styleId="P67">
    <w:name w:val="List 5"/>
    <w:basedOn w:val="P0"/>
    <w:semiHidden/>
    <w:pPr>
      <w:ind w:hanging="283" w:left="1415"/>
    </w:pPr>
    <w:rPr/>
  </w:style>
  <w:style w:type="paragraph" w:styleId="P68">
    <w:name w:val="List Bullet"/>
    <w:basedOn w:val="P0"/>
    <w:semiHidden/>
    <w:pPr>
      <w:numPr>
        <w:numId w:val="4"/>
      </w:numPr>
    </w:pPr>
    <w:rPr/>
  </w:style>
  <w:style w:type="paragraph" w:styleId="P69">
    <w:name w:val="List Bullet 2"/>
    <w:basedOn w:val="P0"/>
    <w:semiHidden/>
    <w:pPr>
      <w:numPr>
        <w:numId w:val="5"/>
      </w:numPr>
    </w:pPr>
    <w:rPr/>
  </w:style>
  <w:style w:type="paragraph" w:styleId="P70">
    <w:name w:val="List Bullet 3"/>
    <w:basedOn w:val="P0"/>
    <w:semiHidden/>
    <w:pPr>
      <w:numPr>
        <w:numId w:val="6"/>
      </w:numPr>
    </w:pPr>
    <w:rPr/>
  </w:style>
  <w:style w:type="paragraph" w:styleId="P71">
    <w:name w:val="List Bullet 4"/>
    <w:basedOn w:val="P0"/>
    <w:semiHidden/>
    <w:pPr>
      <w:numPr>
        <w:numId w:val="7"/>
      </w:numPr>
    </w:pPr>
    <w:rPr/>
  </w:style>
  <w:style w:type="paragraph" w:styleId="P72">
    <w:name w:val="List Bullet 5"/>
    <w:basedOn w:val="P0"/>
    <w:semiHidden/>
    <w:pPr>
      <w:numPr>
        <w:numId w:val="8"/>
      </w:numPr>
    </w:pPr>
    <w:rPr/>
  </w:style>
  <w:style w:type="paragraph" w:styleId="P73">
    <w:name w:val="List Continue"/>
    <w:basedOn w:val="P0"/>
    <w:semiHidden/>
    <w:pPr>
      <w:spacing w:after="120" w:beforeAutospacing="0" w:afterAutospacing="0"/>
      <w:ind w:left="283"/>
    </w:pPr>
    <w:rPr/>
  </w:style>
  <w:style w:type="paragraph" w:styleId="P74">
    <w:name w:val="List Continue 2"/>
    <w:basedOn w:val="P0"/>
    <w:semiHidden/>
    <w:pPr>
      <w:spacing w:after="120" w:beforeAutospacing="0" w:afterAutospacing="0"/>
      <w:ind w:left="566"/>
    </w:pPr>
    <w:rPr/>
  </w:style>
  <w:style w:type="paragraph" w:styleId="P75">
    <w:name w:val="List Continue 3"/>
    <w:basedOn w:val="P0"/>
    <w:semiHidden/>
    <w:pPr>
      <w:spacing w:after="120" w:beforeAutospacing="0" w:afterAutospacing="0"/>
      <w:ind w:left="849"/>
    </w:pPr>
    <w:rPr/>
  </w:style>
  <w:style w:type="paragraph" w:styleId="P76">
    <w:name w:val="List Continue 4"/>
    <w:basedOn w:val="P0"/>
    <w:semiHidden/>
    <w:pPr>
      <w:spacing w:after="120" w:beforeAutospacing="0" w:afterAutospacing="0"/>
      <w:ind w:left="1132"/>
    </w:pPr>
    <w:rPr/>
  </w:style>
  <w:style w:type="paragraph" w:styleId="P77">
    <w:name w:val="List Continue 5"/>
    <w:basedOn w:val="P0"/>
    <w:semiHidden/>
    <w:pPr>
      <w:spacing w:after="120" w:beforeAutospacing="0" w:afterAutospacing="0"/>
      <w:ind w:left="1415"/>
    </w:pPr>
    <w:rPr/>
  </w:style>
  <w:style w:type="paragraph" w:styleId="P78">
    <w:name w:val="List Number"/>
    <w:basedOn w:val="P0"/>
    <w:semiHidden/>
    <w:pPr>
      <w:numPr>
        <w:numId w:val="2"/>
      </w:numPr>
    </w:pPr>
    <w:rPr/>
  </w:style>
  <w:style w:type="paragraph" w:styleId="P79">
    <w:name w:val="List Number 2"/>
    <w:basedOn w:val="P0"/>
    <w:semiHidden/>
    <w:pPr>
      <w:numPr>
        <w:numId w:val="1"/>
      </w:numPr>
    </w:pPr>
    <w:rPr/>
  </w:style>
  <w:style w:type="paragraph" w:styleId="P80">
    <w:name w:val="List Number 3"/>
    <w:basedOn w:val="P0"/>
    <w:semiHidden/>
    <w:pPr>
      <w:numPr>
        <w:numId w:val="9"/>
      </w:numPr>
    </w:pPr>
    <w:rPr/>
  </w:style>
  <w:style w:type="paragraph" w:styleId="P81">
    <w:name w:val="List Number 4"/>
    <w:basedOn w:val="P0"/>
    <w:semiHidden/>
    <w:pPr>
      <w:numPr>
        <w:numId w:val="3"/>
      </w:numPr>
    </w:pPr>
    <w:rPr/>
  </w:style>
  <w:style w:type="paragraph" w:styleId="P82">
    <w:name w:val="List Number 5"/>
    <w:basedOn w:val="P0"/>
    <w:semiHidden/>
    <w:pPr>
      <w:numPr>
        <w:numId w:val="10"/>
      </w:numPr>
    </w:pPr>
    <w:rPr/>
  </w:style>
  <w:style w:type="paragraph" w:styleId="P83">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4">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5">
    <w:name w:val="Normal Indent"/>
    <w:basedOn w:val="P0"/>
    <w:semiHidden/>
    <w:pPr>
      <w:ind w:left="720"/>
    </w:pPr>
    <w:rPr/>
  </w:style>
  <w:style w:type="paragraph" w:styleId="P86">
    <w:name w:val="Note Heading"/>
    <w:basedOn w:val="P0"/>
    <w:next w:val="P0"/>
    <w:semiHidden/>
    <w:pPr/>
    <w:rPr/>
  </w:style>
  <w:style w:type="paragraph" w:styleId="P87">
    <w:name w:val="Plain Text"/>
    <w:basedOn w:val="P0"/>
    <w:semiHidden/>
    <w:pPr/>
    <w:rPr>
      <w:rFonts w:ascii="Courier New" w:hAnsi="Courier New"/>
    </w:rPr>
  </w:style>
  <w:style w:type="paragraph" w:styleId="P88">
    <w:name w:val="Salutation"/>
    <w:basedOn w:val="P0"/>
    <w:next w:val="P0"/>
    <w:semiHidden/>
    <w:pPr/>
    <w:rPr/>
  </w:style>
  <w:style w:type="paragraph" w:styleId="P89">
    <w:name w:val="Signature"/>
    <w:basedOn w:val="P0"/>
    <w:semiHidden/>
    <w:pPr>
      <w:ind w:left="4252"/>
    </w:pPr>
    <w:rPr/>
  </w:style>
  <w:style w:type="paragraph" w:styleId="P90">
    <w:name w:val="Subtitle"/>
    <w:basedOn w:val="P0"/>
    <w:qFormat/>
    <w:pPr>
      <w:spacing w:after="60" w:beforeAutospacing="0" w:afterAutospacing="0"/>
      <w:jc w:val="center"/>
      <w:outlineLvl w:val="1"/>
    </w:pPr>
    <w:rPr>
      <w:rFonts w:ascii="Arial" w:hAnsi="Arial"/>
      <w:sz w:val="24"/>
    </w:rPr>
  </w:style>
  <w:style w:type="paragraph" w:styleId="P91">
    <w:name w:val="table of authorities"/>
    <w:basedOn w:val="P0"/>
    <w:next w:val="P0"/>
    <w:semiHidden/>
    <w:pPr>
      <w:ind w:hanging="200" w:left="200"/>
    </w:pPr>
    <w:rPr/>
  </w:style>
  <w:style w:type="paragraph" w:styleId="P92">
    <w:name w:val="table of figures"/>
    <w:basedOn w:val="P0"/>
    <w:next w:val="P0"/>
    <w:semiHidden/>
    <w:pPr>
      <w:ind w:hanging="400" w:left="400"/>
    </w:pPr>
    <w:rPr/>
  </w:style>
  <w:style w:type="paragraph" w:styleId="P93">
    <w:name w:val="Title"/>
    <w:basedOn w:val="P0"/>
    <w:qFormat/>
    <w:pPr>
      <w:spacing w:before="240" w:after="60" w:beforeAutospacing="0" w:afterAutospacing="0"/>
      <w:jc w:val="center"/>
      <w:outlineLvl w:val="0"/>
    </w:pPr>
    <w:rPr>
      <w:rFonts w:ascii="Arial" w:hAnsi="Arial"/>
      <w:b w:val="1"/>
      <w:sz w:val="32"/>
    </w:rPr>
  </w:style>
  <w:style w:type="paragraph" w:styleId="P94">
    <w:name w:val="toa heading"/>
    <w:basedOn w:val="P0"/>
    <w:next w:val="P0"/>
    <w:semiHidden/>
    <w:pPr>
      <w:spacing w:before="120" w:beforeAutospacing="0" w:afterAutospacing="0"/>
    </w:pPr>
    <w:rPr>
      <w:rFonts w:ascii="Arial" w:hAnsi="Arial"/>
      <w:b w:val="1"/>
      <w:sz w:val="24"/>
    </w:rPr>
  </w:style>
  <w:style w:type="paragraph" w:styleId="P95">
    <w:name w:val="toc 1"/>
    <w:basedOn w:val="P0"/>
    <w:next w:val="P0"/>
    <w:semiHidden/>
    <w:pPr/>
    <w:rPr/>
  </w:style>
  <w:style w:type="paragraph" w:styleId="P96">
    <w:name w:val="toc 2"/>
    <w:basedOn w:val="P0"/>
    <w:next w:val="P0"/>
    <w:semiHidden/>
    <w:pPr>
      <w:ind w:left="200"/>
    </w:pPr>
    <w:rPr/>
  </w:style>
  <w:style w:type="paragraph" w:styleId="P97">
    <w:name w:val="toc 3"/>
    <w:basedOn w:val="P0"/>
    <w:next w:val="P0"/>
    <w:semiHidden/>
    <w:pPr>
      <w:ind w:left="400"/>
    </w:pPr>
    <w:rPr/>
  </w:style>
  <w:style w:type="paragraph" w:styleId="P98">
    <w:name w:val="toc 4"/>
    <w:basedOn w:val="P0"/>
    <w:next w:val="P0"/>
    <w:semiHidden/>
    <w:pPr>
      <w:ind w:left="600"/>
    </w:pPr>
    <w:rPr/>
  </w:style>
  <w:style w:type="paragraph" w:styleId="P99">
    <w:name w:val="toc 5"/>
    <w:basedOn w:val="P0"/>
    <w:next w:val="P0"/>
    <w:semiHidden/>
    <w:pPr>
      <w:ind w:left="800"/>
    </w:pPr>
    <w:rPr/>
  </w:style>
  <w:style w:type="paragraph" w:styleId="P100">
    <w:name w:val="toc 6"/>
    <w:basedOn w:val="P0"/>
    <w:next w:val="P0"/>
    <w:semiHidden/>
    <w:pPr>
      <w:ind w:left="1000"/>
    </w:pPr>
    <w:rPr/>
  </w:style>
  <w:style w:type="paragraph" w:styleId="P101">
    <w:name w:val="toc 7"/>
    <w:basedOn w:val="P0"/>
    <w:next w:val="P0"/>
    <w:semiHidden/>
    <w:pPr>
      <w:ind w:left="1200"/>
    </w:pPr>
    <w:rPr/>
  </w:style>
  <w:style w:type="paragraph" w:styleId="P102">
    <w:name w:val="toc 8"/>
    <w:basedOn w:val="P0"/>
    <w:next w:val="P0"/>
    <w:semiHidden/>
    <w:pPr>
      <w:ind w:left="1400"/>
    </w:pPr>
    <w:rPr/>
  </w:style>
  <w:style w:type="paragraph" w:styleId="P103">
    <w:name w:val="toc 9"/>
    <w:basedOn w:val="P0"/>
    <w:next w:val="P0"/>
    <w:semiHidden/>
    <w:pPr>
      <w:ind w:left="1600"/>
    </w:pPr>
    <w:rPr/>
  </w:style>
  <w:style w:type="paragraph" w:styleId="P104">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5">
    <w:name w:val="assent-f"/>
    <w:basedOn w:val="P104"/>
    <w:pPr/>
    <w:rPr>
      <w:lang w:val="fr-CA"/>
    </w:rPr>
  </w:style>
  <w:style w:type="paragraph" w:styleId="P106">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7">
    <w:name w:val="chapter-f"/>
    <w:basedOn w:val="P106"/>
    <w:pPr/>
    <w:rPr>
      <w:lang w:val="fr-CA"/>
    </w:rPr>
  </w:style>
  <w:style w:type="paragraph" w:styleId="P108">
    <w:name w:val="clause-f"/>
    <w:basedOn w:val="P11"/>
    <w:pPr/>
    <w:rPr>
      <w:lang w:val="fr-CA"/>
    </w:rPr>
  </w:style>
  <w:style w:type="paragraph" w:styleId="P109">
    <w:name w:val="defclause-f"/>
    <w:basedOn w:val="P11"/>
    <w:pPr/>
    <w:rPr>
      <w:lang w:val="fr-CA"/>
    </w:rPr>
  </w:style>
  <w:style w:type="paragraph" w:styleId="P110">
    <w:name w:val="definition-f"/>
    <w:basedOn w:val="P13"/>
    <w:pPr/>
    <w:rPr>
      <w:lang w:val="fr-CA"/>
    </w:rPr>
  </w:style>
  <w:style w:type="paragraph" w:styleId="P111">
    <w:name w:val="defparagraph-e"/>
    <w:basedOn w:val="P16"/>
    <w:pPr/>
    <w:rPr/>
  </w:style>
  <w:style w:type="paragraph" w:styleId="P112">
    <w:name w:val="defparagraph-f"/>
    <w:basedOn w:val="P16"/>
    <w:pPr/>
    <w:rPr>
      <w:lang w:val="fr-CA"/>
    </w:rPr>
  </w:style>
  <w:style w:type="paragraph" w:styleId="P113">
    <w:name w:val="defsubclause-e"/>
    <w:basedOn w:val="P114"/>
    <w:pPr/>
    <w:rPr/>
  </w:style>
  <w:style w:type="paragraph" w:styleId="P114">
    <w:name w:val="subclause-e"/>
    <w:basedOn w:val="P11"/>
    <w:pPr>
      <w:tabs>
        <w:tab w:val="clear" w:pos="418" w:leader="none"/>
        <w:tab w:val="clear" w:pos="538" w:leader="none"/>
        <w:tab w:val="right" w:pos="838" w:leader="none"/>
        <w:tab w:val="left" w:pos="955" w:leader="none"/>
      </w:tabs>
      <w:ind w:hanging="955" w:left="955"/>
    </w:pPr>
    <w:rPr/>
  </w:style>
  <w:style w:type="paragraph" w:styleId="P115">
    <w:name w:val="defsubclause-f"/>
    <w:basedOn w:val="P114"/>
    <w:pPr/>
    <w:rPr>
      <w:lang w:val="fr-CA"/>
    </w:rPr>
  </w:style>
  <w:style w:type="paragraph" w:styleId="P116">
    <w:name w:val="defsubpara-e"/>
    <w:basedOn w:val="P117"/>
    <w:pPr/>
    <w:rPr/>
  </w:style>
  <w:style w:type="paragraph" w:styleId="P117">
    <w:name w:val="subpara-e"/>
    <w:basedOn w:val="P16"/>
    <w:pPr>
      <w:tabs>
        <w:tab w:val="clear" w:pos="418" w:leader="none"/>
        <w:tab w:val="clear" w:pos="538" w:leader="none"/>
        <w:tab w:val="right" w:pos="837" w:leader="none"/>
        <w:tab w:val="left" w:pos="956" w:leader="none"/>
      </w:tabs>
      <w:ind w:hanging="955" w:left="955"/>
    </w:pPr>
    <w:rPr/>
  </w:style>
  <w:style w:type="paragraph" w:styleId="P118">
    <w:name w:val="defsubpara-f"/>
    <w:basedOn w:val="P117"/>
    <w:pPr/>
    <w:rPr>
      <w:lang w:val="fr-CA"/>
    </w:rPr>
  </w:style>
  <w:style w:type="paragraph" w:styleId="P119">
    <w:name w:val="defsubsubclause-e"/>
    <w:basedOn w:val="P120"/>
    <w:pPr/>
    <w:rPr/>
  </w:style>
  <w:style w:type="paragraph" w:styleId="P120">
    <w:name w:val="subsubclause-e"/>
    <w:basedOn w:val="P11"/>
    <w:pPr>
      <w:tabs>
        <w:tab w:val="clear" w:pos="418" w:leader="none"/>
        <w:tab w:val="clear" w:pos="538" w:leader="none"/>
        <w:tab w:val="right" w:pos="1315" w:leader="none"/>
        <w:tab w:val="left" w:pos="1435" w:leader="none"/>
      </w:tabs>
      <w:ind w:hanging="1435" w:left="1435"/>
    </w:pPr>
    <w:rPr/>
  </w:style>
  <w:style w:type="paragraph" w:styleId="P121">
    <w:name w:val="defsubsubclause-f"/>
    <w:basedOn w:val="P120"/>
    <w:pPr/>
    <w:rPr>
      <w:lang w:val="fr-CA"/>
    </w:rPr>
  </w:style>
  <w:style w:type="paragraph" w:styleId="P122">
    <w:name w:val="defsubsubpara-e"/>
    <w:basedOn w:val="P123"/>
    <w:pPr/>
    <w:rPr/>
  </w:style>
  <w:style w:type="paragraph" w:styleId="P123">
    <w:name w:val="subsubpara-e"/>
    <w:basedOn w:val="P16"/>
    <w:pPr>
      <w:tabs>
        <w:tab w:val="clear" w:pos="418" w:leader="none"/>
        <w:tab w:val="clear" w:pos="538" w:leader="none"/>
        <w:tab w:val="right" w:pos="1315" w:leader="none"/>
        <w:tab w:val="left" w:pos="1435" w:leader="none"/>
      </w:tabs>
      <w:ind w:hanging="1435" w:left="1435"/>
    </w:pPr>
    <w:rPr/>
  </w:style>
  <w:style w:type="paragraph" w:styleId="P124">
    <w:name w:val="defsubsubpara-f"/>
    <w:basedOn w:val="P123"/>
    <w:pPr/>
    <w:rPr>
      <w:lang w:val="fr-CA"/>
    </w:rPr>
  </w:style>
  <w:style w:type="paragraph" w:styleId="P125">
    <w:name w:val="ellipsis-e"/>
    <w:pPr>
      <w:tabs>
        <w:tab w:val="left" w:pos="0" w:leader="none"/>
      </w:tabs>
      <w:spacing w:lineRule="exact" w:line="209" w:before="111" w:beforeAutospacing="0" w:afterAutospacing="0"/>
      <w:jc w:val="center"/>
    </w:pPr>
    <w:rPr>
      <w:lang w:val="en-GB" w:eastAsia="en-US"/>
    </w:rPr>
  </w:style>
  <w:style w:type="paragraph" w:styleId="P126">
    <w:name w:val="ellipsis-f"/>
    <w:basedOn w:val="P125"/>
    <w:pPr/>
    <w:rPr>
      <w:lang w:val="fr-CA"/>
    </w:rPr>
  </w:style>
  <w:style w:type="paragraph" w:styleId="P127">
    <w:name w:val="End Tumble-e"/>
    <w:pPr>
      <w:tabs>
        <w:tab w:val="left" w:pos="0" w:leader="none"/>
      </w:tabs>
      <w:suppressAutoHyphens w:val="1"/>
      <w:spacing w:lineRule="exact" w:line="200" w:before="120" w:beforeAutospacing="0" w:afterAutospacing="0"/>
      <w:jc w:val="both"/>
    </w:pPr>
    <w:rPr>
      <w:lang w:val="en-GB" w:eastAsia="en-US"/>
    </w:rPr>
  </w:style>
  <w:style w:type="paragraph" w:styleId="P128">
    <w:name w:val="End Tumble-f"/>
    <w:basedOn w:val="P127"/>
    <w:pPr/>
    <w:rPr>
      <w:lang w:val="fr-CA"/>
    </w:rPr>
  </w:style>
  <w:style w:type="paragraph" w:styleId="P129">
    <w:name w:val="equation-e"/>
    <w:basedOn w:val="P0"/>
    <w:pPr>
      <w:suppressAutoHyphens w:val="1"/>
      <w:spacing w:before="111" w:beforeAutospacing="0" w:afterAutospacing="0"/>
      <w:jc w:val="center"/>
    </w:pPr>
    <w:rPr>
      <w:lang w:val="en-GB"/>
    </w:rPr>
  </w:style>
  <w:style w:type="paragraph" w:styleId="P130">
    <w:name w:val="equation-f"/>
    <w:basedOn w:val="P129"/>
    <w:pPr/>
    <w:rPr>
      <w:lang w:val="fr-CA"/>
    </w:rPr>
  </w:style>
  <w:style w:type="paragraph" w:styleId="P131">
    <w:name w:val="firstdef-f"/>
    <w:basedOn w:val="P13"/>
    <w:pPr/>
    <w:rPr>
      <w:lang w:val="fr-CA"/>
    </w:rPr>
  </w:style>
  <w:style w:type="paragraph" w:styleId="P132">
    <w:name w:val="heading1-f"/>
    <w:basedOn w:val="P15"/>
    <w:pPr/>
    <w:rPr>
      <w:lang w:val="fr-CA"/>
    </w:rPr>
  </w:style>
  <w:style w:type="paragraph" w:styleId="P133">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2-f"/>
    <w:basedOn w:val="P133"/>
    <w:pPr/>
    <w:rPr>
      <w:lang w:val="fr-CA"/>
    </w:rPr>
  </w:style>
  <w:style w:type="paragraph" w:styleId="P135">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6">
    <w:name w:val="heading3-f"/>
    <w:basedOn w:val="P135"/>
    <w:pPr/>
    <w:rPr>
      <w:lang w:val="fr-CA"/>
    </w:rPr>
  </w:style>
  <w:style w:type="paragraph" w:styleId="P137">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8">
    <w:name w:val="headingx-f"/>
    <w:basedOn w:val="P137"/>
    <w:pPr/>
    <w:rPr>
      <w:lang w:val="fr-CA"/>
    </w:rPr>
  </w:style>
  <w:style w:type="paragraph" w:styleId="P139">
    <w:name w:val="insert-e"/>
    <w:pPr>
      <w:keepNext w:val="1"/>
      <w:spacing w:lineRule="exact" w:line="179" w:before="230" w:beforeAutospacing="0" w:afterAutospacing="0"/>
      <w:jc w:val="both"/>
    </w:pPr>
    <w:rPr>
      <w:b w:val="1"/>
      <w:i w:val="1"/>
      <w:lang w:val="en-GB" w:eastAsia="en-US"/>
    </w:rPr>
  </w:style>
  <w:style w:type="paragraph" w:styleId="P140">
    <w:name w:val="insert-f"/>
    <w:basedOn w:val="P139"/>
    <w:pPr/>
    <w:rPr>
      <w:lang w:val="fr-CA"/>
    </w:rPr>
  </w:style>
  <w:style w:type="paragraph" w:styleId="P141">
    <w:name w:val="line-e"/>
    <w:pPr>
      <w:tabs>
        <w:tab w:val="left" w:pos="0" w:leader="none"/>
      </w:tabs>
      <w:spacing w:lineRule="exact" w:line="209" w:before="60" w:after="60" w:beforeAutospacing="0" w:afterAutospacing="0"/>
      <w:jc w:val="center"/>
    </w:pPr>
    <w:rPr>
      <w:lang w:val="en-GB" w:eastAsia="en-US"/>
    </w:rPr>
  </w:style>
  <w:style w:type="paragraph" w:styleId="P142">
    <w:name w:val="line-f"/>
    <w:basedOn w:val="P141"/>
    <w:pPr/>
    <w:rPr>
      <w:lang w:val="fr-CA"/>
    </w:rPr>
  </w:style>
  <w:style w:type="paragraph" w:styleId="P143">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4">
    <w:name w:val="longtitle-f"/>
    <w:basedOn w:val="P143"/>
    <w:pPr/>
    <w:rPr>
      <w:lang w:val="fr-CA"/>
    </w:rPr>
  </w:style>
  <w:style w:type="paragraph" w:styleId="P145">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6">
    <w:name w:val="minnote-f"/>
    <w:basedOn w:val="P145"/>
    <w:pPr/>
    <w:rPr>
      <w:lang w:val="fr-CA"/>
    </w:rPr>
  </w:style>
  <w:style w:type="paragraph" w:styleId="P147">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8">
    <w:name w:val="number-f"/>
    <w:basedOn w:val="P147"/>
    <w:pPr/>
    <w:rPr>
      <w:lang w:val="fr-CA"/>
    </w:rPr>
  </w:style>
  <w:style w:type="paragraph" w:styleId="P149">
    <w:name w:val="paragraph-f"/>
    <w:basedOn w:val="P16"/>
    <w:pPr/>
    <w:rPr>
      <w:lang w:val="fr-CA"/>
    </w:rPr>
  </w:style>
  <w:style w:type="paragraph" w:styleId="P15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noindt-f"/>
    <w:basedOn w:val="P150"/>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wtab-f"/>
    <w:basedOn w:val="P154"/>
    <w:pPr/>
    <w:rPr>
      <w:lang w:val="fr-CA"/>
    </w:rPr>
  </w:style>
  <w:style w:type="paragraph" w:styleId="P156">
    <w:name w:val="partnum-f"/>
    <w:basedOn w:val="P17"/>
    <w:pPr/>
    <w:rPr>
      <w:lang w:val="fr-CA"/>
    </w:rPr>
  </w:style>
  <w:style w:type="paragraph" w:styleId="P157">
    <w:name w:val="Pclause-e"/>
    <w:basedOn w:val="P11"/>
    <w:pPr/>
    <w:rPr>
      <w:b w:val="1"/>
    </w:rPr>
  </w:style>
  <w:style w:type="paragraph" w:styleId="P158">
    <w:name w:val="Pclause-f"/>
    <w:basedOn w:val="P157"/>
    <w:pPr/>
    <w:rPr>
      <w:lang w:val="fr-CA"/>
    </w:rPr>
  </w:style>
  <w:style w:type="paragraph" w:styleId="P159">
    <w:name w:val="Pheading1-e"/>
    <w:basedOn w:val="P15"/>
    <w:pPr/>
    <w:rPr>
      <w:b w:val="1"/>
    </w:rPr>
  </w:style>
  <w:style w:type="paragraph" w:styleId="P160">
    <w:name w:val="Pheading1-f"/>
    <w:basedOn w:val="P159"/>
    <w:pPr/>
    <w:rPr>
      <w:lang w:val="fr-CA"/>
    </w:rPr>
  </w:style>
  <w:style w:type="paragraph" w:styleId="P161">
    <w:name w:val="Pheading2-e"/>
    <w:basedOn w:val="P133"/>
    <w:pPr/>
    <w:rPr>
      <w:b w:val="1"/>
    </w:rPr>
  </w:style>
  <w:style w:type="paragraph" w:styleId="P162">
    <w:name w:val="Pheading2-f"/>
    <w:basedOn w:val="P161"/>
    <w:pPr/>
    <w:rPr>
      <w:lang w:val="fr-CA"/>
    </w:rPr>
  </w:style>
  <w:style w:type="paragraph" w:styleId="P163">
    <w:name w:val="Pheading3-e"/>
    <w:basedOn w:val="P135"/>
    <w:pPr/>
    <w:rPr>
      <w:b w:val="1"/>
    </w:rPr>
  </w:style>
  <w:style w:type="paragraph" w:styleId="P164">
    <w:name w:val="Pheading3-f"/>
    <w:basedOn w:val="P163"/>
    <w:pPr/>
    <w:rPr>
      <w:lang w:val="fr-CA"/>
    </w:rPr>
  </w:style>
  <w:style w:type="paragraph" w:styleId="P165">
    <w:name w:val="Pheadingx-e"/>
    <w:basedOn w:val="P137"/>
    <w:pPr/>
    <w:rPr>
      <w:b w:val="1"/>
    </w:rPr>
  </w:style>
  <w:style w:type="paragraph" w:styleId="P166">
    <w:name w:val="Pheadingx-f"/>
    <w:basedOn w:val="P165"/>
    <w:pPr/>
    <w:rPr>
      <w:lang w:val="fr-CA"/>
    </w:rPr>
  </w:style>
  <w:style w:type="paragraph" w:styleId="P167">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8">
    <w:name w:val="Pnote-f"/>
    <w:basedOn w:val="P167"/>
    <w:pPr/>
    <w:rPr>
      <w:lang w:val="fr-CA"/>
    </w:rPr>
  </w:style>
  <w:style w:type="paragraph" w:styleId="P169">
    <w:name w:val="Pparagraph-e"/>
    <w:basedOn w:val="P16"/>
    <w:pPr/>
    <w:rPr>
      <w:b w:val="1"/>
    </w:rPr>
  </w:style>
  <w:style w:type="paragraph" w:styleId="P170">
    <w:name w:val="Pparagraph-f"/>
    <w:basedOn w:val="P169"/>
    <w:pPr/>
    <w:rPr>
      <w:lang w:val="fr-CA"/>
    </w:rPr>
  </w:style>
  <w:style w:type="paragraph" w:styleId="P171">
    <w:name w:val="preamble-e"/>
    <w:pPr>
      <w:tabs>
        <w:tab w:val="left" w:pos="189" w:leader="none"/>
      </w:tabs>
      <w:spacing w:lineRule="exact" w:line="209" w:before="111" w:beforeAutospacing="0" w:afterAutospacing="0"/>
      <w:jc w:val="both"/>
    </w:pPr>
    <w:rPr>
      <w:lang w:val="en-GB" w:eastAsia="en-US"/>
    </w:rPr>
  </w:style>
  <w:style w:type="paragraph" w:styleId="P172">
    <w:name w:val="preamble-f"/>
    <w:basedOn w:val="P171"/>
    <w:pPr/>
    <w:rPr>
      <w:lang w:val="fr-CA"/>
    </w:rPr>
  </w:style>
  <w:style w:type="paragraph" w:styleId="P173">
    <w:name w:val="Psection-e"/>
    <w:basedOn w:val="P21"/>
    <w:pPr/>
    <w:rPr>
      <w:b w:val="1"/>
    </w:rPr>
  </w:style>
  <w:style w:type="paragraph" w:styleId="P174">
    <w:name w:val="Psection-f"/>
    <w:basedOn w:val="P173"/>
    <w:pPr/>
    <w:rPr>
      <w:lang w:val="fr-CA"/>
    </w:rPr>
  </w:style>
  <w:style w:type="paragraph" w:styleId="P175">
    <w:name w:val="Psubclause-e"/>
    <w:basedOn w:val="P114"/>
    <w:pPr/>
    <w:rPr>
      <w:b w:val="1"/>
    </w:rPr>
  </w:style>
  <w:style w:type="paragraph" w:styleId="P176">
    <w:name w:val="Psubclause-f"/>
    <w:basedOn w:val="P175"/>
    <w:pPr/>
    <w:rPr>
      <w:lang w:val="fr-CA"/>
    </w:rPr>
  </w:style>
  <w:style w:type="paragraph" w:styleId="P177">
    <w:name w:val="Psubpara-e"/>
    <w:basedOn w:val="P117"/>
    <w:pPr/>
    <w:rPr>
      <w:b w:val="1"/>
    </w:rPr>
  </w:style>
  <w:style w:type="paragraph" w:styleId="P178">
    <w:name w:val="Psubpara-f"/>
    <w:basedOn w:val="P177"/>
    <w:pPr/>
    <w:rPr>
      <w:lang w:val="fr-CA"/>
    </w:rPr>
  </w:style>
  <w:style w:type="paragraph" w:styleId="P179">
    <w:name w:val="Psubsection-e"/>
    <w:basedOn w:val="P22"/>
    <w:pPr/>
    <w:rPr>
      <w:b w:val="1"/>
    </w:rPr>
  </w:style>
  <w:style w:type="paragraph" w:styleId="P180">
    <w:name w:val="Psubsection-f"/>
    <w:basedOn w:val="P179"/>
    <w:pPr/>
    <w:rPr>
      <w:lang w:val="fr-CA"/>
    </w:rPr>
  </w:style>
  <w:style w:type="paragraph" w:styleId="P181">
    <w:name w:val="Psubsubclause-e"/>
    <w:basedOn w:val="P120"/>
    <w:pPr/>
    <w:rPr>
      <w:b w:val="1"/>
    </w:rPr>
  </w:style>
  <w:style w:type="paragraph" w:styleId="P182">
    <w:name w:val="Psubsubclause-f"/>
    <w:basedOn w:val="P181"/>
    <w:pPr/>
    <w:rPr>
      <w:lang w:val="fr-CA"/>
    </w:rPr>
  </w:style>
  <w:style w:type="paragraph" w:styleId="P183">
    <w:name w:val="Psubsubpara-e"/>
    <w:basedOn w:val="P123"/>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16"/>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e"/>
    <w:pPr>
      <w:spacing w:before="151" w:beforeAutospacing="0" w:afterAutospacing="0"/>
      <w:jc w:val="both"/>
    </w:pPr>
    <w:rPr>
      <w:lang w:val="en-GB" w:eastAsia="en-US"/>
    </w:rPr>
  </w:style>
  <w:style w:type="paragraph" w:styleId="P192">
    <w:name w:val="scanned-f"/>
    <w:basedOn w:val="P191"/>
    <w:pPr/>
    <w:rPr>
      <w:lang w:val="fr-CA"/>
    </w:rPr>
  </w:style>
  <w:style w:type="paragraph" w:styleId="P193">
    <w:name w:val="schedule-f"/>
    <w:basedOn w:val="P20"/>
    <w:pPr/>
    <w:rPr>
      <w:lang w:val="fr-CA"/>
    </w:rPr>
  </w:style>
  <w:style w:type="paragraph" w:styleId="P194">
    <w:name w:val="Sclause-e"/>
    <w:basedOn w:val="P11"/>
    <w:pPr>
      <w:ind w:firstLine="0"/>
    </w:pPr>
    <w:rPr/>
  </w:style>
  <w:style w:type="paragraph" w:styleId="P195">
    <w:name w:val="Sclause-f"/>
    <w:basedOn w:val="P194"/>
    <w:pPr/>
    <w:rPr>
      <w:lang w:val="fr-CA"/>
    </w:rPr>
  </w:style>
  <w:style w:type="paragraph" w:styleId="P196">
    <w:name w:val="Sdefclause-e"/>
    <w:basedOn w:val="P11"/>
    <w:pPr>
      <w:tabs>
        <w:tab w:val="left" w:pos="0" w:leader="none"/>
      </w:tabs>
      <w:ind w:firstLine="0"/>
    </w:pPr>
    <w:rPr/>
  </w:style>
  <w:style w:type="paragraph" w:styleId="P197">
    <w:name w:val="Sdefclause-f"/>
    <w:basedOn w:val="P196"/>
    <w:pPr/>
    <w:rPr>
      <w:lang w:val="fr-CA"/>
    </w:rPr>
  </w:style>
  <w:style w:type="paragraph" w:styleId="P198">
    <w:name w:val="Sdefinition-e"/>
    <w:basedOn w:val="P13"/>
    <w:pPr>
      <w:ind w:firstLine="0" w:left="190"/>
    </w:pPr>
    <w:rPr/>
  </w:style>
  <w:style w:type="paragraph" w:styleId="P199">
    <w:name w:val="Sdefinition-f"/>
    <w:basedOn w:val="P198"/>
    <w:pPr/>
    <w:rPr>
      <w:lang w:val="fr-CA"/>
    </w:rPr>
  </w:style>
  <w:style w:type="paragraph" w:styleId="P200">
    <w:name w:val="Sdefpara-e"/>
    <w:basedOn w:val="P16"/>
    <w:pPr>
      <w:tabs>
        <w:tab w:val="left" w:pos="0" w:leader="none"/>
      </w:tabs>
      <w:ind w:firstLine="0"/>
    </w:pPr>
    <w:rPr/>
  </w:style>
  <w:style w:type="paragraph" w:styleId="P201">
    <w:name w:val="Sdefpara-f"/>
    <w:basedOn w:val="P200"/>
    <w:pPr/>
    <w:rPr>
      <w:lang w:val="fr-CA"/>
    </w:rPr>
  </w:style>
  <w:style w:type="paragraph" w:styleId="P202">
    <w:name w:val="section-f"/>
    <w:basedOn w:val="P21"/>
    <w:pPr/>
    <w:rPr>
      <w:lang w:val="fr-CA"/>
    </w:rPr>
  </w:style>
  <w:style w:type="paragraph" w:styleId="P203">
    <w:name w:val="shorttitle-f"/>
    <w:basedOn w:val="P33"/>
    <w:pPr/>
    <w:rPr>
      <w:lang w:val="fr-CA"/>
    </w:rPr>
  </w:style>
  <w:style w:type="paragraph" w:styleId="P20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5">
    <w:name w:val="parawindt2-e"/>
    <w:basedOn w:val="P152"/>
    <w:pPr>
      <w:ind w:left="557"/>
    </w:pPr>
    <w:rPr/>
  </w:style>
  <w:style w:type="paragraph" w:styleId="P206">
    <w:name w:val="Sparagraph-e"/>
    <w:basedOn w:val="P16"/>
    <w:pPr>
      <w:ind w:firstLine="0"/>
    </w:pPr>
    <w:rPr/>
  </w:style>
  <w:style w:type="paragraph" w:styleId="P207">
    <w:name w:val="Sparagraph-f"/>
    <w:basedOn w:val="P206"/>
    <w:pPr/>
    <w:rPr>
      <w:lang w:val="fr-CA"/>
    </w:rPr>
  </w:style>
  <w:style w:type="paragraph" w:styleId="P208">
    <w:name w:val="SPsection-e"/>
    <w:basedOn w:val="P21"/>
    <w:pPr/>
    <w:rPr>
      <w:b w:val="1"/>
    </w:rPr>
  </w:style>
  <w:style w:type="paragraph" w:styleId="P209">
    <w:name w:val="SPsection-f"/>
    <w:basedOn w:val="P208"/>
    <w:pPr/>
    <w:rPr>
      <w:lang w:val="fr-CA"/>
    </w:rPr>
  </w:style>
  <w:style w:type="paragraph" w:styleId="P210">
    <w:name w:val="SPsubsection-e"/>
    <w:basedOn w:val="P22"/>
    <w:pPr/>
    <w:rPr>
      <w:b w:val="1"/>
    </w:rPr>
  </w:style>
  <w:style w:type="paragraph" w:styleId="P211">
    <w:name w:val="SPsubsection-f"/>
    <w:basedOn w:val="P210"/>
    <w:pPr/>
    <w:rPr>
      <w:lang w:val="fr-CA"/>
    </w:rPr>
  </w:style>
  <w:style w:type="paragraph" w:styleId="P212">
    <w:name w:val="Ssection-e"/>
    <w:basedOn w:val="P21"/>
    <w:pPr/>
    <w:rPr/>
  </w:style>
  <w:style w:type="paragraph" w:styleId="P213">
    <w:name w:val="Ssection-f"/>
    <w:basedOn w:val="P212"/>
    <w:pPr/>
    <w:rPr>
      <w:lang w:val="fr-CA"/>
    </w:rPr>
  </w:style>
  <w:style w:type="paragraph" w:styleId="P214">
    <w:name w:val="Ssubclause-e"/>
    <w:basedOn w:val="P114"/>
    <w:pPr>
      <w:ind w:firstLine="0"/>
    </w:pPr>
    <w:rPr/>
  </w:style>
  <w:style w:type="paragraph" w:styleId="P215">
    <w:name w:val="Ssubclause-f"/>
    <w:basedOn w:val="P214"/>
    <w:pPr/>
    <w:rPr>
      <w:lang w:val="fr-CA"/>
    </w:rPr>
  </w:style>
  <w:style w:type="paragraph" w:styleId="P216">
    <w:name w:val="Ssubpara-e"/>
    <w:basedOn w:val="P117"/>
    <w:pPr>
      <w:ind w:firstLine="0"/>
    </w:pPr>
    <w:rPr/>
  </w:style>
  <w:style w:type="paragraph" w:styleId="P217">
    <w:name w:val="Ssubpara-f"/>
    <w:basedOn w:val="P216"/>
    <w:pPr/>
    <w:rPr>
      <w:lang w:val="fr-CA"/>
    </w:rPr>
  </w:style>
  <w:style w:type="paragraph" w:styleId="P218">
    <w:name w:val="Ssubsection-e"/>
    <w:basedOn w:val="P22"/>
    <w:pPr/>
    <w:rPr/>
  </w:style>
  <w:style w:type="paragraph" w:styleId="P219">
    <w:name w:val="Ssubsection-f"/>
    <w:basedOn w:val="P218"/>
    <w:pPr/>
    <w:rPr>
      <w:lang w:val="fr-CA"/>
    </w:rPr>
  </w:style>
  <w:style w:type="paragraph" w:styleId="P220">
    <w:name w:val="Ssubsubclause-e"/>
    <w:basedOn w:val="P120"/>
    <w:pPr>
      <w:ind w:firstLine="0"/>
    </w:pPr>
    <w:rPr/>
  </w:style>
  <w:style w:type="paragraph" w:styleId="P221">
    <w:name w:val="Ssubsubclause-f"/>
    <w:basedOn w:val="P220"/>
    <w:pPr/>
    <w:rPr>
      <w:lang w:val="fr-CA"/>
    </w:rPr>
  </w:style>
  <w:style w:type="paragraph" w:styleId="P222">
    <w:name w:val="Ssubsubpara-e"/>
    <w:basedOn w:val="P123"/>
    <w:pPr>
      <w:ind w:firstLine="0"/>
    </w:pPr>
    <w:rPr/>
  </w:style>
  <w:style w:type="paragraph" w:styleId="P223">
    <w:name w:val="Ssubsubpara-f"/>
    <w:basedOn w:val="P222"/>
    <w:pPr/>
    <w:rPr>
      <w:lang w:val="fr-CA"/>
    </w:rPr>
  </w:style>
  <w:style w:type="paragraph" w:styleId="P22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5">
    <w:name w:val="Start Tumble-f"/>
    <w:basedOn w:val="P224"/>
    <w:pPr/>
    <w:rPr>
      <w:lang w:val="fr-CA"/>
    </w:rPr>
  </w:style>
  <w:style w:type="paragraph" w:styleId="P226">
    <w:name w:val="subclause-f"/>
    <w:basedOn w:val="P114"/>
    <w:pPr/>
    <w:rPr>
      <w:lang w:val="fr-CA"/>
    </w:rPr>
  </w:style>
  <w:style w:type="paragraph" w:styleId="P227">
    <w:name w:val="subpara-f"/>
    <w:basedOn w:val="P117"/>
    <w:pPr/>
    <w:rPr>
      <w:lang w:val="fr-CA"/>
    </w:rPr>
  </w:style>
  <w:style w:type="paragraph" w:styleId="P228">
    <w:name w:val="subsection-f"/>
    <w:basedOn w:val="P22"/>
    <w:pPr/>
    <w:rPr>
      <w:lang w:val="fr-CA"/>
    </w:rPr>
  </w:style>
  <w:style w:type="paragraph" w:styleId="P229">
    <w:name w:val="subsubclause-f"/>
    <w:basedOn w:val="P120"/>
    <w:pPr/>
    <w:rPr>
      <w:lang w:val="fr-CA"/>
    </w:rPr>
  </w:style>
  <w:style w:type="paragraph" w:styleId="P230">
    <w:name w:val="subsubpara-f"/>
    <w:basedOn w:val="P123"/>
    <w:pPr/>
    <w:rPr>
      <w:lang w:val="fr-CA"/>
    </w:rPr>
  </w:style>
  <w:style w:type="paragraph" w:styleId="P231">
    <w:name w:val="subsubsubclause-f"/>
    <w:basedOn w:val="P186"/>
    <w:pPr/>
    <w:rPr>
      <w:lang w:val="fr-CA"/>
    </w:rPr>
  </w:style>
  <w:style w:type="paragraph" w:styleId="P232">
    <w:name w:val="subsubsubpara-f"/>
    <w:basedOn w:val="P189"/>
    <w:pPr/>
    <w:rPr>
      <w:lang w:val="fr-CA"/>
    </w:rPr>
  </w:style>
  <w:style w:type="paragraph" w:styleId="P233">
    <w:name w:val="table-f"/>
    <w:basedOn w:val="P23"/>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5"/>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5"/>
    <w:pPr>
      <w:shd w:val="clear" w:fill="D9D9D9"/>
    </w:pPr>
    <w:rPr/>
  </w:style>
  <w:style w:type="paragraph" w:styleId="P255">
    <w:name w:val="YPheadingx-f"/>
    <w:basedOn w:val="P254"/>
    <w:pPr/>
    <w:rPr>
      <w:lang w:val="fr-CA"/>
    </w:rPr>
  </w:style>
  <w:style w:type="paragraph" w:styleId="P256">
    <w:name w:val="Ytable-e"/>
    <w:basedOn w:val="P23"/>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29"/>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3"/>
    <w:pPr>
      <w:shd w:val="clear" w:fill="D9D9D9"/>
    </w:pPr>
    <w:rPr/>
  </w:style>
  <w:style w:type="paragraph" w:styleId="P268">
    <w:name w:val="Ypreamble-e"/>
    <w:basedOn w:val="P171"/>
    <w:pPr>
      <w:shd w:val="clear" w:fill="D9D9D9"/>
      <w:tabs>
        <w:tab w:val="left" w:pos="0" w:leader="none"/>
      </w:tabs>
    </w:pPr>
    <w:rPr/>
  </w:style>
  <w:style w:type="paragraph" w:styleId="P269">
    <w:name w:val="Ypartnum-e"/>
    <w:basedOn w:val="P17"/>
    <w:pPr>
      <w:shd w:val="clear" w:fill="D9D9D9"/>
    </w:pPr>
    <w:rPr/>
  </w:style>
  <w:style w:type="paragraph" w:styleId="P270">
    <w:name w:val="Yheading1-e"/>
    <w:basedOn w:val="P15"/>
    <w:pPr>
      <w:shd w:val="clear" w:fill="D9D9D9"/>
    </w:pPr>
    <w:rPr/>
  </w:style>
  <w:style w:type="paragraph" w:styleId="P271">
    <w:name w:val="Yheading2-e"/>
    <w:basedOn w:val="P133"/>
    <w:pPr>
      <w:shd w:val="clear" w:fill="D9D9D9"/>
    </w:pPr>
    <w:rPr/>
  </w:style>
  <w:style w:type="paragraph" w:styleId="P272">
    <w:name w:val="Yheading3-e"/>
    <w:basedOn w:val="P135"/>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6"/>
    <w:pPr>
      <w:shd w:val="clear" w:fill="D9D9D9"/>
    </w:pPr>
    <w:rPr/>
  </w:style>
  <w:style w:type="paragraph" w:styleId="P278">
    <w:name w:val="Ydefsubclause-e"/>
    <w:basedOn w:val="P113"/>
    <w:pPr>
      <w:shd w:val="clear" w:fill="D9D9D9"/>
    </w:pPr>
    <w:rPr/>
  </w:style>
  <w:style w:type="paragraph" w:styleId="P279">
    <w:name w:val="Ydefsubsubclause-e"/>
    <w:basedOn w:val="P119"/>
    <w:pPr>
      <w:shd w:val="clear" w:fill="D9D9D9"/>
    </w:pPr>
    <w:rPr/>
  </w:style>
  <w:style w:type="paragraph" w:styleId="P280">
    <w:name w:val="Ydefparagraph-e"/>
    <w:basedOn w:val="P111"/>
    <w:pPr>
      <w:shd w:val="clear" w:fill="D9D9D9"/>
    </w:pPr>
    <w:rPr/>
  </w:style>
  <w:style w:type="paragraph" w:styleId="P281">
    <w:name w:val="YSdefpara-e"/>
    <w:basedOn w:val="P200"/>
    <w:pPr>
      <w:shd w:val="clear" w:fill="D9D9D9"/>
    </w:pPr>
    <w:rPr/>
  </w:style>
  <w:style w:type="paragraph" w:styleId="P282">
    <w:name w:val="Ydefsubpara-e"/>
    <w:basedOn w:val="P116"/>
    <w:pPr>
      <w:shd w:val="clear" w:fill="D9D9D9"/>
    </w:pPr>
    <w:rPr/>
  </w:style>
  <w:style w:type="paragraph" w:styleId="P283">
    <w:name w:val="Ydefsubsubpara-e"/>
    <w:basedOn w:val="P122"/>
    <w:pPr>
      <w:shd w:val="clear" w:fill="D9D9D9"/>
    </w:pPr>
    <w:rPr/>
  </w:style>
  <w:style w:type="paragraph" w:styleId="P284">
    <w:name w:val="Ysection-e"/>
    <w:basedOn w:val="P21"/>
    <w:pPr>
      <w:shd w:val="clear" w:fill="D9D9D9"/>
    </w:pPr>
    <w:rPr/>
  </w:style>
  <w:style w:type="paragraph" w:styleId="P285">
    <w:name w:val="YSsection-e"/>
    <w:basedOn w:val="P212"/>
    <w:pPr>
      <w:shd w:val="clear" w:fill="D9D9D9"/>
    </w:pPr>
    <w:rPr/>
  </w:style>
  <w:style w:type="paragraph" w:styleId="P286">
    <w:name w:val="Ysubsection-e"/>
    <w:basedOn w:val="P22"/>
    <w:pPr>
      <w:shd w:val="clear" w:fill="D9D9D9"/>
    </w:pPr>
    <w:rPr/>
  </w:style>
  <w:style w:type="paragraph" w:styleId="P287">
    <w:name w:val="YSsubsection-e"/>
    <w:basedOn w:val="P218"/>
    <w:pPr>
      <w:shd w:val="clear" w:fill="D9D9D9"/>
    </w:pPr>
    <w:rPr/>
  </w:style>
  <w:style w:type="paragraph" w:styleId="P288">
    <w:name w:val="Yclause-e"/>
    <w:basedOn w:val="P11"/>
    <w:pPr>
      <w:shd w:val="clear" w:fill="D9D9D9"/>
    </w:pPr>
    <w:rPr/>
  </w:style>
  <w:style w:type="paragraph" w:styleId="P289">
    <w:name w:val="YSclause-e"/>
    <w:basedOn w:val="P194"/>
    <w:pPr>
      <w:shd w:val="clear" w:fill="D9D9D9"/>
    </w:pPr>
    <w:rPr/>
  </w:style>
  <w:style w:type="paragraph" w:styleId="P290">
    <w:name w:val="Ysubclause-e"/>
    <w:basedOn w:val="P114"/>
    <w:pPr>
      <w:shd w:val="clear" w:fill="D9D9D9"/>
    </w:pPr>
    <w:rPr/>
  </w:style>
  <w:style w:type="paragraph" w:styleId="P291">
    <w:name w:val="YSsubclause-e"/>
    <w:basedOn w:val="P214"/>
    <w:pPr>
      <w:shd w:val="clear" w:fill="D9D9D9"/>
    </w:pPr>
    <w:rPr/>
  </w:style>
  <w:style w:type="paragraph" w:styleId="P292">
    <w:name w:val="Ysubsubclause-e"/>
    <w:basedOn w:val="P120"/>
    <w:pPr>
      <w:shd w:val="clear" w:fill="D9D9D9"/>
    </w:pPr>
    <w:rPr/>
  </w:style>
  <w:style w:type="paragraph" w:styleId="P293">
    <w:name w:val="YSsubsubclause-e"/>
    <w:basedOn w:val="P220"/>
    <w:pPr>
      <w:shd w:val="clear" w:fill="D9D9D9"/>
    </w:pPr>
    <w:rPr/>
  </w:style>
  <w:style w:type="paragraph" w:styleId="P294">
    <w:name w:val="Ysubsubsubclause-e"/>
    <w:basedOn w:val="P186"/>
    <w:pPr>
      <w:shd w:val="clear" w:fill="D9D9D9"/>
    </w:pPr>
    <w:rPr/>
  </w:style>
  <w:style w:type="paragraph" w:styleId="P295">
    <w:name w:val="Yparagraph-e"/>
    <w:basedOn w:val="P16"/>
    <w:pPr>
      <w:shd w:val="clear" w:fill="D9D9D9"/>
    </w:pPr>
    <w:rPr/>
  </w:style>
  <w:style w:type="paragraph" w:styleId="P296">
    <w:name w:val="Yparanoindt-e"/>
    <w:basedOn w:val="P150"/>
    <w:pPr>
      <w:shd w:val="clear" w:fill="D9D9D9"/>
    </w:pPr>
    <w:rPr/>
  </w:style>
  <w:style w:type="paragraph" w:styleId="P297">
    <w:name w:val="Yparawindt-e"/>
    <w:basedOn w:val="P152"/>
    <w:pPr>
      <w:shd w:val="clear" w:fill="D9D9D9"/>
      <w:ind w:left="278"/>
    </w:pPr>
    <w:rPr/>
  </w:style>
  <w:style w:type="paragraph" w:styleId="P298">
    <w:name w:val="Yparawtab-e"/>
    <w:basedOn w:val="P154"/>
    <w:pPr>
      <w:shd w:val="clear" w:fill="D9D9D9"/>
    </w:pPr>
    <w:rPr/>
  </w:style>
  <w:style w:type="paragraph" w:styleId="P299">
    <w:name w:val="YSparagraph-e"/>
    <w:basedOn w:val="P206"/>
    <w:pPr>
      <w:shd w:val="clear" w:fill="D9D9D9"/>
    </w:pPr>
    <w:rPr/>
  </w:style>
  <w:style w:type="paragraph" w:styleId="P300">
    <w:name w:val="Ysubpara-e"/>
    <w:basedOn w:val="P117"/>
    <w:pPr>
      <w:shd w:val="clear" w:fill="D9D9D9"/>
    </w:pPr>
    <w:rPr/>
  </w:style>
  <w:style w:type="paragraph" w:styleId="P301">
    <w:name w:val="YSsubpara-e"/>
    <w:basedOn w:val="P216"/>
    <w:pPr>
      <w:shd w:val="clear" w:fill="D9D9D9"/>
    </w:pPr>
    <w:rPr/>
  </w:style>
  <w:style w:type="paragraph" w:styleId="P302">
    <w:name w:val="Ysubsubpara-e"/>
    <w:basedOn w:val="P123"/>
    <w:pPr>
      <w:shd w:val="clear" w:fill="D9D9D9"/>
    </w:pPr>
    <w:rPr/>
  </w:style>
  <w:style w:type="paragraph" w:styleId="P303">
    <w:name w:val="YSsubsubpara-e"/>
    <w:basedOn w:val="P222"/>
    <w:pPr>
      <w:shd w:val="clear" w:fill="D9D9D9"/>
    </w:pPr>
    <w:rPr/>
  </w:style>
  <w:style w:type="paragraph" w:styleId="P304">
    <w:name w:val="Ysubsubsubpara-e"/>
    <w:basedOn w:val="P189"/>
    <w:pPr>
      <w:shd w:val="clear" w:fill="D9D9D9"/>
    </w:pPr>
    <w:rPr/>
  </w:style>
  <w:style w:type="paragraph" w:styleId="P305">
    <w:name w:val="Yequation-e"/>
    <w:basedOn w:val="P129"/>
    <w:pPr>
      <w:shd w:val="clear" w:fill="D9D9D9"/>
    </w:pPr>
    <w:rPr/>
  </w:style>
  <w:style w:type="paragraph" w:styleId="P306">
    <w:name w:val="YPsection-e"/>
    <w:basedOn w:val="P21"/>
    <w:pPr>
      <w:shd w:val="clear" w:fill="D9D9D9"/>
    </w:pPr>
    <w:rPr>
      <w:b w:val="1"/>
    </w:rPr>
  </w:style>
  <w:style w:type="paragraph" w:styleId="P307">
    <w:name w:val="YSPsection-e"/>
    <w:basedOn w:val="P208"/>
    <w:pPr>
      <w:shd w:val="clear" w:fill="D9D9D9"/>
    </w:pPr>
    <w:rPr/>
  </w:style>
  <w:style w:type="paragraph" w:styleId="P308">
    <w:name w:val="YPsubsection-e"/>
    <w:basedOn w:val="P22"/>
    <w:pPr>
      <w:shd w:val="clear" w:fill="D9D9D9"/>
    </w:pPr>
    <w:rPr>
      <w:b w:val="1"/>
    </w:rPr>
  </w:style>
  <w:style w:type="paragraph" w:styleId="P309">
    <w:name w:val="YSPsubsection-e"/>
    <w:basedOn w:val="P210"/>
    <w:pPr>
      <w:shd w:val="clear" w:fill="D9D9D9"/>
    </w:pPr>
    <w:rPr/>
  </w:style>
  <w:style w:type="paragraph" w:styleId="P310">
    <w:name w:val="YPclause-e"/>
    <w:basedOn w:val="P11"/>
    <w:pPr>
      <w:shd w:val="clear" w:fill="D9D9D9"/>
    </w:pPr>
    <w:rPr>
      <w:b w:val="1"/>
    </w:rPr>
  </w:style>
  <w:style w:type="paragraph" w:styleId="P311">
    <w:name w:val="YPsubclause-e"/>
    <w:basedOn w:val="P114"/>
    <w:pPr>
      <w:shd w:val="clear" w:fill="D9D9D9"/>
    </w:pPr>
    <w:rPr>
      <w:b w:val="1"/>
    </w:rPr>
  </w:style>
  <w:style w:type="paragraph" w:styleId="P312">
    <w:name w:val="YPsubsubclause-e"/>
    <w:basedOn w:val="P120"/>
    <w:pPr>
      <w:shd w:val="clear" w:fill="D9D9D9"/>
    </w:pPr>
    <w:rPr>
      <w:b w:val="1"/>
    </w:rPr>
  </w:style>
  <w:style w:type="paragraph" w:styleId="P313">
    <w:name w:val="YPsubsubsubclause-e"/>
    <w:basedOn w:val="P186"/>
    <w:pPr>
      <w:shd w:val="clear" w:fill="D9D9D9"/>
    </w:pPr>
    <w:rPr>
      <w:b w:val="1"/>
    </w:rPr>
  </w:style>
  <w:style w:type="paragraph" w:styleId="P314">
    <w:name w:val="YPparagraph-e"/>
    <w:basedOn w:val="P16"/>
    <w:pPr>
      <w:shd w:val="clear" w:fill="D9D9D9"/>
    </w:pPr>
    <w:rPr>
      <w:b w:val="1"/>
    </w:rPr>
  </w:style>
  <w:style w:type="paragraph" w:styleId="P315">
    <w:name w:val="YPsubpara-e"/>
    <w:basedOn w:val="P117"/>
    <w:pPr>
      <w:shd w:val="clear" w:fill="D9D9D9"/>
    </w:pPr>
    <w:rPr>
      <w:b w:val="1"/>
    </w:rPr>
  </w:style>
  <w:style w:type="paragraph" w:styleId="P316">
    <w:name w:val="YPsubsubpara-e"/>
    <w:basedOn w:val="P123"/>
    <w:pPr>
      <w:shd w:val="clear" w:fill="D9D9D9"/>
    </w:pPr>
    <w:rPr>
      <w:b w:val="1"/>
    </w:rPr>
  </w:style>
  <w:style w:type="paragraph" w:styleId="P317">
    <w:name w:val="YPsubsubsubpara-e"/>
    <w:basedOn w:val="P189"/>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8"/>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7"/>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7"/>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7"/>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
    <w:pPr/>
    <w:rPr>
      <w:color w:val="0000FF"/>
      <w:u w:val="single" w:color="0000FF"/>
    </w:rPr>
  </w:style>
  <w:style w:type="paragraph" w:styleId="P442">
    <w:name w:val="TOCid-f"/>
    <w:basedOn w:val="P441"/>
    <w:pPr/>
    <w:rPr>
      <w:lang w:val="fr-CA"/>
    </w:rPr>
  </w:style>
  <w:style w:type="paragraph" w:styleId="P443">
    <w:name w:val="TOCheadCenter-e"/>
    <w:basedOn w:val="P23"/>
    <w:pPr>
      <w:jc w:val="center"/>
    </w:pPr>
    <w:rPr>
      <w:color w:val="0000FF"/>
      <w:u w:val="single" w:color="0000FF"/>
    </w:rPr>
  </w:style>
  <w:style w:type="paragraph" w:styleId="P444">
    <w:name w:val="TOCheadCenter-f"/>
    <w:basedOn w:val="P443"/>
    <w:pPr/>
    <w:rPr>
      <w:lang w:val="fr-CA"/>
    </w:rPr>
  </w:style>
  <w:style w:type="paragraph" w:styleId="P445">
    <w:name w:val="TOCtable-e"/>
    <w:basedOn w:val="P23"/>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3"/>
    <w:pPr/>
    <w:rPr/>
  </w:style>
  <w:style w:type="paragraph" w:styleId="P454">
    <w:name w:val="transsection-f"/>
    <w:basedOn w:val="P174"/>
    <w:pPr/>
    <w:rPr/>
  </w:style>
  <w:style w:type="paragraph" w:styleId="P455">
    <w:name w:val="transsubsection-e"/>
    <w:basedOn w:val="P179"/>
    <w:pPr/>
    <w:rPr/>
  </w:style>
  <w:style w:type="paragraph" w:styleId="P456">
    <w:name w:val="transsubsection-f"/>
    <w:basedOn w:val="P180"/>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30"/>
    <w:pPr>
      <w:tabs>
        <w:tab w:val="clear" w:pos="1440" w:leader="none"/>
        <w:tab w:val="clear" w:pos="2880" w:leader="none"/>
      </w:tabs>
      <w:ind w:left="1776"/>
    </w:pPr>
    <w:rPr/>
  </w:style>
  <w:style w:type="paragraph" w:styleId="P460">
    <w:name w:val="SeeSource"/>
    <w:basedOn w:val="P30"/>
    <w:pPr/>
    <w:rPr/>
  </w:style>
  <w:style w:type="paragraph" w:styleId="P461">
    <w:name w:val="Standard-e"/>
    <w:basedOn w:val="P21"/>
    <w:pPr/>
    <w:rPr/>
  </w:style>
  <w:style w:type="paragraph" w:styleId="P462">
    <w:name w:val="Standard-f"/>
    <w:basedOn w:val="P202"/>
    <w:pPr/>
    <w:rPr/>
  </w:style>
  <w:style w:type="paragraph" w:styleId="P463">
    <w:name w:val="Ppartnum-e"/>
    <w:basedOn w:val="P17"/>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7"/>
    <w:pPr>
      <w:shd w:val="clear" w:fill="D9D9D9"/>
    </w:pPr>
    <w:rPr/>
  </w:style>
  <w:style w:type="paragraph" w:styleId="P468">
    <w:name w:val="Yschedule-e"/>
    <w:basedOn w:val="P20"/>
    <w:pPr>
      <w:shd w:val="clear" w:fill="D9D9D9"/>
    </w:pPr>
    <w:rPr/>
  </w:style>
  <w:style w:type="paragraph" w:styleId="P469">
    <w:name w:val="Yschedule-f"/>
    <w:basedOn w:val="P468"/>
    <w:pPr/>
    <w:rPr>
      <w:lang w:val="fr-CA"/>
    </w:rPr>
  </w:style>
  <w:style w:type="paragraph" w:styleId="P470">
    <w:name w:val="Yline-e"/>
    <w:basedOn w:val="P141"/>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8"/>
    <w:pPr>
      <w:shd w:val="clear" w:fill="D9D9D9"/>
    </w:pPr>
    <w:rPr/>
  </w:style>
  <w:style w:type="paragraph" w:styleId="P478">
    <w:name w:val="Yregnumber-f"/>
    <w:basedOn w:val="P477"/>
    <w:pPr/>
    <w:rPr>
      <w:lang w:val="fr-CA"/>
    </w:rPr>
  </w:style>
  <w:style w:type="paragraph" w:styleId="P479">
    <w:name w:val="regnumber-f"/>
    <w:basedOn w:val="P18"/>
    <w:pPr/>
    <w:rPr>
      <w:lang w:val="fr-CA"/>
    </w:rPr>
  </w:style>
  <w:style w:type="paragraph" w:styleId="P480">
    <w:name w:val="regtitle-f"/>
    <w:basedOn w:val="P19"/>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5"/>
    <w:pPr>
      <w:shd w:val="clear" w:fill="D9D9D9"/>
    </w:pPr>
    <w:rPr/>
  </w:style>
  <w:style w:type="paragraph" w:styleId="P495">
    <w:name w:val="version-f"/>
    <w:basedOn w:val="P24"/>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9"/>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4"/>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9"/>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
    <w:pPr/>
    <w:rPr>
      <w:color w:val="0000FF"/>
      <w:u w:val="single" w:color="0000FF"/>
    </w:rPr>
  </w:style>
  <w:style w:type="paragraph" w:styleId="P531">
    <w:name w:val="tablelevel1-e"/>
    <w:basedOn w:val="P23"/>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2"/>
    <w:pPr>
      <w:ind w:left="835"/>
    </w:pPr>
    <w:rPr/>
  </w:style>
  <w:style w:type="paragraph" w:styleId="P546">
    <w:name w:val="equationind1-f"/>
    <w:basedOn w:val="P582"/>
    <w:pPr/>
    <w:rPr>
      <w:lang w:val="fr-CA"/>
    </w:rPr>
  </w:style>
  <w:style w:type="paragraph" w:styleId="P547">
    <w:name w:val="equationind2-e"/>
    <w:basedOn w:val="P117"/>
    <w:pPr/>
    <w:rPr/>
  </w:style>
  <w:style w:type="paragraph" w:styleId="P548">
    <w:name w:val="equationind2-f"/>
    <w:basedOn w:val="P547"/>
    <w:pPr/>
    <w:rPr>
      <w:lang w:val="fr-CA"/>
    </w:rPr>
  </w:style>
  <w:style w:type="paragraph" w:styleId="P549">
    <w:name w:val="equationind3-e"/>
    <w:basedOn w:val="P123"/>
    <w:pPr/>
    <w:rPr/>
  </w:style>
  <w:style w:type="paragraph" w:styleId="P550">
    <w:name w:val="equationind3-f"/>
    <w:basedOn w:val="P549"/>
    <w:pPr/>
    <w:rPr>
      <w:lang w:val="fr-CA"/>
    </w:rPr>
  </w:style>
  <w:style w:type="paragraph" w:styleId="P551">
    <w:name w:val="equationind4-e"/>
    <w:basedOn w:val="P189"/>
    <w:pPr/>
    <w:rPr/>
  </w:style>
  <w:style w:type="paragraph" w:styleId="P552">
    <w:name w:val="equationind4-f"/>
    <w:basedOn w:val="P551"/>
    <w:pPr/>
    <w:rPr>
      <w:lang w:val="fr-CA"/>
    </w:rPr>
  </w:style>
  <w:style w:type="paragraph" w:styleId="P553">
    <w:name w:val="tablelevel4x-e"/>
    <w:basedOn w:val="P23"/>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29"/>
    <w:pPr>
      <w:jc w:val="both"/>
    </w:pPr>
    <w:rPr/>
  </w:style>
  <w:style w:type="paragraph" w:styleId="P558">
    <w:name w:val="footnoteLeft-f"/>
    <w:basedOn w:val="P557"/>
    <w:pPr/>
    <w:rPr>
      <w:lang w:val="fr-CA"/>
    </w:rPr>
  </w:style>
  <w:style w:type="paragraph" w:styleId="P559">
    <w:name w:val="TOCpartLeft-e"/>
    <w:basedOn w:val="P23"/>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29"/>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
    <w:pPr/>
    <w:rPr>
      <w:b w:val="1"/>
      <w:color w:val="0000FF"/>
      <w:u w:val="single" w:color="0000FF"/>
    </w:rPr>
  </w:style>
  <w:style w:type="paragraph" w:styleId="P571">
    <w:name w:val="TOCsched-f"/>
    <w:basedOn w:val="P572"/>
    <w:pPr/>
    <w:rPr>
      <w:lang w:val="fr-CA"/>
    </w:rPr>
  </w:style>
  <w:style w:type="paragraph" w:styleId="P572">
    <w:name w:val="TOCsched-e"/>
    <w:basedOn w:val="P23"/>
    <w:pPr/>
    <w:rPr>
      <w:color w:val="0000FF"/>
      <w:u w:val="single" w:color="0000FF"/>
    </w:rPr>
  </w:style>
  <w:style w:type="paragraph" w:styleId="P573">
    <w:name w:val="tocpartnum-f"/>
    <w:basedOn w:val="P493"/>
    <w:pPr/>
    <w:rPr>
      <w:lang w:val="fr-CA"/>
    </w:rPr>
  </w:style>
  <w:style w:type="paragraph" w:styleId="P574">
    <w:name w:val="partnumRevoked-e"/>
    <w:basedOn w:val="P17"/>
    <w:pPr/>
    <w:rPr>
      <w:b w:val="0"/>
      <w:caps w:val="0"/>
    </w:rPr>
  </w:style>
  <w:style w:type="paragraph" w:styleId="P575">
    <w:name w:val="partnumRevoked-f"/>
    <w:basedOn w:val="P574"/>
    <w:pPr/>
    <w:rPr>
      <w:lang w:val="fr-CA"/>
    </w:rPr>
  </w:style>
  <w:style w:type="paragraph" w:styleId="P576">
    <w:name w:val="scheduleRevoked-e"/>
    <w:basedOn w:val="P20"/>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4"/>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5"/>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5"/>
    <w:pPr/>
    <w:rPr/>
  </w:style>
  <w:style w:type="paragraph" w:styleId="P607">
    <w:name w:val="heading1x-f"/>
    <w:basedOn w:val="P132"/>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31"/>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4"/>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6"/>
    <w:pPr/>
    <w:rPr/>
  </w:style>
  <w:style w:type="paragraph" w:styleId="P645">
    <w:name w:val="defsubsubsubclause-f"/>
    <w:basedOn w:val="P231"/>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20"/>
    <w:pPr/>
    <w:rPr>
      <w:b w:val="1"/>
    </w:rPr>
  </w:style>
  <w:style w:type="paragraph" w:styleId="P661">
    <w:name w:val="Pschedule-f"/>
    <w:basedOn w:val="P193"/>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3"/>
    <w:pPr>
      <w:shd w:val="clear" w:fill="D9D9D9"/>
    </w:pPr>
    <w:rPr/>
  </w:style>
  <w:style w:type="paragraph" w:styleId="P674">
    <w:name w:val="YPheading3-f"/>
    <w:basedOn w:val="P164"/>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5"/>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3"/>
    <w:pPr/>
    <w:rPr/>
  </w:style>
  <w:style w:type="paragraph" w:styleId="P695">
    <w:name w:val="heading2x-f"/>
    <w:basedOn w:val="P134"/>
    <w:pPr/>
    <w:rPr/>
  </w:style>
  <w:style w:type="paragraph" w:styleId="P696">
    <w:name w:val="heading3x-f"/>
    <w:basedOn w:val="P136"/>
    <w:pPr/>
    <w:rPr/>
  </w:style>
  <w:style w:type="paragraph" w:styleId="P697">
    <w:name w:val="heading3x-e"/>
    <w:basedOn w:val="P135"/>
    <w:pPr/>
    <w:rPr/>
  </w:style>
  <w:style w:type="paragraph" w:styleId="P698">
    <w:name w:val="Yprocparanoindt-e"/>
    <w:basedOn w:val="P150"/>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semiHidden/>
    <w:rPr>
      <w:color w:val="800080"/>
      <w:u w:val="single"/>
    </w:rPr>
  </w:style>
  <w:style w:type="character" w:styleId="C10">
    <w:name w:val="footnote reference"/>
    <w:semiHidden/>
    <w:rPr>
      <w:vertAlign w:val="superscript"/>
    </w:rPr>
  </w:style>
  <w:style w:type="character" w:styleId="C11">
    <w:name w:val="HTML Acronym"/>
    <w:basedOn w:val="C0"/>
    <w:semiHidden/>
    <w:rPr/>
  </w:style>
  <w:style w:type="character" w:styleId="C12">
    <w:name w:val="HTML Cite"/>
    <w:semiHidden/>
    <w:rPr>
      <w:i w:val="1"/>
    </w:rPr>
  </w:style>
  <w:style w:type="character" w:styleId="C13">
    <w:name w:val="HTML Code"/>
    <w:semiHidden/>
    <w:rPr>
      <w:rFonts w:ascii="Courier New" w:hAnsi="Courier New"/>
      <w:sz w:val="20"/>
    </w:rPr>
  </w:style>
  <w:style w:type="character" w:styleId="C14">
    <w:name w:val="HTML Definition"/>
    <w:semiHidden/>
    <w:rPr>
      <w:i w:val="1"/>
    </w:rPr>
  </w:style>
  <w:style w:type="character" w:styleId="C15">
    <w:name w:val="HTML Keyboard"/>
    <w:semiHidden/>
    <w:rPr>
      <w:rFonts w:ascii="Courier New" w:hAnsi="Courier New"/>
      <w:sz w:val="20"/>
    </w:rPr>
  </w:style>
  <w:style w:type="character" w:styleId="C16">
    <w:name w:val="HTML Sample"/>
    <w:semiHidden/>
    <w:rPr>
      <w:rFonts w:ascii="Courier New" w:hAnsi="Courier New"/>
    </w:rPr>
  </w:style>
  <w:style w:type="character" w:styleId="C17">
    <w:name w:val="HTML Typewriter"/>
    <w:semiHidden/>
    <w:rPr>
      <w:rFonts w:ascii="Courier New" w:hAnsi="Courier New"/>
      <w:sz w:val="20"/>
    </w:rPr>
  </w:style>
  <w:style w:type="character" w:styleId="C18">
    <w:name w:val="HTML Variable"/>
    <w:semiHidden/>
    <w:rPr>
      <w:i w:val="1"/>
    </w:rPr>
  </w:style>
  <w:style w:type="character" w:styleId="C19">
    <w:name w:val="line number"/>
    <w:basedOn w:val="C0"/>
    <w:semiHidden/>
    <w:rPr/>
  </w:style>
  <w:style w:type="character" w:styleId="C20">
    <w:name w:val="ovsmallcap"/>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2019-01-09T20:45:00Z</dcterms:created>
  <cp:lastModifiedBy>Sud, Manu (MEDJCT)</cp:lastModifiedBy>
  <cp:lastPrinted>2003-10-16T18:26:00Z</cp:lastPrinted>
  <dcterms:modified xsi:type="dcterms:W3CDTF">2019-01-10T16:39:27Z</dcterms:modified>
  <cp:revision>1</cp:revision>
  <dc:subject>EFFLUENT MONITORING AND EFFLUENT LIMITS — METAL CASTING SECTOR</dc:subject>
  <dc:title>Environmental Protection Act - O. Reg. 562/94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2019-01-09T20:45:34.2977266Z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