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DAE" w:rsidRPr="004D4842" w:rsidRDefault="00E15DAE" w:rsidP="00E15DAE">
      <w:pPr>
        <w:rPr>
          <w:rFonts w:ascii="Arial" w:hAnsi="Arial" w:cs="Arial"/>
          <w:b/>
          <w:sz w:val="24"/>
          <w:szCs w:val="24"/>
          <w:u w:val="single"/>
        </w:rPr>
      </w:pPr>
      <w:bookmarkStart w:id="0" w:name="_GoBack"/>
      <w:bookmarkEnd w:id="0"/>
      <w:r w:rsidRPr="004D4842">
        <w:rPr>
          <w:rFonts w:ascii="Arial" w:hAnsi="Arial" w:cs="Arial"/>
          <w:b/>
          <w:sz w:val="24"/>
          <w:szCs w:val="24"/>
          <w:u w:val="single"/>
        </w:rPr>
        <w:t>What should be excluded from the Regulatory Count?</w:t>
      </w:r>
    </w:p>
    <w:p w:rsidR="006E5EF1" w:rsidRDefault="006B748F" w:rsidP="004F2D35">
      <w:pPr>
        <w:rPr>
          <w:rFonts w:ascii="Arial" w:hAnsi="Arial" w:cs="Arial"/>
          <w:sz w:val="24"/>
          <w:szCs w:val="24"/>
        </w:rPr>
      </w:pPr>
      <w:r>
        <w:rPr>
          <w:rFonts w:ascii="Arial" w:hAnsi="Arial" w:cs="Arial"/>
          <w:sz w:val="24"/>
          <w:szCs w:val="24"/>
        </w:rPr>
        <w:t>MTO Legal Services has undertaken a preliminary assessment of the burden count conducted by Cabinet Office – Open for Business</w:t>
      </w:r>
      <w:r w:rsidR="00D67380">
        <w:rPr>
          <w:rFonts w:ascii="Arial" w:hAnsi="Arial" w:cs="Arial"/>
          <w:sz w:val="24"/>
          <w:szCs w:val="24"/>
        </w:rPr>
        <w:t>, which counted the words “must”, “shall”, and “required</w:t>
      </w:r>
      <w:r w:rsidR="006B21A3">
        <w:rPr>
          <w:rFonts w:ascii="Arial" w:hAnsi="Arial" w:cs="Arial"/>
          <w:sz w:val="24"/>
          <w:szCs w:val="24"/>
        </w:rPr>
        <w:t>”</w:t>
      </w:r>
      <w:r w:rsidR="00D67380">
        <w:rPr>
          <w:rFonts w:ascii="Arial" w:hAnsi="Arial" w:cs="Arial"/>
          <w:sz w:val="24"/>
          <w:szCs w:val="24"/>
        </w:rPr>
        <w:t xml:space="preserve"> in MTO legislation and regulations</w:t>
      </w:r>
      <w:r>
        <w:rPr>
          <w:rFonts w:ascii="Arial" w:hAnsi="Arial" w:cs="Arial"/>
          <w:sz w:val="24"/>
          <w:szCs w:val="24"/>
        </w:rPr>
        <w:t xml:space="preserve">. </w:t>
      </w:r>
      <w:r w:rsidR="00150951">
        <w:rPr>
          <w:rFonts w:ascii="Arial" w:hAnsi="Arial" w:cs="Arial"/>
          <w:sz w:val="24"/>
          <w:szCs w:val="24"/>
        </w:rPr>
        <w:t>K</w:t>
      </w:r>
      <w:r w:rsidR="006E5EF1">
        <w:rPr>
          <w:rFonts w:ascii="Arial" w:hAnsi="Arial" w:cs="Arial"/>
          <w:sz w:val="24"/>
          <w:szCs w:val="24"/>
        </w:rPr>
        <w:t>ey words should not be counted as regulatory burdens</w:t>
      </w:r>
      <w:r w:rsidR="003B7771" w:rsidRPr="003B7771">
        <w:rPr>
          <w:rFonts w:ascii="Arial" w:hAnsi="Arial" w:cs="Arial"/>
          <w:sz w:val="24"/>
          <w:szCs w:val="24"/>
        </w:rPr>
        <w:t xml:space="preserve"> </w:t>
      </w:r>
      <w:r w:rsidR="003B7771">
        <w:rPr>
          <w:rFonts w:ascii="Arial" w:hAnsi="Arial" w:cs="Arial"/>
          <w:sz w:val="24"/>
          <w:szCs w:val="24"/>
        </w:rPr>
        <w:t xml:space="preserve">in the following </w:t>
      </w:r>
      <w:r w:rsidR="00E6638E">
        <w:rPr>
          <w:rFonts w:ascii="Arial" w:hAnsi="Arial" w:cs="Arial"/>
          <w:sz w:val="24"/>
          <w:szCs w:val="24"/>
        </w:rPr>
        <w:t>10</w:t>
      </w:r>
      <w:r w:rsidR="0046263E">
        <w:rPr>
          <w:rFonts w:ascii="Arial" w:hAnsi="Arial" w:cs="Arial"/>
          <w:sz w:val="24"/>
          <w:szCs w:val="24"/>
        </w:rPr>
        <w:t xml:space="preserve"> </w:t>
      </w:r>
      <w:r w:rsidR="003B7771">
        <w:rPr>
          <w:rFonts w:ascii="Arial" w:hAnsi="Arial" w:cs="Arial"/>
          <w:sz w:val="24"/>
          <w:szCs w:val="24"/>
        </w:rPr>
        <w:t>situations</w:t>
      </w:r>
      <w:r w:rsidR="00150951">
        <w:rPr>
          <w:rFonts w:ascii="Arial" w:hAnsi="Arial" w:cs="Arial"/>
          <w:sz w:val="24"/>
          <w:szCs w:val="24"/>
        </w:rPr>
        <w:t>:</w:t>
      </w:r>
    </w:p>
    <w:p w:rsidR="0046263E" w:rsidRPr="006E5EF1" w:rsidRDefault="0046263E" w:rsidP="006B748F">
      <w:pPr>
        <w:spacing w:after="0" w:line="240" w:lineRule="auto"/>
        <w:rPr>
          <w:rFonts w:ascii="Arial" w:hAnsi="Arial" w:cs="Arial"/>
          <w:sz w:val="24"/>
          <w:szCs w:val="24"/>
        </w:rPr>
      </w:pPr>
    </w:p>
    <w:p w:rsidR="004D4842" w:rsidRPr="00150951" w:rsidRDefault="003B7771" w:rsidP="004D4842">
      <w:pPr>
        <w:pStyle w:val="ListParagraph"/>
        <w:numPr>
          <w:ilvl w:val="0"/>
          <w:numId w:val="6"/>
        </w:numPr>
        <w:rPr>
          <w:rFonts w:ascii="Arial" w:hAnsi="Arial" w:cs="Arial"/>
          <w:b/>
          <w:sz w:val="24"/>
          <w:szCs w:val="24"/>
        </w:rPr>
      </w:pPr>
      <w:r w:rsidRPr="00150951">
        <w:rPr>
          <w:rFonts w:ascii="Arial" w:hAnsi="Arial" w:cs="Arial"/>
          <w:b/>
          <w:sz w:val="24"/>
          <w:szCs w:val="24"/>
        </w:rPr>
        <w:t>They appear in p</w:t>
      </w:r>
      <w:r w:rsidR="004D4842" w:rsidRPr="00150951">
        <w:rPr>
          <w:rFonts w:ascii="Arial" w:hAnsi="Arial" w:cs="Arial"/>
          <w:b/>
          <w:sz w:val="24"/>
          <w:szCs w:val="24"/>
        </w:rPr>
        <w:t>arts of MTO legislation that are the responsibility of other ministries</w:t>
      </w:r>
      <w:r w:rsidR="00EC60BD">
        <w:rPr>
          <w:rFonts w:ascii="Arial" w:hAnsi="Arial" w:cs="Arial"/>
          <w:b/>
          <w:sz w:val="24"/>
          <w:szCs w:val="24"/>
        </w:rPr>
        <w:t>.</w:t>
      </w:r>
    </w:p>
    <w:p w:rsidR="004D4842" w:rsidRPr="004D4842" w:rsidRDefault="004D4842" w:rsidP="004D4842">
      <w:pPr>
        <w:rPr>
          <w:rFonts w:ascii="Arial" w:hAnsi="Arial" w:cs="Arial"/>
          <w:sz w:val="24"/>
          <w:szCs w:val="24"/>
        </w:rPr>
      </w:pPr>
      <w:r>
        <w:rPr>
          <w:rFonts w:ascii="Arial" w:hAnsi="Arial" w:cs="Arial"/>
          <w:sz w:val="24"/>
          <w:szCs w:val="24"/>
        </w:rPr>
        <w:t>M</w:t>
      </w:r>
      <w:r w:rsidRPr="004D4842">
        <w:rPr>
          <w:rFonts w:ascii="Arial" w:hAnsi="Arial" w:cs="Arial"/>
          <w:sz w:val="24"/>
          <w:szCs w:val="24"/>
        </w:rPr>
        <w:t xml:space="preserve">OF </w:t>
      </w:r>
      <w:r w:rsidRPr="006B748F">
        <w:rPr>
          <w:rFonts w:ascii="Arial" w:hAnsi="Arial" w:cs="Arial"/>
          <w:sz w:val="24"/>
          <w:szCs w:val="24"/>
        </w:rPr>
        <w:t>–</w:t>
      </w:r>
      <w:r w:rsidR="006B748F">
        <w:rPr>
          <w:rFonts w:ascii="Arial" w:hAnsi="Arial" w:cs="Arial"/>
          <w:sz w:val="24"/>
          <w:szCs w:val="24"/>
        </w:rPr>
        <w:t xml:space="preserve"> </w:t>
      </w:r>
      <w:r w:rsidRPr="006B748F">
        <w:rPr>
          <w:rFonts w:ascii="Arial" w:hAnsi="Arial" w:cs="Arial"/>
          <w:sz w:val="24"/>
          <w:szCs w:val="24"/>
        </w:rPr>
        <w:t>section 7.3, clause 7.4 (a), sections 7.5, 7.6, 7.7, 7.8 and 7.16 of the HTA</w:t>
      </w:r>
      <w:r w:rsidRPr="006B748F">
        <w:rPr>
          <w:rFonts w:ascii="Arial" w:hAnsi="Arial" w:cs="Arial"/>
          <w:sz w:val="24"/>
          <w:szCs w:val="24"/>
          <w:shd w:val="clear" w:color="auto" w:fill="EEFFD9"/>
        </w:rPr>
        <w:t xml:space="preserve"> </w:t>
      </w:r>
      <w:r w:rsidR="006B748F" w:rsidRPr="006B748F">
        <w:rPr>
          <w:rFonts w:ascii="Arial" w:hAnsi="Arial" w:cs="Arial"/>
          <w:sz w:val="24"/>
          <w:szCs w:val="24"/>
          <w:shd w:val="clear" w:color="auto" w:fill="EEFFD9"/>
        </w:rPr>
        <w:t>–</w:t>
      </w:r>
      <w:r w:rsidRPr="0046263E">
        <w:rPr>
          <w:rFonts w:ascii="Arial" w:hAnsi="Arial" w:cs="Arial"/>
          <w:sz w:val="24"/>
          <w:szCs w:val="24"/>
          <w:shd w:val="clear" w:color="auto" w:fill="EEFFD9"/>
        </w:rPr>
        <w:t xml:space="preserve"> </w:t>
      </w:r>
      <w:r w:rsidRPr="0046263E">
        <w:rPr>
          <w:rFonts w:ascii="Arial" w:hAnsi="Arial" w:cs="Arial"/>
          <w:sz w:val="24"/>
          <w:szCs w:val="24"/>
        </w:rPr>
        <w:t xml:space="preserve">16 </w:t>
      </w:r>
      <w:r w:rsidRPr="004D4842">
        <w:rPr>
          <w:rFonts w:ascii="Arial" w:hAnsi="Arial" w:cs="Arial"/>
          <w:sz w:val="24"/>
          <w:szCs w:val="24"/>
        </w:rPr>
        <w:t>shalls, 4 remains</w:t>
      </w:r>
    </w:p>
    <w:p w:rsidR="004D4842" w:rsidRPr="004D4842" w:rsidRDefault="004D4842" w:rsidP="004D4842">
      <w:pPr>
        <w:rPr>
          <w:rFonts w:ascii="Arial" w:hAnsi="Arial" w:cs="Arial"/>
          <w:sz w:val="24"/>
          <w:szCs w:val="24"/>
        </w:rPr>
      </w:pPr>
      <w:r w:rsidRPr="004D4842">
        <w:rPr>
          <w:rFonts w:ascii="Arial" w:hAnsi="Arial" w:cs="Arial"/>
          <w:sz w:val="24"/>
          <w:szCs w:val="24"/>
        </w:rPr>
        <w:t>MG</w:t>
      </w:r>
      <w:r w:rsidR="006B748F">
        <w:rPr>
          <w:rFonts w:ascii="Arial" w:hAnsi="Arial" w:cs="Arial"/>
          <w:sz w:val="24"/>
          <w:szCs w:val="24"/>
        </w:rPr>
        <w:t>C</w:t>
      </w:r>
      <w:r w:rsidRPr="004D4842">
        <w:rPr>
          <w:rFonts w:ascii="Arial" w:hAnsi="Arial" w:cs="Arial"/>
          <w:sz w:val="24"/>
          <w:szCs w:val="24"/>
        </w:rPr>
        <w:t>S – Part III</w:t>
      </w:r>
      <w:r>
        <w:rPr>
          <w:rFonts w:ascii="Arial" w:hAnsi="Arial" w:cs="Arial"/>
          <w:sz w:val="24"/>
          <w:szCs w:val="24"/>
        </w:rPr>
        <w:t xml:space="preserve"> of the HTA</w:t>
      </w:r>
      <w:r w:rsidRPr="004D4842">
        <w:rPr>
          <w:rFonts w:ascii="Arial" w:hAnsi="Arial" w:cs="Arial"/>
          <w:sz w:val="24"/>
          <w:szCs w:val="24"/>
        </w:rPr>
        <w:t xml:space="preserve"> – 4 </w:t>
      </w:r>
      <w:r w:rsidR="0046263E">
        <w:rPr>
          <w:rFonts w:ascii="Arial" w:hAnsi="Arial" w:cs="Arial"/>
          <w:sz w:val="24"/>
          <w:szCs w:val="24"/>
        </w:rPr>
        <w:t>s</w:t>
      </w:r>
      <w:r w:rsidRPr="004D4842">
        <w:rPr>
          <w:rFonts w:ascii="Arial" w:hAnsi="Arial" w:cs="Arial"/>
          <w:sz w:val="24"/>
          <w:szCs w:val="24"/>
        </w:rPr>
        <w:t>halls</w:t>
      </w:r>
    </w:p>
    <w:p w:rsidR="004D4842" w:rsidRPr="004D4842" w:rsidRDefault="004D4842" w:rsidP="006B748F">
      <w:pPr>
        <w:spacing w:after="0" w:line="240" w:lineRule="auto"/>
        <w:rPr>
          <w:rFonts w:ascii="Arial" w:hAnsi="Arial" w:cs="Arial"/>
          <w:sz w:val="24"/>
          <w:szCs w:val="24"/>
        </w:rPr>
      </w:pPr>
    </w:p>
    <w:p w:rsidR="00E15DAE" w:rsidRPr="00150951" w:rsidRDefault="00E15DAE" w:rsidP="004D4842">
      <w:pPr>
        <w:pStyle w:val="ListParagraph"/>
        <w:numPr>
          <w:ilvl w:val="0"/>
          <w:numId w:val="6"/>
        </w:numPr>
        <w:rPr>
          <w:rFonts w:ascii="Arial" w:hAnsi="Arial" w:cs="Arial"/>
          <w:b/>
          <w:sz w:val="24"/>
          <w:szCs w:val="24"/>
        </w:rPr>
      </w:pPr>
      <w:r w:rsidRPr="00150951">
        <w:rPr>
          <w:rFonts w:ascii="Arial" w:hAnsi="Arial" w:cs="Arial"/>
          <w:b/>
          <w:sz w:val="24"/>
          <w:szCs w:val="24"/>
        </w:rPr>
        <w:t xml:space="preserve">Obligations </w:t>
      </w:r>
      <w:r w:rsidR="004F2D35" w:rsidRPr="00150951">
        <w:rPr>
          <w:rFonts w:ascii="Arial" w:hAnsi="Arial" w:cs="Arial"/>
          <w:b/>
          <w:sz w:val="24"/>
          <w:szCs w:val="24"/>
        </w:rPr>
        <w:t xml:space="preserve">imposed on </w:t>
      </w:r>
      <w:r w:rsidRPr="00150951">
        <w:rPr>
          <w:rFonts w:ascii="Arial" w:hAnsi="Arial" w:cs="Arial"/>
          <w:b/>
          <w:sz w:val="24"/>
          <w:szCs w:val="24"/>
        </w:rPr>
        <w:t>Minister</w:t>
      </w:r>
      <w:r w:rsidR="004F2D35" w:rsidRPr="00150951">
        <w:rPr>
          <w:rFonts w:ascii="Arial" w:hAnsi="Arial" w:cs="Arial"/>
          <w:b/>
          <w:sz w:val="24"/>
          <w:szCs w:val="24"/>
        </w:rPr>
        <w:t xml:space="preserve">, </w:t>
      </w:r>
      <w:r w:rsidR="0046263E">
        <w:rPr>
          <w:rFonts w:ascii="Arial" w:hAnsi="Arial" w:cs="Arial"/>
          <w:b/>
          <w:sz w:val="24"/>
          <w:szCs w:val="24"/>
        </w:rPr>
        <w:t>m</w:t>
      </w:r>
      <w:r w:rsidR="004F2D35" w:rsidRPr="00150951">
        <w:rPr>
          <w:rFonts w:ascii="Arial" w:hAnsi="Arial" w:cs="Arial"/>
          <w:b/>
          <w:sz w:val="24"/>
          <w:szCs w:val="24"/>
        </w:rPr>
        <w:t>inistry</w:t>
      </w:r>
      <w:r w:rsidR="00817CA3" w:rsidRPr="00150951">
        <w:rPr>
          <w:rFonts w:ascii="Arial" w:hAnsi="Arial" w:cs="Arial"/>
          <w:b/>
          <w:sz w:val="24"/>
          <w:szCs w:val="24"/>
        </w:rPr>
        <w:t>,</w:t>
      </w:r>
      <w:r w:rsidR="004F2D35" w:rsidRPr="00150951">
        <w:rPr>
          <w:rFonts w:ascii="Arial" w:hAnsi="Arial" w:cs="Arial"/>
          <w:b/>
          <w:sz w:val="24"/>
          <w:szCs w:val="24"/>
        </w:rPr>
        <w:t xml:space="preserve"> police, courts </w:t>
      </w:r>
      <w:r w:rsidRPr="00150951">
        <w:rPr>
          <w:rFonts w:ascii="Arial" w:hAnsi="Arial" w:cs="Arial"/>
          <w:b/>
          <w:sz w:val="24"/>
          <w:szCs w:val="24"/>
        </w:rPr>
        <w:t>or government employees</w:t>
      </w:r>
      <w:r w:rsidR="0046263E">
        <w:rPr>
          <w:rFonts w:ascii="Arial" w:hAnsi="Arial" w:cs="Arial"/>
          <w:b/>
          <w:sz w:val="24"/>
          <w:szCs w:val="24"/>
        </w:rPr>
        <w:t>.</w:t>
      </w:r>
    </w:p>
    <w:p w:rsidR="004F2D35" w:rsidRPr="004D4842" w:rsidRDefault="004F2D35" w:rsidP="004F2D35">
      <w:pPr>
        <w:rPr>
          <w:rFonts w:ascii="Arial" w:hAnsi="Arial" w:cs="Arial"/>
          <w:sz w:val="24"/>
          <w:szCs w:val="24"/>
          <w:u w:val="single"/>
        </w:rPr>
      </w:pPr>
      <w:r w:rsidRPr="004D4842">
        <w:rPr>
          <w:rFonts w:ascii="Arial" w:hAnsi="Arial" w:cs="Arial"/>
          <w:sz w:val="24"/>
          <w:szCs w:val="24"/>
          <w:u w:val="single"/>
        </w:rPr>
        <w:t>Examples</w:t>
      </w:r>
      <w:r w:rsidR="006B748F">
        <w:rPr>
          <w:rFonts w:ascii="Arial" w:hAnsi="Arial" w:cs="Arial"/>
          <w:sz w:val="24"/>
          <w:szCs w:val="24"/>
          <w:u w:val="single"/>
        </w:rPr>
        <w:t xml:space="preserve"> of obligations to be excluded from the count</w:t>
      </w:r>
      <w:r w:rsidR="0046263E">
        <w:rPr>
          <w:rFonts w:ascii="Arial" w:hAnsi="Arial" w:cs="Arial"/>
          <w:sz w:val="24"/>
          <w:szCs w:val="24"/>
          <w:u w:val="single"/>
        </w:rPr>
        <w:t>:</w:t>
      </w:r>
    </w:p>
    <w:p w:rsidR="00817CA3" w:rsidRPr="004D4842" w:rsidRDefault="00817CA3" w:rsidP="00D1529A">
      <w:pPr>
        <w:pStyle w:val="subsection"/>
        <w:spacing w:line="240" w:lineRule="auto"/>
        <w:rPr>
          <w:rFonts w:ascii="Arial" w:hAnsi="Arial" w:cs="Arial"/>
          <w:sz w:val="24"/>
          <w:szCs w:val="24"/>
        </w:rPr>
      </w:pPr>
      <w:r w:rsidRPr="004D4842">
        <w:rPr>
          <w:rFonts w:ascii="Arial" w:hAnsi="Arial" w:cs="Arial"/>
          <w:sz w:val="24"/>
          <w:szCs w:val="24"/>
        </w:rPr>
        <w:t xml:space="preserve">HTA 5 (2)  Before taking any action under subsection (1), the Minister </w:t>
      </w:r>
      <w:r w:rsidRPr="004D4842">
        <w:rPr>
          <w:rFonts w:ascii="Arial" w:hAnsi="Arial" w:cs="Arial"/>
          <w:sz w:val="24"/>
          <w:szCs w:val="24"/>
          <w:highlight w:val="yellow"/>
        </w:rPr>
        <w:t>shall</w:t>
      </w:r>
      <w:r w:rsidRPr="004D4842">
        <w:rPr>
          <w:rFonts w:ascii="Arial" w:hAnsi="Arial" w:cs="Arial"/>
          <w:sz w:val="24"/>
          <w:szCs w:val="24"/>
        </w:rPr>
        <w:t xml:space="preserve"> cause notice to be given to the holder of the vehicle permit or driver’s licence of his or her intention to cancel the permit or licence and the notice </w:t>
      </w:r>
      <w:r w:rsidRPr="004D4842">
        <w:rPr>
          <w:rFonts w:ascii="Arial" w:hAnsi="Arial" w:cs="Arial"/>
          <w:sz w:val="24"/>
          <w:szCs w:val="24"/>
          <w:highlight w:val="yellow"/>
        </w:rPr>
        <w:t>shall</w:t>
      </w:r>
      <w:r w:rsidRPr="004D4842">
        <w:rPr>
          <w:rFonts w:ascii="Arial" w:hAnsi="Arial" w:cs="Arial"/>
          <w:sz w:val="24"/>
          <w:szCs w:val="24"/>
        </w:rPr>
        <w:t xml:space="preserve"> state that the holder has 60 days from the date of the notice to provide the Minister with the correct information. 2015, c. 27, Sched. 7, s. 2 (1).</w:t>
      </w:r>
    </w:p>
    <w:p w:rsidR="00817CA3" w:rsidRPr="004D4842" w:rsidRDefault="00817CA3" w:rsidP="00817CA3">
      <w:pPr>
        <w:pStyle w:val="subsection"/>
        <w:rPr>
          <w:rFonts w:ascii="Arial" w:hAnsi="Arial" w:cs="Arial"/>
          <w:sz w:val="24"/>
          <w:szCs w:val="24"/>
        </w:rPr>
      </w:pPr>
    </w:p>
    <w:p w:rsidR="00817CA3" w:rsidRPr="004D4842" w:rsidRDefault="00817CA3" w:rsidP="00817CA3">
      <w:pPr>
        <w:pStyle w:val="subsection"/>
        <w:rPr>
          <w:rFonts w:ascii="Arial" w:hAnsi="Arial" w:cs="Arial"/>
          <w:sz w:val="24"/>
          <w:szCs w:val="24"/>
        </w:rPr>
      </w:pPr>
      <w:r w:rsidRPr="004D4842">
        <w:rPr>
          <w:rFonts w:ascii="Arial" w:hAnsi="Arial" w:cs="Arial"/>
          <w:sz w:val="24"/>
          <w:szCs w:val="24"/>
        </w:rPr>
        <w:t xml:space="preserve">HTA 7 (13)  The Ministry </w:t>
      </w:r>
      <w:r w:rsidRPr="004D4842">
        <w:rPr>
          <w:rFonts w:ascii="Arial" w:hAnsi="Arial" w:cs="Arial"/>
          <w:sz w:val="24"/>
          <w:szCs w:val="24"/>
          <w:highlight w:val="yellow"/>
        </w:rPr>
        <w:t>shall</w:t>
      </w:r>
      <w:r w:rsidRPr="004D4842">
        <w:rPr>
          <w:rFonts w:ascii="Arial" w:hAnsi="Arial" w:cs="Arial"/>
          <w:sz w:val="24"/>
          <w:szCs w:val="24"/>
        </w:rPr>
        <w:t xml:space="preserve"> maintain,</w:t>
      </w:r>
    </w:p>
    <w:p w:rsidR="00817CA3" w:rsidRPr="004D4842" w:rsidRDefault="00817CA3" w:rsidP="0046263E">
      <w:pPr>
        <w:pStyle w:val="paragraph"/>
        <w:spacing w:line="240" w:lineRule="auto"/>
        <w:rPr>
          <w:rFonts w:ascii="Arial" w:hAnsi="Arial" w:cs="Arial"/>
          <w:sz w:val="24"/>
          <w:szCs w:val="24"/>
        </w:rPr>
      </w:pPr>
      <w:r w:rsidRPr="004D4842">
        <w:rPr>
          <w:rFonts w:ascii="Arial" w:hAnsi="Arial" w:cs="Arial"/>
          <w:sz w:val="24"/>
          <w:szCs w:val="24"/>
        </w:rPr>
        <w:tab/>
        <w:t>(a)</w:t>
      </w:r>
      <w:r w:rsidRPr="004D4842">
        <w:rPr>
          <w:rFonts w:ascii="Arial" w:hAnsi="Arial" w:cs="Arial"/>
          <w:sz w:val="24"/>
          <w:szCs w:val="24"/>
        </w:rPr>
        <w:tab/>
        <w:t>a numerical index record of all permits issued and in force under this section; and</w:t>
      </w:r>
    </w:p>
    <w:p w:rsidR="00817CA3" w:rsidRDefault="00817CA3" w:rsidP="0046263E">
      <w:pPr>
        <w:pStyle w:val="paragraph"/>
        <w:spacing w:line="240" w:lineRule="auto"/>
        <w:rPr>
          <w:rFonts w:ascii="Arial" w:hAnsi="Arial" w:cs="Arial"/>
          <w:sz w:val="24"/>
          <w:szCs w:val="24"/>
        </w:rPr>
      </w:pPr>
      <w:r w:rsidRPr="004D4842">
        <w:rPr>
          <w:rFonts w:ascii="Arial" w:hAnsi="Arial" w:cs="Arial"/>
          <w:sz w:val="24"/>
          <w:szCs w:val="24"/>
        </w:rPr>
        <w:tab/>
        <w:t>(b)</w:t>
      </w:r>
      <w:r w:rsidRPr="004D4842">
        <w:rPr>
          <w:rFonts w:ascii="Arial" w:hAnsi="Arial" w:cs="Arial"/>
          <w:sz w:val="24"/>
          <w:szCs w:val="24"/>
        </w:rPr>
        <w:tab/>
        <w:t>an alphabetical index record of the names and addresses of all persons to whom permits that are in force have been issued.  R.S.O. 1990, c. H.8, s. 7 (13).</w:t>
      </w:r>
    </w:p>
    <w:p w:rsidR="004D4842" w:rsidRPr="004D4842" w:rsidRDefault="004D4842" w:rsidP="006B748F">
      <w:pPr>
        <w:pStyle w:val="paragraph"/>
        <w:spacing w:before="0" w:line="240" w:lineRule="auto"/>
        <w:ind w:left="533" w:hanging="533"/>
        <w:rPr>
          <w:rFonts w:ascii="Arial" w:hAnsi="Arial" w:cs="Arial"/>
          <w:sz w:val="24"/>
          <w:szCs w:val="24"/>
        </w:rPr>
      </w:pPr>
    </w:p>
    <w:p w:rsidR="00817CA3" w:rsidRDefault="00817CA3" w:rsidP="0046263E">
      <w:pPr>
        <w:pStyle w:val="section"/>
        <w:spacing w:line="240" w:lineRule="auto"/>
        <w:rPr>
          <w:rFonts w:ascii="Arial" w:hAnsi="Arial" w:cs="Arial"/>
          <w:sz w:val="24"/>
          <w:szCs w:val="24"/>
        </w:rPr>
      </w:pPr>
      <w:r w:rsidRPr="004D4842">
        <w:rPr>
          <w:rFonts w:ascii="Arial" w:hAnsi="Arial" w:cs="Arial"/>
          <w:sz w:val="24"/>
          <w:szCs w:val="24"/>
        </w:rPr>
        <w:t xml:space="preserve">HTA  </w:t>
      </w:r>
      <w:r w:rsidRPr="004D4842">
        <w:rPr>
          <w:rFonts w:ascii="Arial" w:hAnsi="Arial" w:cs="Arial"/>
          <w:b/>
          <w:sz w:val="24"/>
          <w:szCs w:val="24"/>
        </w:rPr>
        <w:t>48.0.1</w:t>
      </w:r>
      <w:r w:rsidRPr="004D4842">
        <w:rPr>
          <w:rFonts w:ascii="Arial" w:hAnsi="Arial" w:cs="Arial"/>
          <w:sz w:val="24"/>
          <w:szCs w:val="24"/>
        </w:rPr>
        <w:t xml:space="preserve"> (1)  Where a police officer is satisfied that a person driving or having the care, charge or control of a motor vehicle or operating or having the care or control of a vessel meets the criteria set out in subsection (2), and where the officer reasonably believes, taking into account all of the circumstances, including the criteria set out in subsection (2), that the person’s ability to operate a motor vehicle or vessel is impaired by a drug or by a combination of a drug and alcohol, the officer </w:t>
      </w:r>
      <w:r w:rsidRPr="004D4842">
        <w:rPr>
          <w:rFonts w:ascii="Arial" w:hAnsi="Arial" w:cs="Arial"/>
          <w:sz w:val="24"/>
          <w:szCs w:val="24"/>
          <w:highlight w:val="yellow"/>
        </w:rPr>
        <w:t>shall</w:t>
      </w:r>
      <w:r w:rsidRPr="004D4842">
        <w:rPr>
          <w:rFonts w:ascii="Arial" w:hAnsi="Arial" w:cs="Arial"/>
          <w:sz w:val="24"/>
          <w:szCs w:val="24"/>
        </w:rPr>
        <w:t xml:space="preserve"> request that the person surrender his or her driver’s licence. 2015, c. 14, s. 10.</w:t>
      </w:r>
    </w:p>
    <w:p w:rsidR="004D4842" w:rsidRPr="004D4842" w:rsidRDefault="004D4842" w:rsidP="0046263E">
      <w:pPr>
        <w:pStyle w:val="section"/>
        <w:spacing w:line="240" w:lineRule="auto"/>
        <w:rPr>
          <w:rFonts w:ascii="Arial" w:hAnsi="Arial" w:cs="Arial"/>
          <w:sz w:val="24"/>
          <w:szCs w:val="24"/>
        </w:rPr>
      </w:pPr>
    </w:p>
    <w:p w:rsidR="00817CA3" w:rsidRDefault="00817CA3" w:rsidP="0046263E">
      <w:pPr>
        <w:pStyle w:val="section"/>
        <w:spacing w:line="240" w:lineRule="auto"/>
        <w:rPr>
          <w:rFonts w:ascii="Arial" w:hAnsi="Arial" w:cs="Arial"/>
          <w:sz w:val="24"/>
          <w:szCs w:val="24"/>
        </w:rPr>
      </w:pPr>
      <w:r w:rsidRPr="004D4842">
        <w:rPr>
          <w:rFonts w:ascii="Arial" w:hAnsi="Arial" w:cs="Arial"/>
          <w:sz w:val="24"/>
          <w:szCs w:val="24"/>
        </w:rPr>
        <w:t xml:space="preserve">HTA  </w:t>
      </w:r>
      <w:r w:rsidRPr="004D4842">
        <w:rPr>
          <w:rFonts w:ascii="Arial" w:hAnsi="Arial" w:cs="Arial"/>
          <w:b/>
          <w:sz w:val="24"/>
          <w:szCs w:val="24"/>
        </w:rPr>
        <w:t xml:space="preserve">210 </w:t>
      </w:r>
      <w:r w:rsidRPr="004D4842">
        <w:rPr>
          <w:rFonts w:ascii="Arial" w:hAnsi="Arial" w:cs="Arial"/>
          <w:sz w:val="24"/>
          <w:szCs w:val="24"/>
        </w:rPr>
        <w:t xml:space="preserve">(1)  A judge, provincial judge or justice of the peace who makes a conviction in respect of an offence listed in subsection (1.1) or the clerk of the court in which the conviction is made </w:t>
      </w:r>
      <w:r w:rsidRPr="004D4842">
        <w:rPr>
          <w:rFonts w:ascii="Arial" w:hAnsi="Arial" w:cs="Arial"/>
          <w:sz w:val="24"/>
          <w:szCs w:val="24"/>
          <w:highlight w:val="yellow"/>
        </w:rPr>
        <w:t>shall</w:t>
      </w:r>
      <w:r w:rsidRPr="004D4842">
        <w:rPr>
          <w:rFonts w:ascii="Arial" w:hAnsi="Arial" w:cs="Arial"/>
          <w:sz w:val="24"/>
          <w:szCs w:val="24"/>
        </w:rPr>
        <w:t xml:space="preserve"> forthwith notify the Registrar of the conviction. 2017, c. 2, Sched. 17, s. 16.</w:t>
      </w:r>
    </w:p>
    <w:p w:rsidR="006B21A3" w:rsidRDefault="006B21A3" w:rsidP="0046263E">
      <w:pPr>
        <w:pStyle w:val="section"/>
        <w:spacing w:line="240" w:lineRule="auto"/>
        <w:rPr>
          <w:rFonts w:ascii="Arial" w:hAnsi="Arial" w:cs="Arial"/>
          <w:sz w:val="24"/>
          <w:szCs w:val="24"/>
        </w:rPr>
      </w:pPr>
      <w:r>
        <w:rPr>
          <w:rFonts w:ascii="Arial" w:hAnsi="Arial" w:cs="Arial"/>
          <w:sz w:val="24"/>
          <w:szCs w:val="24"/>
        </w:rPr>
        <w:lastRenderedPageBreak/>
        <w:t xml:space="preserve">**Note: Open for Business has advised that a requirement </w:t>
      </w:r>
      <w:r w:rsidRPr="006B21A3">
        <w:rPr>
          <w:rFonts w:ascii="Arial" w:hAnsi="Arial" w:cs="Arial"/>
          <w:sz w:val="24"/>
          <w:szCs w:val="24"/>
          <w:u w:val="single"/>
        </w:rPr>
        <w:t>should</w:t>
      </w:r>
      <w:r>
        <w:rPr>
          <w:rFonts w:ascii="Arial" w:hAnsi="Arial" w:cs="Arial"/>
          <w:sz w:val="24"/>
          <w:szCs w:val="24"/>
        </w:rPr>
        <w:t xml:space="preserve"> be counted if it is imposed on private-sector persons or businesses acting in conjunction with or on behalf of government. E.g., When a vehicle is impounded under s. 55.2 of the HTA, the operator of the storage yard has to make personal property in the vehicle available to the owner of the personal property. Because this requirement is imposed on a private-sector person, it should be included in the burden count.</w:t>
      </w:r>
    </w:p>
    <w:p w:rsidR="006B21A3" w:rsidRDefault="006B21A3" w:rsidP="0046263E">
      <w:pPr>
        <w:pStyle w:val="section"/>
        <w:spacing w:line="240" w:lineRule="auto"/>
        <w:rPr>
          <w:rFonts w:ascii="Arial" w:hAnsi="Arial" w:cs="Arial"/>
          <w:sz w:val="24"/>
          <w:szCs w:val="24"/>
        </w:rPr>
      </w:pPr>
    </w:p>
    <w:p w:rsidR="006B21A3" w:rsidRDefault="006B21A3" w:rsidP="00150951">
      <w:pPr>
        <w:pStyle w:val="ListParagraph"/>
        <w:numPr>
          <w:ilvl w:val="0"/>
          <w:numId w:val="6"/>
        </w:numPr>
        <w:rPr>
          <w:rFonts w:ascii="Arial" w:hAnsi="Arial" w:cs="Arial"/>
          <w:b/>
          <w:sz w:val="24"/>
          <w:szCs w:val="24"/>
        </w:rPr>
      </w:pPr>
      <w:r>
        <w:rPr>
          <w:rFonts w:ascii="Arial" w:hAnsi="Arial" w:cs="Arial"/>
          <w:b/>
          <w:sz w:val="24"/>
          <w:szCs w:val="24"/>
        </w:rPr>
        <w:t>Obligations imposed on individuals in a non-business role.</w:t>
      </w:r>
    </w:p>
    <w:p w:rsidR="006B21A3" w:rsidRDefault="006B21A3" w:rsidP="006B21A3">
      <w:pPr>
        <w:pStyle w:val="ListParagraph"/>
        <w:ind w:left="360"/>
        <w:rPr>
          <w:rFonts w:ascii="Arial" w:hAnsi="Arial" w:cs="Arial"/>
          <w:b/>
          <w:sz w:val="24"/>
          <w:szCs w:val="24"/>
        </w:rPr>
      </w:pPr>
    </w:p>
    <w:p w:rsidR="006B21A3" w:rsidRDefault="006B21A3" w:rsidP="006B21A3">
      <w:pPr>
        <w:pStyle w:val="ListParagraph"/>
        <w:ind w:left="0"/>
        <w:rPr>
          <w:rFonts w:ascii="Arial" w:hAnsi="Arial" w:cs="Arial"/>
          <w:sz w:val="24"/>
          <w:szCs w:val="24"/>
        </w:rPr>
      </w:pPr>
      <w:r>
        <w:rPr>
          <w:rFonts w:ascii="Arial" w:hAnsi="Arial" w:cs="Arial"/>
          <w:sz w:val="24"/>
          <w:szCs w:val="24"/>
        </w:rPr>
        <w:t>Example: S. 5 of O. Reg. 340/94 under the HTA imposes restrictions on novice drivers. Th</w:t>
      </w:r>
      <w:r w:rsidR="00AE35CC">
        <w:rPr>
          <w:rFonts w:ascii="Arial" w:hAnsi="Arial" w:cs="Arial"/>
          <w:sz w:val="24"/>
          <w:szCs w:val="24"/>
        </w:rPr>
        <w:t>ese</w:t>
      </w:r>
      <w:r>
        <w:rPr>
          <w:rFonts w:ascii="Arial" w:hAnsi="Arial" w:cs="Arial"/>
          <w:sz w:val="24"/>
          <w:szCs w:val="24"/>
        </w:rPr>
        <w:t xml:space="preserve"> would be excluded from the count, as </w:t>
      </w:r>
      <w:r w:rsidR="00AE35CC">
        <w:rPr>
          <w:rFonts w:ascii="Arial" w:hAnsi="Arial" w:cs="Arial"/>
          <w:sz w:val="24"/>
          <w:szCs w:val="24"/>
        </w:rPr>
        <w:t>they are</w:t>
      </w:r>
      <w:r>
        <w:rPr>
          <w:rFonts w:ascii="Arial" w:hAnsi="Arial" w:cs="Arial"/>
          <w:sz w:val="24"/>
          <w:szCs w:val="24"/>
        </w:rPr>
        <w:t xml:space="preserve"> not requirement</w:t>
      </w:r>
      <w:r w:rsidR="00AE35CC">
        <w:rPr>
          <w:rFonts w:ascii="Arial" w:hAnsi="Arial" w:cs="Arial"/>
          <w:sz w:val="24"/>
          <w:szCs w:val="24"/>
        </w:rPr>
        <w:t>s</w:t>
      </w:r>
      <w:r>
        <w:rPr>
          <w:rFonts w:ascii="Arial" w:hAnsi="Arial" w:cs="Arial"/>
          <w:sz w:val="24"/>
          <w:szCs w:val="24"/>
        </w:rPr>
        <w:t xml:space="preserve"> on businesses—</w:t>
      </w:r>
      <w:r w:rsidR="00AE35CC">
        <w:rPr>
          <w:rFonts w:ascii="Arial" w:hAnsi="Arial" w:cs="Arial"/>
          <w:sz w:val="24"/>
          <w:szCs w:val="24"/>
        </w:rPr>
        <w:t xml:space="preserve">they’re </w:t>
      </w:r>
      <w:r>
        <w:rPr>
          <w:rFonts w:ascii="Arial" w:hAnsi="Arial" w:cs="Arial"/>
          <w:sz w:val="24"/>
          <w:szCs w:val="24"/>
        </w:rPr>
        <w:t>focused on individual</w:t>
      </w:r>
      <w:r w:rsidR="00AE35CC">
        <w:rPr>
          <w:rFonts w:ascii="Arial" w:hAnsi="Arial" w:cs="Arial"/>
          <w:sz w:val="24"/>
          <w:szCs w:val="24"/>
        </w:rPr>
        <w:t>s</w:t>
      </w:r>
      <w:r>
        <w:rPr>
          <w:rFonts w:ascii="Arial" w:hAnsi="Arial" w:cs="Arial"/>
          <w:sz w:val="24"/>
          <w:szCs w:val="24"/>
        </w:rPr>
        <w:t>.</w:t>
      </w:r>
    </w:p>
    <w:p w:rsidR="006B21A3" w:rsidRPr="006B21A3" w:rsidRDefault="006B21A3" w:rsidP="006B21A3">
      <w:pPr>
        <w:pStyle w:val="ListParagraph"/>
        <w:ind w:left="0"/>
        <w:rPr>
          <w:rFonts w:ascii="Arial" w:hAnsi="Arial" w:cs="Arial"/>
          <w:sz w:val="24"/>
          <w:szCs w:val="24"/>
        </w:rPr>
      </w:pPr>
    </w:p>
    <w:p w:rsidR="00150951" w:rsidRPr="00150951" w:rsidRDefault="00817CA3" w:rsidP="00150951">
      <w:pPr>
        <w:pStyle w:val="ListParagraph"/>
        <w:numPr>
          <w:ilvl w:val="0"/>
          <w:numId w:val="6"/>
        </w:numPr>
        <w:rPr>
          <w:rFonts w:ascii="Arial" w:hAnsi="Arial" w:cs="Arial"/>
          <w:b/>
          <w:sz w:val="24"/>
          <w:szCs w:val="24"/>
        </w:rPr>
      </w:pPr>
      <w:r w:rsidRPr="00150951">
        <w:rPr>
          <w:rFonts w:ascii="Arial" w:hAnsi="Arial" w:cs="Arial"/>
          <w:b/>
          <w:sz w:val="24"/>
          <w:szCs w:val="24"/>
        </w:rPr>
        <w:t xml:space="preserve">Most uses of </w:t>
      </w:r>
      <w:r w:rsidR="00150951" w:rsidRPr="00150951">
        <w:rPr>
          <w:rFonts w:ascii="Arial" w:hAnsi="Arial" w:cs="Arial"/>
          <w:b/>
          <w:sz w:val="24"/>
          <w:szCs w:val="24"/>
        </w:rPr>
        <w:t xml:space="preserve">the </w:t>
      </w:r>
      <w:r w:rsidRPr="00150951">
        <w:rPr>
          <w:rFonts w:ascii="Arial" w:hAnsi="Arial" w:cs="Arial"/>
          <w:b/>
          <w:sz w:val="24"/>
          <w:szCs w:val="24"/>
        </w:rPr>
        <w:t>word “required”. In most cases, the word is not used to establish a requirement in MTO’s legislation and regulations</w:t>
      </w:r>
      <w:r w:rsidR="004B0082" w:rsidRPr="00150951">
        <w:rPr>
          <w:rFonts w:ascii="Arial" w:hAnsi="Arial" w:cs="Arial"/>
          <w:b/>
          <w:sz w:val="24"/>
          <w:szCs w:val="24"/>
        </w:rPr>
        <w:t xml:space="preserve">. It is used to reference another provision. </w:t>
      </w:r>
    </w:p>
    <w:p w:rsidR="00817CA3" w:rsidRPr="004D4842" w:rsidRDefault="00817CA3" w:rsidP="004B0082">
      <w:pPr>
        <w:shd w:val="clear" w:color="auto" w:fill="FFFFFF"/>
        <w:spacing w:before="100" w:beforeAutospacing="1" w:after="100" w:afterAutospacing="1" w:line="240" w:lineRule="auto"/>
        <w:rPr>
          <w:rFonts w:ascii="Arial" w:hAnsi="Arial" w:cs="Arial"/>
          <w:sz w:val="24"/>
          <w:szCs w:val="24"/>
        </w:rPr>
      </w:pPr>
      <w:r w:rsidRPr="004D4842">
        <w:rPr>
          <w:rFonts w:ascii="Arial" w:hAnsi="Arial" w:cs="Arial"/>
          <w:sz w:val="24"/>
          <w:szCs w:val="24"/>
        </w:rPr>
        <w:t xml:space="preserve">Take for example, </w:t>
      </w:r>
      <w:r w:rsidR="0046263E">
        <w:rPr>
          <w:rFonts w:ascii="Arial" w:hAnsi="Arial" w:cs="Arial"/>
          <w:sz w:val="24"/>
          <w:szCs w:val="24"/>
        </w:rPr>
        <w:t>S</w:t>
      </w:r>
      <w:r w:rsidRPr="004D4842">
        <w:rPr>
          <w:rFonts w:ascii="Arial" w:hAnsi="Arial" w:cs="Arial"/>
          <w:sz w:val="24"/>
          <w:szCs w:val="24"/>
        </w:rPr>
        <w:t>. 104 of the HTA</w:t>
      </w:r>
      <w:r w:rsidR="006B748F">
        <w:rPr>
          <w:rFonts w:ascii="Arial" w:hAnsi="Arial" w:cs="Arial"/>
          <w:sz w:val="24"/>
          <w:szCs w:val="24"/>
        </w:rPr>
        <w:t xml:space="preserve"> (below)</w:t>
      </w:r>
      <w:r w:rsidRPr="004D4842">
        <w:rPr>
          <w:rFonts w:ascii="Arial" w:hAnsi="Arial" w:cs="Arial"/>
          <w:sz w:val="24"/>
          <w:szCs w:val="24"/>
        </w:rPr>
        <w:t>. In this instance, s. 104(2.1) and (2.2) have three highlighted keywords</w:t>
      </w:r>
      <w:r w:rsidR="006B748F">
        <w:rPr>
          <w:rFonts w:ascii="Arial" w:hAnsi="Arial" w:cs="Arial"/>
          <w:sz w:val="24"/>
          <w:szCs w:val="24"/>
        </w:rPr>
        <w:t xml:space="preserve"> identified by Open for Business</w:t>
      </w:r>
      <w:r w:rsidRPr="004D4842">
        <w:rPr>
          <w:rFonts w:ascii="Arial" w:hAnsi="Arial" w:cs="Arial"/>
          <w:sz w:val="24"/>
          <w:szCs w:val="24"/>
        </w:rPr>
        <w:t>. S. 104(2.1) requires the cyclist to have the correct helmet. S. 104(2.2) forbids the parent from allowing a young person not to wear the correct helmet. There is really only one obligation on the parent. It is identified by “shall” in (2.2). “required” in (2.2) does not add another obligation. It simply identifies the helmet at issue.</w:t>
      </w:r>
    </w:p>
    <w:p w:rsidR="00817CA3" w:rsidRPr="004D4842" w:rsidRDefault="00817CA3" w:rsidP="00150951">
      <w:pPr>
        <w:pStyle w:val="headnote"/>
        <w:spacing w:line="240" w:lineRule="auto"/>
        <w:ind w:left="720"/>
        <w:rPr>
          <w:rFonts w:ascii="Arial" w:hAnsi="Arial" w:cs="Arial"/>
          <w:sz w:val="24"/>
          <w:szCs w:val="24"/>
        </w:rPr>
      </w:pPr>
      <w:r w:rsidRPr="004D4842">
        <w:rPr>
          <w:rFonts w:ascii="Arial" w:hAnsi="Arial" w:cs="Arial"/>
          <w:sz w:val="24"/>
          <w:szCs w:val="24"/>
        </w:rPr>
        <w:t>Bicyclists to wear helmet</w:t>
      </w:r>
    </w:p>
    <w:p w:rsidR="00817CA3" w:rsidRPr="004D4842" w:rsidRDefault="00817CA3" w:rsidP="00150951">
      <w:pPr>
        <w:pStyle w:val="subsection"/>
        <w:spacing w:line="240" w:lineRule="auto"/>
        <w:ind w:left="720"/>
        <w:rPr>
          <w:rFonts w:ascii="Arial" w:hAnsi="Arial" w:cs="Arial"/>
          <w:sz w:val="24"/>
          <w:szCs w:val="24"/>
        </w:rPr>
      </w:pPr>
      <w:r w:rsidRPr="004D4842">
        <w:rPr>
          <w:rFonts w:ascii="Arial" w:hAnsi="Arial" w:cs="Arial"/>
          <w:sz w:val="24"/>
          <w:szCs w:val="24"/>
        </w:rPr>
        <w:t xml:space="preserve">  (2.1)  Subject to subsection 103.1 (2), no person </w:t>
      </w:r>
      <w:r w:rsidRPr="004D4842">
        <w:rPr>
          <w:rFonts w:ascii="Arial" w:hAnsi="Arial" w:cs="Arial"/>
          <w:sz w:val="24"/>
          <w:szCs w:val="24"/>
          <w:highlight w:val="yellow"/>
        </w:rPr>
        <w:t>shall</w:t>
      </w:r>
      <w:r w:rsidRPr="004D4842">
        <w:rPr>
          <w:rFonts w:ascii="Arial" w:hAnsi="Arial" w:cs="Arial"/>
          <w:sz w:val="24"/>
          <w:szCs w:val="24"/>
        </w:rPr>
        <w:t xml:space="preserve"> ride or operate a bicycle on a highway unless the person is wearing a bicycle helmet that complies with the regulations and the chin strap of the helmet is securely fastened under the chin.  2009, c. 5, s. 36 (1); 2015, c. 14, s. 36 (2).</w:t>
      </w:r>
    </w:p>
    <w:p w:rsidR="00817CA3" w:rsidRPr="004D4842" w:rsidRDefault="00817CA3" w:rsidP="00150951">
      <w:pPr>
        <w:pStyle w:val="headnote"/>
        <w:spacing w:line="240" w:lineRule="auto"/>
        <w:ind w:left="720"/>
        <w:rPr>
          <w:rFonts w:ascii="Arial" w:hAnsi="Arial" w:cs="Arial"/>
          <w:sz w:val="24"/>
          <w:szCs w:val="24"/>
        </w:rPr>
      </w:pPr>
      <w:r w:rsidRPr="004D4842">
        <w:rPr>
          <w:rFonts w:ascii="Arial" w:hAnsi="Arial" w:cs="Arial"/>
          <w:sz w:val="24"/>
          <w:szCs w:val="24"/>
        </w:rPr>
        <w:t>Duty of parent or guardian</w:t>
      </w:r>
    </w:p>
    <w:p w:rsidR="00817CA3" w:rsidRPr="004D4842" w:rsidRDefault="00817CA3" w:rsidP="00150951">
      <w:pPr>
        <w:pStyle w:val="subsection"/>
        <w:spacing w:line="240" w:lineRule="auto"/>
        <w:ind w:left="720"/>
        <w:rPr>
          <w:rFonts w:ascii="Arial" w:hAnsi="Arial" w:cs="Arial"/>
          <w:sz w:val="24"/>
          <w:szCs w:val="24"/>
        </w:rPr>
      </w:pPr>
      <w:r w:rsidRPr="004D4842">
        <w:rPr>
          <w:rFonts w:ascii="Arial" w:hAnsi="Arial" w:cs="Arial"/>
          <w:sz w:val="24"/>
          <w:szCs w:val="24"/>
        </w:rPr>
        <w:t xml:space="preserve">    (2.2)  No parent or guardian of a person under sixteen years of age </w:t>
      </w:r>
      <w:r w:rsidRPr="004D4842">
        <w:rPr>
          <w:rFonts w:ascii="Arial" w:hAnsi="Arial" w:cs="Arial"/>
          <w:sz w:val="24"/>
          <w:szCs w:val="24"/>
          <w:highlight w:val="yellow"/>
        </w:rPr>
        <w:t>shall</w:t>
      </w:r>
      <w:r w:rsidRPr="004D4842">
        <w:rPr>
          <w:rFonts w:ascii="Arial" w:hAnsi="Arial" w:cs="Arial"/>
          <w:sz w:val="24"/>
          <w:szCs w:val="24"/>
        </w:rPr>
        <w:t xml:space="preserve"> authorize or knowingly permit that person to ride a bicycle, other than a power-assisted bicycle, on a highway unless the person is wearing a bicycle helmet as </w:t>
      </w:r>
      <w:r w:rsidRPr="004D4842">
        <w:rPr>
          <w:rFonts w:ascii="Arial" w:hAnsi="Arial" w:cs="Arial"/>
          <w:sz w:val="24"/>
          <w:szCs w:val="24"/>
          <w:highlight w:val="cyan"/>
        </w:rPr>
        <w:t>required</w:t>
      </w:r>
      <w:r w:rsidRPr="004D4842">
        <w:rPr>
          <w:rFonts w:ascii="Arial" w:hAnsi="Arial" w:cs="Arial"/>
          <w:sz w:val="24"/>
          <w:szCs w:val="24"/>
        </w:rPr>
        <w:t xml:space="preserve"> by subsection (2.1).  1993, c. 18, s. 1; 2009, c. 5, s. 36 (2); 2015, c. 14, s. 36 (3).</w:t>
      </w:r>
    </w:p>
    <w:p w:rsidR="00817CA3" w:rsidRPr="00150951" w:rsidRDefault="004B0082" w:rsidP="00817CA3">
      <w:pPr>
        <w:shd w:val="clear" w:color="auto" w:fill="FFFFFF"/>
        <w:spacing w:before="100" w:beforeAutospacing="1" w:after="100" w:afterAutospacing="1" w:line="240" w:lineRule="auto"/>
        <w:rPr>
          <w:rFonts w:ascii="Arial" w:eastAsia="Times New Roman" w:hAnsi="Arial" w:cs="Arial"/>
          <w:sz w:val="24"/>
          <w:szCs w:val="24"/>
          <w:lang w:val="en-CA" w:eastAsia="en-CA"/>
        </w:rPr>
      </w:pPr>
      <w:r w:rsidRPr="00150951">
        <w:rPr>
          <w:rFonts w:ascii="Arial" w:eastAsia="Times New Roman" w:hAnsi="Arial" w:cs="Arial"/>
          <w:sz w:val="24"/>
          <w:szCs w:val="24"/>
          <w:lang w:val="en-CA" w:eastAsia="en-CA"/>
        </w:rPr>
        <w:t>Other examples of “required” being improperly counted</w:t>
      </w:r>
      <w:r w:rsidR="0046263E">
        <w:rPr>
          <w:rFonts w:ascii="Arial" w:eastAsia="Times New Roman" w:hAnsi="Arial" w:cs="Arial"/>
          <w:sz w:val="24"/>
          <w:szCs w:val="24"/>
          <w:lang w:val="en-CA" w:eastAsia="en-CA"/>
        </w:rPr>
        <w:t>:</w:t>
      </w:r>
    </w:p>
    <w:p w:rsidR="004B0082" w:rsidRPr="0046263E" w:rsidRDefault="004B0082" w:rsidP="00150951">
      <w:pPr>
        <w:pStyle w:val="headnote"/>
        <w:spacing w:line="240" w:lineRule="auto"/>
        <w:rPr>
          <w:rFonts w:ascii="Arial" w:hAnsi="Arial" w:cs="Arial"/>
          <w:b w:val="0"/>
          <w:sz w:val="24"/>
          <w:szCs w:val="24"/>
        </w:rPr>
      </w:pPr>
      <w:r w:rsidRPr="0046263E">
        <w:rPr>
          <w:rFonts w:ascii="Arial" w:hAnsi="Arial" w:cs="Arial"/>
          <w:b w:val="0"/>
          <w:sz w:val="24"/>
          <w:szCs w:val="24"/>
        </w:rPr>
        <w:t>s. 190(4) Surrender of daily log</w:t>
      </w:r>
    </w:p>
    <w:p w:rsidR="004B0082" w:rsidRPr="004D4842" w:rsidRDefault="004B0082" w:rsidP="00150951">
      <w:pPr>
        <w:pStyle w:val="subsection"/>
        <w:spacing w:line="240" w:lineRule="auto"/>
        <w:rPr>
          <w:rFonts w:ascii="Arial" w:hAnsi="Arial" w:cs="Arial"/>
          <w:sz w:val="24"/>
          <w:szCs w:val="24"/>
        </w:rPr>
      </w:pPr>
      <w:r w:rsidRPr="004D4842">
        <w:rPr>
          <w:rFonts w:ascii="Arial" w:hAnsi="Arial" w:cs="Arial"/>
          <w:sz w:val="24"/>
          <w:szCs w:val="24"/>
        </w:rPr>
        <w:t xml:space="preserve">    (4)  Every driver who is </w:t>
      </w:r>
      <w:r w:rsidRPr="004D4842">
        <w:rPr>
          <w:rFonts w:ascii="Arial" w:hAnsi="Arial" w:cs="Arial"/>
          <w:sz w:val="24"/>
          <w:szCs w:val="24"/>
          <w:highlight w:val="cyan"/>
        </w:rPr>
        <w:t>required</w:t>
      </w:r>
      <w:r w:rsidRPr="004D4842">
        <w:rPr>
          <w:rFonts w:ascii="Arial" w:hAnsi="Arial" w:cs="Arial"/>
          <w:sz w:val="24"/>
          <w:szCs w:val="24"/>
        </w:rPr>
        <w:t xml:space="preserve"> under subsection (3) to carry a daily log </w:t>
      </w:r>
      <w:r w:rsidRPr="004D4842">
        <w:rPr>
          <w:rFonts w:ascii="Arial" w:hAnsi="Arial" w:cs="Arial"/>
          <w:sz w:val="24"/>
          <w:szCs w:val="24"/>
          <w:highlight w:val="yellow"/>
        </w:rPr>
        <w:t>shall</w:t>
      </w:r>
      <w:r w:rsidRPr="004D4842">
        <w:rPr>
          <w:rFonts w:ascii="Arial" w:hAnsi="Arial" w:cs="Arial"/>
          <w:sz w:val="24"/>
          <w:szCs w:val="24"/>
        </w:rPr>
        <w:t xml:space="preserve"> surrender it to any police officer or officer appointed for the purpose of carrying out the provisions of this Act upon demand by the officer.  R.S.O. 1990, c. H.8, s. 190 (4).</w:t>
      </w:r>
    </w:p>
    <w:p w:rsidR="004D4842" w:rsidRDefault="004D4842" w:rsidP="006B748F">
      <w:pPr>
        <w:spacing w:after="0" w:line="240" w:lineRule="auto"/>
        <w:rPr>
          <w:rFonts w:ascii="Arial" w:hAnsi="Arial" w:cs="Arial"/>
          <w:sz w:val="24"/>
          <w:szCs w:val="24"/>
        </w:rPr>
      </w:pPr>
    </w:p>
    <w:p w:rsidR="00EA458E" w:rsidRDefault="004B0082" w:rsidP="004B0082">
      <w:pPr>
        <w:rPr>
          <w:rFonts w:ascii="Arial" w:hAnsi="Arial" w:cs="Arial"/>
          <w:sz w:val="24"/>
          <w:szCs w:val="24"/>
        </w:rPr>
      </w:pPr>
      <w:r w:rsidRPr="004D4842">
        <w:rPr>
          <w:rFonts w:ascii="Arial" w:hAnsi="Arial" w:cs="Arial"/>
          <w:sz w:val="24"/>
          <w:szCs w:val="24"/>
        </w:rPr>
        <w:lastRenderedPageBreak/>
        <w:t xml:space="preserve">s. 202 - Every provincial or municipal official or employee, hospital, charitable institution, insurer or other person or organization </w:t>
      </w:r>
      <w:r w:rsidRPr="004D4842">
        <w:rPr>
          <w:rFonts w:ascii="Arial" w:hAnsi="Arial" w:cs="Arial"/>
          <w:sz w:val="24"/>
          <w:szCs w:val="24"/>
          <w:highlight w:val="yellow"/>
        </w:rPr>
        <w:t>shall</w:t>
      </w:r>
      <w:r w:rsidRPr="004D4842">
        <w:rPr>
          <w:rFonts w:ascii="Arial" w:hAnsi="Arial" w:cs="Arial"/>
          <w:sz w:val="24"/>
          <w:szCs w:val="24"/>
        </w:rPr>
        <w:t xml:space="preserve"> furnish to the Registrar the reports and other information relating to motor vehicle accident statistics and traffic control generally that may be </w:t>
      </w:r>
      <w:r w:rsidRPr="004D4842">
        <w:rPr>
          <w:rFonts w:ascii="Arial" w:hAnsi="Arial" w:cs="Arial"/>
          <w:sz w:val="24"/>
          <w:szCs w:val="24"/>
          <w:highlight w:val="cyan"/>
        </w:rPr>
        <w:t>required</w:t>
      </w:r>
      <w:r w:rsidRPr="004D4842">
        <w:rPr>
          <w:rFonts w:ascii="Arial" w:hAnsi="Arial" w:cs="Arial"/>
          <w:sz w:val="24"/>
          <w:szCs w:val="24"/>
        </w:rPr>
        <w:t xml:space="preserve"> by the regulations. </w:t>
      </w:r>
    </w:p>
    <w:p w:rsidR="00817CA3" w:rsidRPr="00150951" w:rsidRDefault="004B0082" w:rsidP="00150951">
      <w:pPr>
        <w:pStyle w:val="ListParagraph"/>
        <w:numPr>
          <w:ilvl w:val="0"/>
          <w:numId w:val="6"/>
        </w:numPr>
        <w:rPr>
          <w:rFonts w:ascii="Arial" w:hAnsi="Arial" w:cs="Arial"/>
          <w:b/>
          <w:sz w:val="24"/>
          <w:szCs w:val="24"/>
        </w:rPr>
      </w:pPr>
      <w:r w:rsidRPr="00150951">
        <w:rPr>
          <w:rFonts w:ascii="Arial" w:hAnsi="Arial" w:cs="Arial"/>
          <w:b/>
          <w:sz w:val="24"/>
          <w:szCs w:val="24"/>
        </w:rPr>
        <w:t>Use of a term in a table of contents or marginal note</w:t>
      </w:r>
      <w:r w:rsidR="00EC60BD">
        <w:rPr>
          <w:rFonts w:ascii="Arial" w:hAnsi="Arial" w:cs="Arial"/>
          <w:b/>
          <w:sz w:val="24"/>
          <w:szCs w:val="24"/>
        </w:rPr>
        <w:t>.</w:t>
      </w:r>
    </w:p>
    <w:p w:rsidR="004B0082" w:rsidRPr="00150951" w:rsidRDefault="00D67380" w:rsidP="00D67380">
      <w:pPr>
        <w:shd w:val="clear" w:color="auto" w:fill="FFFFFF"/>
        <w:spacing w:before="100" w:beforeAutospacing="1" w:after="100" w:afterAutospacing="1" w:line="240" w:lineRule="auto"/>
        <w:ind w:right="-180"/>
        <w:rPr>
          <w:rFonts w:ascii="Arial" w:eastAsia="Times New Roman" w:hAnsi="Arial" w:cs="Arial"/>
          <w:sz w:val="24"/>
          <w:szCs w:val="24"/>
          <w:lang w:eastAsia="en-CA"/>
        </w:rPr>
      </w:pPr>
      <w:r>
        <w:rPr>
          <w:rFonts w:ascii="Arial" w:eastAsia="Times New Roman" w:hAnsi="Arial" w:cs="Arial"/>
          <w:sz w:val="24"/>
          <w:szCs w:val="24"/>
          <w:lang w:eastAsia="en-CA"/>
        </w:rPr>
        <w:t xml:space="preserve">Tables of contents don’t impose requirements. Example from the </w:t>
      </w:r>
      <w:r w:rsidR="004B0082" w:rsidRPr="00150951">
        <w:rPr>
          <w:rFonts w:ascii="Arial" w:eastAsia="Times New Roman" w:hAnsi="Arial" w:cs="Arial"/>
          <w:sz w:val="24"/>
          <w:szCs w:val="24"/>
          <w:lang w:eastAsia="en-CA"/>
        </w:rPr>
        <w:t>HTA Table of contents</w:t>
      </w:r>
      <w:r>
        <w:rPr>
          <w:rFonts w:ascii="Arial" w:eastAsia="Times New Roman" w:hAnsi="Arial" w:cs="Arial"/>
          <w:sz w:val="24"/>
          <w:szCs w:val="24"/>
          <w:lang w:eastAsia="en-CA"/>
        </w:rPr>
        <w:t>:</w:t>
      </w:r>
    </w:p>
    <w:tbl>
      <w:tblPr>
        <w:tblW w:w="10050" w:type="dxa"/>
        <w:jc w:val="center"/>
        <w:tblLayout w:type="fixed"/>
        <w:tblCellMar>
          <w:left w:w="0" w:type="dxa"/>
          <w:right w:w="0" w:type="dxa"/>
        </w:tblCellMar>
        <w:tblLook w:val="04A0" w:firstRow="1" w:lastRow="0" w:firstColumn="1" w:lastColumn="0" w:noHBand="0" w:noVBand="1"/>
      </w:tblPr>
      <w:tblGrid>
        <w:gridCol w:w="2272"/>
        <w:gridCol w:w="7778"/>
      </w:tblGrid>
      <w:tr w:rsidR="004B0082" w:rsidRPr="004D4842" w:rsidTr="00150951">
        <w:trPr>
          <w:trHeight w:val="360"/>
          <w:jc w:val="center"/>
        </w:trPr>
        <w:tc>
          <w:tcPr>
            <w:tcW w:w="2272" w:type="dxa"/>
            <w:vAlign w:val="bottom"/>
          </w:tcPr>
          <w:p w:rsidR="004B0082" w:rsidRPr="004D4842" w:rsidRDefault="00BD507C" w:rsidP="00150951">
            <w:pPr>
              <w:pStyle w:val="TOCid"/>
              <w:rPr>
                <w:rFonts w:ascii="Arial" w:hAnsi="Arial" w:cs="Arial"/>
                <w:sz w:val="24"/>
                <w:szCs w:val="24"/>
              </w:rPr>
            </w:pPr>
            <w:hyperlink w:anchor="BK130" w:tooltip="Section 66." w:history="1">
              <w:r w:rsidR="004B0082" w:rsidRPr="004D4842">
                <w:rPr>
                  <w:rFonts w:ascii="Arial" w:hAnsi="Arial" w:cs="Arial"/>
                  <w:sz w:val="24"/>
                  <w:szCs w:val="24"/>
                </w:rPr>
                <w:t>66.</w:t>
              </w:r>
            </w:hyperlink>
          </w:p>
        </w:tc>
        <w:tc>
          <w:tcPr>
            <w:tcW w:w="7778" w:type="dxa"/>
            <w:vAlign w:val="bottom"/>
          </w:tcPr>
          <w:p w:rsidR="004B0082" w:rsidRPr="004D4842" w:rsidRDefault="004B0082" w:rsidP="00150951">
            <w:pPr>
              <w:pStyle w:val="table"/>
              <w:rPr>
                <w:rFonts w:ascii="Arial" w:hAnsi="Arial" w:cs="Arial"/>
                <w:sz w:val="24"/>
                <w:szCs w:val="24"/>
              </w:rPr>
            </w:pPr>
            <w:r w:rsidRPr="004D4842">
              <w:rPr>
                <w:rFonts w:ascii="Arial" w:hAnsi="Arial" w:cs="Arial"/>
                <w:sz w:val="24"/>
                <w:szCs w:val="24"/>
              </w:rPr>
              <w:t>Other equipment</w:t>
            </w:r>
          </w:p>
        </w:tc>
      </w:tr>
      <w:tr w:rsidR="004B0082" w:rsidRPr="004D4842" w:rsidTr="00150951">
        <w:trPr>
          <w:trHeight w:val="360"/>
          <w:jc w:val="center"/>
        </w:trPr>
        <w:tc>
          <w:tcPr>
            <w:tcW w:w="2272" w:type="dxa"/>
            <w:vAlign w:val="bottom"/>
          </w:tcPr>
          <w:p w:rsidR="004B0082" w:rsidRPr="004D4842" w:rsidRDefault="00BD507C" w:rsidP="00150951">
            <w:pPr>
              <w:pStyle w:val="TOCid"/>
              <w:rPr>
                <w:rFonts w:ascii="Arial" w:hAnsi="Arial" w:cs="Arial"/>
                <w:sz w:val="24"/>
                <w:szCs w:val="24"/>
              </w:rPr>
            </w:pPr>
            <w:hyperlink w:anchor="BK131" w:tooltip="Section 67." w:history="1">
              <w:r w:rsidR="004B0082" w:rsidRPr="004D4842">
                <w:rPr>
                  <w:rFonts w:ascii="Arial" w:hAnsi="Arial" w:cs="Arial"/>
                  <w:sz w:val="24"/>
                  <w:szCs w:val="24"/>
                </w:rPr>
                <w:t>67.</w:t>
              </w:r>
            </w:hyperlink>
          </w:p>
        </w:tc>
        <w:tc>
          <w:tcPr>
            <w:tcW w:w="7778" w:type="dxa"/>
            <w:vAlign w:val="bottom"/>
          </w:tcPr>
          <w:p w:rsidR="004B0082" w:rsidRPr="004D4842" w:rsidRDefault="004B0082" w:rsidP="00150951">
            <w:pPr>
              <w:pStyle w:val="table"/>
              <w:rPr>
                <w:rFonts w:ascii="Arial" w:hAnsi="Arial" w:cs="Arial"/>
                <w:sz w:val="24"/>
                <w:szCs w:val="24"/>
              </w:rPr>
            </w:pPr>
            <w:r w:rsidRPr="004D4842">
              <w:rPr>
                <w:rFonts w:ascii="Arial" w:hAnsi="Arial" w:cs="Arial"/>
                <w:sz w:val="24"/>
                <w:szCs w:val="24"/>
              </w:rPr>
              <w:t>Extended mirrors</w:t>
            </w:r>
          </w:p>
        </w:tc>
      </w:tr>
      <w:tr w:rsidR="004B0082" w:rsidRPr="004D4842" w:rsidTr="00150951">
        <w:trPr>
          <w:trHeight w:val="450"/>
          <w:jc w:val="center"/>
        </w:trPr>
        <w:tc>
          <w:tcPr>
            <w:tcW w:w="2272" w:type="dxa"/>
            <w:vAlign w:val="bottom"/>
          </w:tcPr>
          <w:p w:rsidR="004B0082" w:rsidRPr="004D4842" w:rsidRDefault="00BD507C" w:rsidP="00150951">
            <w:pPr>
              <w:pStyle w:val="TOCid"/>
              <w:rPr>
                <w:rFonts w:ascii="Arial" w:hAnsi="Arial" w:cs="Arial"/>
                <w:sz w:val="24"/>
                <w:szCs w:val="24"/>
              </w:rPr>
            </w:pPr>
            <w:hyperlink w:anchor="BK132" w:tooltip="Section 68." w:history="1">
              <w:r w:rsidR="004B0082" w:rsidRPr="004D4842">
                <w:rPr>
                  <w:rFonts w:ascii="Arial" w:hAnsi="Arial" w:cs="Arial"/>
                  <w:sz w:val="24"/>
                  <w:szCs w:val="24"/>
                </w:rPr>
                <w:t>68.</w:t>
              </w:r>
            </w:hyperlink>
          </w:p>
        </w:tc>
        <w:tc>
          <w:tcPr>
            <w:tcW w:w="7778" w:type="dxa"/>
            <w:vAlign w:val="bottom"/>
          </w:tcPr>
          <w:p w:rsidR="004B0082" w:rsidRPr="004D4842" w:rsidRDefault="004B0082" w:rsidP="00150951">
            <w:pPr>
              <w:pStyle w:val="table"/>
              <w:rPr>
                <w:rFonts w:ascii="Arial" w:hAnsi="Arial" w:cs="Arial"/>
                <w:sz w:val="24"/>
                <w:szCs w:val="24"/>
              </w:rPr>
            </w:pPr>
            <w:r w:rsidRPr="004D4842">
              <w:rPr>
                <w:rFonts w:ascii="Arial" w:hAnsi="Arial" w:cs="Arial"/>
                <w:sz w:val="24"/>
                <w:szCs w:val="24"/>
              </w:rPr>
              <w:t xml:space="preserve">Speedometers </w:t>
            </w:r>
            <w:r w:rsidRPr="004D4842">
              <w:rPr>
                <w:rFonts w:ascii="Arial" w:hAnsi="Arial" w:cs="Arial"/>
                <w:sz w:val="24"/>
                <w:szCs w:val="24"/>
                <w:highlight w:val="cyan"/>
              </w:rPr>
              <w:t>required</w:t>
            </w:r>
            <w:r w:rsidRPr="004D4842">
              <w:rPr>
                <w:rFonts w:ascii="Arial" w:hAnsi="Arial" w:cs="Arial"/>
                <w:sz w:val="24"/>
                <w:szCs w:val="24"/>
              </w:rPr>
              <w:t xml:space="preserve"> in buses</w:t>
            </w:r>
          </w:p>
        </w:tc>
      </w:tr>
      <w:tr w:rsidR="004B0082" w:rsidRPr="004D4842" w:rsidTr="00150951">
        <w:trPr>
          <w:trHeight w:val="360"/>
          <w:jc w:val="center"/>
        </w:trPr>
        <w:tc>
          <w:tcPr>
            <w:tcW w:w="2272" w:type="dxa"/>
            <w:vAlign w:val="bottom"/>
          </w:tcPr>
          <w:p w:rsidR="004B0082" w:rsidRPr="004D4842" w:rsidRDefault="00BD507C" w:rsidP="00150951">
            <w:pPr>
              <w:pStyle w:val="TOCid"/>
              <w:rPr>
                <w:rFonts w:ascii="Arial" w:hAnsi="Arial" w:cs="Arial"/>
                <w:sz w:val="24"/>
                <w:szCs w:val="24"/>
              </w:rPr>
            </w:pPr>
            <w:hyperlink w:anchor="BK133" w:tooltip="Section 68.1" w:history="1">
              <w:r w:rsidR="004B0082" w:rsidRPr="004D4842">
                <w:rPr>
                  <w:rFonts w:ascii="Arial" w:hAnsi="Arial" w:cs="Arial"/>
                  <w:sz w:val="24"/>
                  <w:szCs w:val="24"/>
                </w:rPr>
                <w:t>68.1</w:t>
              </w:r>
            </w:hyperlink>
          </w:p>
        </w:tc>
        <w:tc>
          <w:tcPr>
            <w:tcW w:w="7778" w:type="dxa"/>
            <w:vAlign w:val="bottom"/>
          </w:tcPr>
          <w:p w:rsidR="004B0082" w:rsidRPr="004D4842" w:rsidRDefault="004B0082" w:rsidP="00150951">
            <w:pPr>
              <w:pStyle w:val="table"/>
              <w:rPr>
                <w:rFonts w:ascii="Arial" w:hAnsi="Arial" w:cs="Arial"/>
                <w:sz w:val="24"/>
                <w:szCs w:val="24"/>
              </w:rPr>
            </w:pPr>
            <w:r w:rsidRPr="004D4842">
              <w:rPr>
                <w:rFonts w:ascii="Arial" w:hAnsi="Arial" w:cs="Arial"/>
                <w:sz w:val="24"/>
                <w:szCs w:val="24"/>
              </w:rPr>
              <w:t>Speed-limiting systems</w:t>
            </w:r>
          </w:p>
        </w:tc>
      </w:tr>
    </w:tbl>
    <w:p w:rsidR="004B0082" w:rsidRPr="00EC60BD" w:rsidRDefault="00D67380" w:rsidP="0046263E">
      <w:pPr>
        <w:pStyle w:val="headnote"/>
        <w:spacing w:line="240" w:lineRule="auto"/>
        <w:rPr>
          <w:rFonts w:ascii="Arial" w:hAnsi="Arial" w:cs="Arial"/>
          <w:b w:val="0"/>
          <w:sz w:val="24"/>
          <w:szCs w:val="24"/>
          <w:u w:val="single"/>
        </w:rPr>
      </w:pPr>
      <w:r w:rsidRPr="00EC60BD">
        <w:rPr>
          <w:rFonts w:ascii="Arial" w:hAnsi="Arial" w:cs="Arial"/>
          <w:b w:val="0"/>
          <w:sz w:val="24"/>
          <w:szCs w:val="24"/>
          <w:u w:val="single"/>
        </w:rPr>
        <w:t xml:space="preserve">Example from a marginal note in the </w:t>
      </w:r>
      <w:r w:rsidR="004B0082" w:rsidRPr="00EC60BD">
        <w:rPr>
          <w:rFonts w:ascii="Arial" w:hAnsi="Arial" w:cs="Arial"/>
          <w:b w:val="0"/>
          <w:sz w:val="24"/>
          <w:szCs w:val="24"/>
          <w:u w:val="single"/>
        </w:rPr>
        <w:t>D</w:t>
      </w:r>
      <w:r w:rsidRPr="00EC60BD">
        <w:rPr>
          <w:rFonts w:ascii="Arial" w:hAnsi="Arial" w:cs="Arial"/>
          <w:b w:val="0"/>
          <w:sz w:val="24"/>
          <w:szCs w:val="24"/>
          <w:u w:val="single"/>
        </w:rPr>
        <w:t xml:space="preserve">angerous </w:t>
      </w:r>
      <w:r w:rsidR="004B0082" w:rsidRPr="00EC60BD">
        <w:rPr>
          <w:rFonts w:ascii="Arial" w:hAnsi="Arial" w:cs="Arial"/>
          <w:b w:val="0"/>
          <w:sz w:val="24"/>
          <w:szCs w:val="24"/>
          <w:u w:val="single"/>
        </w:rPr>
        <w:t>G</w:t>
      </w:r>
      <w:r w:rsidRPr="00EC60BD">
        <w:rPr>
          <w:rFonts w:ascii="Arial" w:hAnsi="Arial" w:cs="Arial"/>
          <w:b w:val="0"/>
          <w:sz w:val="24"/>
          <w:szCs w:val="24"/>
          <w:u w:val="single"/>
        </w:rPr>
        <w:t xml:space="preserve">oods </w:t>
      </w:r>
      <w:r w:rsidR="004B0082" w:rsidRPr="00EC60BD">
        <w:rPr>
          <w:rFonts w:ascii="Arial" w:hAnsi="Arial" w:cs="Arial"/>
          <w:b w:val="0"/>
          <w:sz w:val="24"/>
          <w:szCs w:val="24"/>
          <w:u w:val="single"/>
        </w:rPr>
        <w:t>T</w:t>
      </w:r>
      <w:r w:rsidRPr="00EC60BD">
        <w:rPr>
          <w:rFonts w:ascii="Arial" w:hAnsi="Arial" w:cs="Arial"/>
          <w:b w:val="0"/>
          <w:sz w:val="24"/>
          <w:szCs w:val="24"/>
          <w:u w:val="single"/>
        </w:rPr>
        <w:t xml:space="preserve">ransportation </w:t>
      </w:r>
      <w:r w:rsidR="004B0082" w:rsidRPr="00EC60BD">
        <w:rPr>
          <w:rFonts w:ascii="Arial" w:hAnsi="Arial" w:cs="Arial"/>
          <w:b w:val="0"/>
          <w:sz w:val="24"/>
          <w:szCs w:val="24"/>
          <w:u w:val="single"/>
        </w:rPr>
        <w:t>A</w:t>
      </w:r>
      <w:r w:rsidRPr="00EC60BD">
        <w:rPr>
          <w:rFonts w:ascii="Arial" w:hAnsi="Arial" w:cs="Arial"/>
          <w:b w:val="0"/>
          <w:sz w:val="24"/>
          <w:szCs w:val="24"/>
          <w:u w:val="single"/>
        </w:rPr>
        <w:t>ct</w:t>
      </w:r>
      <w:r w:rsidR="00EC60BD" w:rsidRPr="00EC60BD">
        <w:rPr>
          <w:rFonts w:ascii="Arial" w:hAnsi="Arial" w:cs="Arial"/>
          <w:b w:val="0"/>
          <w:sz w:val="24"/>
          <w:szCs w:val="24"/>
          <w:u w:val="single"/>
        </w:rPr>
        <w:t xml:space="preserve"> (DGTA)</w:t>
      </w:r>
      <w:r w:rsidRPr="00EC60BD">
        <w:rPr>
          <w:rFonts w:ascii="Arial" w:hAnsi="Arial" w:cs="Arial"/>
          <w:b w:val="0"/>
          <w:sz w:val="24"/>
          <w:szCs w:val="24"/>
          <w:u w:val="single"/>
        </w:rPr>
        <w:t>:</w:t>
      </w:r>
    </w:p>
    <w:p w:rsidR="004D4842" w:rsidRPr="004D4842" w:rsidRDefault="004D4842" w:rsidP="004B0082">
      <w:pPr>
        <w:pStyle w:val="headnote"/>
        <w:rPr>
          <w:rFonts w:ascii="Arial" w:hAnsi="Arial" w:cs="Arial"/>
          <w:sz w:val="24"/>
          <w:szCs w:val="24"/>
        </w:rPr>
      </w:pPr>
    </w:p>
    <w:p w:rsidR="004B0082" w:rsidRPr="004D4842" w:rsidRDefault="004B0082" w:rsidP="004B0082">
      <w:pPr>
        <w:pStyle w:val="headnote"/>
        <w:rPr>
          <w:rFonts w:ascii="Arial" w:hAnsi="Arial" w:cs="Arial"/>
          <w:sz w:val="24"/>
          <w:szCs w:val="24"/>
        </w:rPr>
      </w:pPr>
      <w:r w:rsidRPr="004D4842">
        <w:rPr>
          <w:rFonts w:ascii="Arial" w:hAnsi="Arial" w:cs="Arial"/>
          <w:sz w:val="24"/>
          <w:szCs w:val="24"/>
        </w:rPr>
        <w:t xml:space="preserve">  Insurance </w:t>
      </w:r>
      <w:r w:rsidRPr="004D4842">
        <w:rPr>
          <w:rFonts w:ascii="Arial" w:hAnsi="Arial" w:cs="Arial"/>
          <w:sz w:val="24"/>
          <w:szCs w:val="24"/>
          <w:highlight w:val="cyan"/>
        </w:rPr>
        <w:t>required</w:t>
      </w:r>
    </w:p>
    <w:p w:rsidR="004F2D35" w:rsidRPr="004D4842" w:rsidRDefault="004B0082" w:rsidP="004B0082">
      <w:pPr>
        <w:pStyle w:val="ListParagraph"/>
        <w:numPr>
          <w:ilvl w:val="1"/>
          <w:numId w:val="4"/>
        </w:numPr>
        <w:shd w:val="clear" w:color="auto" w:fill="FFFFFF"/>
        <w:spacing w:before="100" w:beforeAutospacing="1" w:after="100" w:afterAutospacing="1" w:line="240" w:lineRule="auto"/>
        <w:rPr>
          <w:rFonts w:ascii="Arial" w:eastAsia="Times New Roman" w:hAnsi="Arial" w:cs="Arial"/>
          <w:color w:val="505050"/>
          <w:sz w:val="24"/>
          <w:szCs w:val="24"/>
          <w:lang w:eastAsia="en-CA"/>
        </w:rPr>
      </w:pPr>
      <w:r w:rsidRPr="004D4842">
        <w:rPr>
          <w:rFonts w:ascii="Arial" w:hAnsi="Arial" w:cs="Arial"/>
          <w:sz w:val="24"/>
          <w:szCs w:val="24"/>
        </w:rPr>
        <w:t>(1)  Subject to subsection (2), every person who transports dangerous goods on a highway and who is</w:t>
      </w:r>
      <w:r w:rsidR="00150951">
        <w:rPr>
          <w:rFonts w:ascii="Arial" w:hAnsi="Arial" w:cs="Arial"/>
          <w:sz w:val="24"/>
          <w:szCs w:val="24"/>
        </w:rPr>
        <w:t>…</w:t>
      </w:r>
    </w:p>
    <w:p w:rsidR="004D4842" w:rsidRDefault="004D4842" w:rsidP="004D4842">
      <w:pPr>
        <w:pStyle w:val="ListParagraph"/>
        <w:shd w:val="clear" w:color="auto" w:fill="FFFFFF"/>
        <w:spacing w:before="100" w:beforeAutospacing="1" w:after="100" w:afterAutospacing="1" w:line="240" w:lineRule="auto"/>
        <w:rPr>
          <w:rFonts w:ascii="Arial" w:eastAsia="Times New Roman" w:hAnsi="Arial" w:cs="Arial"/>
          <w:color w:val="505050"/>
          <w:sz w:val="24"/>
          <w:szCs w:val="24"/>
          <w:lang w:eastAsia="en-CA"/>
        </w:rPr>
      </w:pPr>
    </w:p>
    <w:p w:rsidR="00EA458E" w:rsidRPr="004D4842" w:rsidRDefault="00EA458E" w:rsidP="004D4842">
      <w:pPr>
        <w:pStyle w:val="ListParagraph"/>
        <w:shd w:val="clear" w:color="auto" w:fill="FFFFFF"/>
        <w:spacing w:before="100" w:beforeAutospacing="1" w:after="100" w:afterAutospacing="1" w:line="240" w:lineRule="auto"/>
        <w:rPr>
          <w:rFonts w:ascii="Arial" w:eastAsia="Times New Roman" w:hAnsi="Arial" w:cs="Arial"/>
          <w:color w:val="505050"/>
          <w:sz w:val="24"/>
          <w:szCs w:val="24"/>
          <w:lang w:eastAsia="en-CA"/>
        </w:rPr>
      </w:pPr>
    </w:p>
    <w:p w:rsidR="00840C82" w:rsidRPr="00150951" w:rsidRDefault="00840C82" w:rsidP="00150951">
      <w:pPr>
        <w:pStyle w:val="ListParagraph"/>
        <w:numPr>
          <w:ilvl w:val="0"/>
          <w:numId w:val="6"/>
        </w:numPr>
        <w:rPr>
          <w:rFonts w:ascii="Arial" w:hAnsi="Arial" w:cs="Arial"/>
          <w:b/>
          <w:sz w:val="24"/>
          <w:szCs w:val="24"/>
        </w:rPr>
      </w:pPr>
      <w:r w:rsidRPr="00150951">
        <w:rPr>
          <w:rFonts w:ascii="Arial" w:hAnsi="Arial" w:cs="Arial"/>
          <w:b/>
          <w:sz w:val="24"/>
          <w:szCs w:val="24"/>
        </w:rPr>
        <w:t>There are many instances in MTO statutes and regulations where “shall” is used as part of a definition or a statement of a legal truth</w:t>
      </w:r>
      <w:r w:rsidR="00D67380">
        <w:rPr>
          <w:rFonts w:ascii="Arial" w:hAnsi="Arial" w:cs="Arial"/>
          <w:b/>
          <w:sz w:val="24"/>
          <w:szCs w:val="24"/>
        </w:rPr>
        <w:t>:</w:t>
      </w:r>
      <w:r w:rsidRPr="00150951">
        <w:rPr>
          <w:rFonts w:ascii="Arial" w:hAnsi="Arial" w:cs="Arial"/>
          <w:b/>
          <w:sz w:val="24"/>
          <w:szCs w:val="24"/>
        </w:rPr>
        <w:t xml:space="preserve"> </w:t>
      </w:r>
    </w:p>
    <w:p w:rsidR="00840C82" w:rsidRPr="004D4842" w:rsidRDefault="00840C82" w:rsidP="00840C82">
      <w:pPr>
        <w:pStyle w:val="ListParagraph"/>
        <w:rPr>
          <w:rFonts w:ascii="Arial" w:hAnsi="Arial" w:cs="Arial"/>
          <w:sz w:val="24"/>
          <w:szCs w:val="24"/>
        </w:rPr>
      </w:pPr>
      <w:r w:rsidRPr="004D4842">
        <w:rPr>
          <w:rFonts w:ascii="Arial" w:hAnsi="Arial" w:cs="Arial"/>
          <w:sz w:val="24"/>
          <w:szCs w:val="24"/>
        </w:rPr>
        <w:t>– “</w:t>
      </w:r>
      <w:r w:rsidRPr="004D4842">
        <w:rPr>
          <w:rFonts w:ascii="Arial" w:hAnsi="Arial" w:cs="Arial"/>
          <w:sz w:val="24"/>
          <w:szCs w:val="24"/>
          <w:highlight w:val="yellow"/>
        </w:rPr>
        <w:t>shall</w:t>
      </w:r>
      <w:r w:rsidRPr="004D4842">
        <w:rPr>
          <w:rFonts w:ascii="Arial" w:hAnsi="Arial" w:cs="Arial"/>
          <w:sz w:val="24"/>
          <w:szCs w:val="24"/>
        </w:rPr>
        <w:t xml:space="preserve"> be considered”  </w:t>
      </w:r>
    </w:p>
    <w:p w:rsidR="00840C82" w:rsidRPr="004D4842" w:rsidRDefault="0046263E" w:rsidP="00840C82">
      <w:pPr>
        <w:pStyle w:val="ListParagraph"/>
        <w:rPr>
          <w:rFonts w:ascii="Arial" w:hAnsi="Arial" w:cs="Arial"/>
          <w:sz w:val="24"/>
          <w:szCs w:val="24"/>
        </w:rPr>
      </w:pPr>
      <w:r w:rsidRPr="004D4842">
        <w:rPr>
          <w:rFonts w:ascii="Arial" w:hAnsi="Arial" w:cs="Arial"/>
          <w:sz w:val="24"/>
          <w:szCs w:val="24"/>
        </w:rPr>
        <w:t>–</w:t>
      </w:r>
      <w:r>
        <w:rPr>
          <w:rFonts w:ascii="Arial" w:hAnsi="Arial" w:cs="Arial"/>
          <w:sz w:val="24"/>
          <w:szCs w:val="24"/>
        </w:rPr>
        <w:t xml:space="preserve"> </w:t>
      </w:r>
      <w:r w:rsidR="00840C82" w:rsidRPr="004D4842">
        <w:rPr>
          <w:rFonts w:ascii="Arial" w:hAnsi="Arial" w:cs="Arial"/>
          <w:sz w:val="24"/>
          <w:szCs w:val="24"/>
        </w:rPr>
        <w:t xml:space="preserve">“shall be deemed”  </w:t>
      </w:r>
    </w:p>
    <w:p w:rsidR="00840C82" w:rsidRPr="004D4842" w:rsidRDefault="0046263E" w:rsidP="00840C82">
      <w:pPr>
        <w:pStyle w:val="ListParagraph"/>
        <w:rPr>
          <w:rFonts w:ascii="Arial" w:hAnsi="Arial" w:cs="Arial"/>
          <w:sz w:val="24"/>
          <w:szCs w:val="24"/>
        </w:rPr>
      </w:pPr>
      <w:r w:rsidRPr="004D4842">
        <w:rPr>
          <w:rFonts w:ascii="Arial" w:hAnsi="Arial" w:cs="Arial"/>
          <w:sz w:val="24"/>
          <w:szCs w:val="24"/>
        </w:rPr>
        <w:t>–</w:t>
      </w:r>
      <w:r w:rsidR="00840C82" w:rsidRPr="004D4842">
        <w:rPr>
          <w:rFonts w:ascii="Arial" w:hAnsi="Arial" w:cs="Arial"/>
          <w:sz w:val="24"/>
          <w:szCs w:val="24"/>
        </w:rPr>
        <w:t xml:space="preserve"> “shall be read”</w:t>
      </w:r>
    </w:p>
    <w:p w:rsidR="00840C82" w:rsidRPr="004D4842" w:rsidRDefault="0046263E" w:rsidP="00840C82">
      <w:pPr>
        <w:pStyle w:val="ListParagraph"/>
        <w:rPr>
          <w:rFonts w:ascii="Arial" w:hAnsi="Arial" w:cs="Arial"/>
          <w:sz w:val="24"/>
          <w:szCs w:val="24"/>
        </w:rPr>
      </w:pPr>
      <w:r w:rsidRPr="004D4842">
        <w:rPr>
          <w:rFonts w:ascii="Arial" w:hAnsi="Arial" w:cs="Arial"/>
          <w:sz w:val="24"/>
          <w:szCs w:val="24"/>
        </w:rPr>
        <w:t>–</w:t>
      </w:r>
      <w:r w:rsidR="00840C82" w:rsidRPr="004D4842">
        <w:rPr>
          <w:rFonts w:ascii="Arial" w:hAnsi="Arial" w:cs="Arial"/>
          <w:sz w:val="24"/>
          <w:szCs w:val="24"/>
        </w:rPr>
        <w:t xml:space="preserve"> “shall be construed”</w:t>
      </w:r>
    </w:p>
    <w:p w:rsidR="00840C82" w:rsidRDefault="00840C82" w:rsidP="00840C82">
      <w:pPr>
        <w:rPr>
          <w:rFonts w:ascii="Arial" w:hAnsi="Arial" w:cs="Arial"/>
          <w:sz w:val="24"/>
          <w:szCs w:val="24"/>
        </w:rPr>
      </w:pPr>
      <w:r w:rsidRPr="004D4842">
        <w:rPr>
          <w:rFonts w:ascii="Arial" w:hAnsi="Arial" w:cs="Arial"/>
          <w:sz w:val="24"/>
          <w:szCs w:val="24"/>
        </w:rPr>
        <w:t>Legal phrases don’t impose any legal obligations on anyone. They are a way of stating a legal truth or telling the reader how to interpret the legislation.</w:t>
      </w:r>
    </w:p>
    <w:p w:rsidR="00EC60BD" w:rsidRPr="004D4842" w:rsidRDefault="00EC60BD" w:rsidP="00EC60BD">
      <w:pPr>
        <w:rPr>
          <w:rFonts w:ascii="Arial" w:hAnsi="Arial" w:cs="Arial"/>
          <w:sz w:val="24"/>
          <w:szCs w:val="24"/>
          <w:u w:val="single"/>
        </w:rPr>
      </w:pPr>
      <w:r w:rsidRPr="004D4842">
        <w:rPr>
          <w:rFonts w:ascii="Arial" w:hAnsi="Arial" w:cs="Arial"/>
          <w:sz w:val="24"/>
          <w:szCs w:val="24"/>
          <w:u w:val="single"/>
        </w:rPr>
        <w:t>Examples</w:t>
      </w:r>
      <w:r>
        <w:rPr>
          <w:rFonts w:ascii="Arial" w:hAnsi="Arial" w:cs="Arial"/>
          <w:sz w:val="24"/>
          <w:szCs w:val="24"/>
          <w:u w:val="single"/>
        </w:rPr>
        <w:t xml:space="preserve"> of places where “shall” is used as part of a definition/legal truth:</w:t>
      </w:r>
    </w:p>
    <w:p w:rsidR="00840C82" w:rsidRPr="004D4842" w:rsidRDefault="00840C82" w:rsidP="00840C82">
      <w:pPr>
        <w:rPr>
          <w:rFonts w:ascii="Arial" w:hAnsi="Arial" w:cs="Arial"/>
          <w:sz w:val="24"/>
          <w:szCs w:val="24"/>
        </w:rPr>
      </w:pPr>
      <w:r w:rsidRPr="004D4842">
        <w:rPr>
          <w:rFonts w:ascii="Arial" w:hAnsi="Arial" w:cs="Arial"/>
          <w:sz w:val="24"/>
          <w:szCs w:val="24"/>
        </w:rPr>
        <w:t xml:space="preserve">HTA, s. 1  (3)  For the purposes of Part IX and any regulations or municipal by-laws made thereunder, every overpass and underpass </w:t>
      </w:r>
      <w:r w:rsidRPr="004D4842">
        <w:rPr>
          <w:rFonts w:ascii="Arial" w:hAnsi="Arial" w:cs="Arial"/>
          <w:sz w:val="24"/>
          <w:szCs w:val="24"/>
          <w:highlight w:val="yellow"/>
        </w:rPr>
        <w:t>shall</w:t>
      </w:r>
      <w:r w:rsidRPr="004D4842">
        <w:rPr>
          <w:rFonts w:ascii="Arial" w:hAnsi="Arial" w:cs="Arial"/>
          <w:sz w:val="24"/>
          <w:szCs w:val="24"/>
        </w:rPr>
        <w:t xml:space="preserve"> be deemed to form part of the highway that it connects.  R.S.</w:t>
      </w:r>
    </w:p>
    <w:p w:rsidR="00840C82" w:rsidRPr="004D4842" w:rsidRDefault="00840C82" w:rsidP="0046263E">
      <w:pPr>
        <w:pStyle w:val="definition"/>
        <w:spacing w:line="240" w:lineRule="auto"/>
        <w:rPr>
          <w:rFonts w:ascii="Arial" w:hAnsi="Arial" w:cs="Arial"/>
          <w:sz w:val="24"/>
          <w:szCs w:val="24"/>
        </w:rPr>
      </w:pPr>
      <w:r w:rsidRPr="004D4842">
        <w:rPr>
          <w:rFonts w:ascii="Arial" w:hAnsi="Arial" w:cs="Arial"/>
          <w:sz w:val="24"/>
          <w:szCs w:val="24"/>
        </w:rPr>
        <w:t xml:space="preserve">HTA. S. 1 - “trailer” means a vehicle that is at any time drawn upon a highway by a motor vehicle, except an implement of husbandry, a mobile home, another motor vehicle or any device or apparatus not designed to transport persons or property, temporarily drawn, propelled or moved upon such highway, and except a side car attached to a motorcycle, and </w:t>
      </w:r>
      <w:r w:rsidRPr="004D4842">
        <w:rPr>
          <w:rFonts w:ascii="Arial" w:hAnsi="Arial" w:cs="Arial"/>
          <w:sz w:val="24"/>
          <w:szCs w:val="24"/>
          <w:highlight w:val="yellow"/>
        </w:rPr>
        <w:t>shall</w:t>
      </w:r>
      <w:r w:rsidRPr="004D4842">
        <w:rPr>
          <w:rFonts w:ascii="Arial" w:hAnsi="Arial" w:cs="Arial"/>
          <w:sz w:val="24"/>
          <w:szCs w:val="24"/>
        </w:rPr>
        <w:t xml:space="preserve"> be considered a separate vehicle and not part of the motor vehicle by which it is drawn; (“remorque”)</w:t>
      </w:r>
    </w:p>
    <w:p w:rsidR="00840C82" w:rsidRPr="004D4842" w:rsidRDefault="00840C82" w:rsidP="0046263E">
      <w:pPr>
        <w:pStyle w:val="definition"/>
        <w:spacing w:line="240" w:lineRule="auto"/>
        <w:rPr>
          <w:rFonts w:ascii="Arial" w:hAnsi="Arial" w:cs="Arial"/>
          <w:sz w:val="24"/>
          <w:szCs w:val="24"/>
        </w:rPr>
      </w:pPr>
    </w:p>
    <w:p w:rsidR="00840C82" w:rsidRPr="004D4842" w:rsidRDefault="00840C82" w:rsidP="0046263E">
      <w:pPr>
        <w:pStyle w:val="definition"/>
        <w:spacing w:line="240" w:lineRule="auto"/>
        <w:rPr>
          <w:rFonts w:ascii="Arial" w:hAnsi="Arial" w:cs="Arial"/>
          <w:sz w:val="24"/>
          <w:szCs w:val="24"/>
        </w:rPr>
      </w:pPr>
      <w:r w:rsidRPr="004D4842">
        <w:rPr>
          <w:rFonts w:ascii="Arial" w:hAnsi="Arial" w:cs="Arial"/>
          <w:sz w:val="24"/>
          <w:szCs w:val="24"/>
          <w:lang w:val="en-US"/>
        </w:rPr>
        <w:t xml:space="preserve">DGTA, s. 1 </w:t>
      </w:r>
      <w:r w:rsidR="0046263E">
        <w:rPr>
          <w:rFonts w:ascii="Arial" w:hAnsi="Arial" w:cs="Arial"/>
          <w:sz w:val="24"/>
          <w:szCs w:val="24"/>
          <w:lang w:val="en-US"/>
        </w:rPr>
        <w:t>–</w:t>
      </w:r>
      <w:r w:rsidRPr="004D4842">
        <w:rPr>
          <w:rFonts w:ascii="Arial" w:hAnsi="Arial" w:cs="Arial"/>
          <w:sz w:val="24"/>
          <w:szCs w:val="24"/>
          <w:lang w:val="en-US"/>
        </w:rPr>
        <w:t xml:space="preserve"> </w:t>
      </w:r>
      <w:r w:rsidR="0046263E">
        <w:rPr>
          <w:rFonts w:ascii="Arial" w:hAnsi="Arial" w:cs="Arial"/>
          <w:sz w:val="24"/>
          <w:szCs w:val="24"/>
          <w:lang w:val="en-US"/>
        </w:rPr>
        <w:t>“</w:t>
      </w:r>
      <w:r w:rsidRPr="004D4842">
        <w:rPr>
          <w:rFonts w:ascii="Arial" w:hAnsi="Arial" w:cs="Arial"/>
          <w:sz w:val="24"/>
          <w:szCs w:val="24"/>
        </w:rPr>
        <w:t xml:space="preserve">inspector” means any person designated as an inspector by the Minister under this Act, and references to “inspector” in the provisions of the federal Act and the regulations made under it that are incorporated by reference into this Act </w:t>
      </w:r>
      <w:r w:rsidRPr="004D4842">
        <w:rPr>
          <w:rFonts w:ascii="Arial" w:hAnsi="Arial" w:cs="Arial"/>
          <w:sz w:val="24"/>
          <w:szCs w:val="24"/>
          <w:highlight w:val="yellow"/>
        </w:rPr>
        <w:t>shall</w:t>
      </w:r>
      <w:r w:rsidRPr="004D4842">
        <w:rPr>
          <w:rFonts w:ascii="Arial" w:hAnsi="Arial" w:cs="Arial"/>
          <w:sz w:val="24"/>
          <w:szCs w:val="24"/>
        </w:rPr>
        <w:t xml:space="preserve"> be read as meaning a person designated as an inspector by the Minister under this Act; (“inspecteur”)</w:t>
      </w:r>
    </w:p>
    <w:p w:rsidR="00EC60BD" w:rsidRDefault="00EC60BD" w:rsidP="0046263E">
      <w:pPr>
        <w:pStyle w:val="subsection"/>
        <w:spacing w:line="240" w:lineRule="auto"/>
        <w:rPr>
          <w:rFonts w:ascii="Arial" w:hAnsi="Arial" w:cs="Arial"/>
          <w:sz w:val="24"/>
          <w:szCs w:val="24"/>
        </w:rPr>
      </w:pPr>
    </w:p>
    <w:p w:rsidR="00E15DAE" w:rsidRPr="004D4842" w:rsidRDefault="00840C82" w:rsidP="00EC60BD">
      <w:pPr>
        <w:pStyle w:val="subsection"/>
        <w:spacing w:line="240" w:lineRule="auto"/>
        <w:ind w:left="180" w:hanging="180"/>
        <w:rPr>
          <w:rFonts w:ascii="Arial" w:hAnsi="Arial" w:cs="Arial"/>
          <w:sz w:val="24"/>
          <w:szCs w:val="24"/>
        </w:rPr>
      </w:pPr>
      <w:r w:rsidRPr="004D4842">
        <w:rPr>
          <w:rFonts w:ascii="Arial" w:hAnsi="Arial" w:cs="Arial"/>
          <w:sz w:val="24"/>
          <w:szCs w:val="24"/>
        </w:rPr>
        <w:t xml:space="preserve">HTA, s. 52  (2)  Notice sent by registered mail under clause (1) (a) or by mail under clause (1) (b) </w:t>
      </w:r>
      <w:r w:rsidRPr="004D4842">
        <w:rPr>
          <w:rFonts w:ascii="Arial" w:hAnsi="Arial" w:cs="Arial"/>
          <w:sz w:val="24"/>
          <w:szCs w:val="24"/>
          <w:highlight w:val="yellow"/>
        </w:rPr>
        <w:t>shall</w:t>
      </w:r>
      <w:r w:rsidRPr="004D4842">
        <w:rPr>
          <w:rFonts w:ascii="Arial" w:hAnsi="Arial" w:cs="Arial"/>
          <w:sz w:val="24"/>
          <w:szCs w:val="24"/>
        </w:rPr>
        <w:t xml:space="preserve"> be deemed to have been given on the seventh day after the mailing unless the person to whom the notice is sent establishes that he or she did not, acting in good faith, through absence, accident, illness or other cause beyond his or her control, receive the notice.  2000, c. 26, Sched. O, s. 4.</w:t>
      </w:r>
    </w:p>
    <w:p w:rsidR="00E15DAE" w:rsidRDefault="00E15DAE" w:rsidP="00E15DAE">
      <w:pPr>
        <w:pStyle w:val="ListParagraph"/>
        <w:rPr>
          <w:rFonts w:ascii="Arial" w:hAnsi="Arial" w:cs="Arial"/>
          <w:sz w:val="24"/>
          <w:szCs w:val="24"/>
        </w:rPr>
      </w:pPr>
    </w:p>
    <w:p w:rsidR="00E15DAE" w:rsidRPr="00150951" w:rsidRDefault="001C1BDD" w:rsidP="002436B0">
      <w:pPr>
        <w:pStyle w:val="ListParagraph"/>
        <w:numPr>
          <w:ilvl w:val="0"/>
          <w:numId w:val="6"/>
        </w:numPr>
        <w:rPr>
          <w:rFonts w:ascii="Arial" w:hAnsi="Arial" w:cs="Arial"/>
          <w:b/>
          <w:sz w:val="24"/>
          <w:szCs w:val="24"/>
        </w:rPr>
      </w:pPr>
      <w:r w:rsidRPr="00150951">
        <w:rPr>
          <w:rFonts w:ascii="Arial" w:hAnsi="Arial" w:cs="Arial"/>
          <w:b/>
          <w:sz w:val="24"/>
          <w:szCs w:val="24"/>
        </w:rPr>
        <w:t xml:space="preserve">There are several sections that involve statements of legal rights with respect to </w:t>
      </w:r>
      <w:r w:rsidR="004D4842" w:rsidRPr="00150951">
        <w:rPr>
          <w:rFonts w:ascii="Arial" w:hAnsi="Arial" w:cs="Arial"/>
          <w:b/>
          <w:sz w:val="24"/>
          <w:szCs w:val="24"/>
        </w:rPr>
        <w:t>l</w:t>
      </w:r>
      <w:r w:rsidRPr="00150951">
        <w:rPr>
          <w:rFonts w:ascii="Arial" w:hAnsi="Arial" w:cs="Arial"/>
          <w:b/>
          <w:sz w:val="24"/>
          <w:szCs w:val="24"/>
        </w:rPr>
        <w:t>awsuit</w:t>
      </w:r>
      <w:r w:rsidR="004D4842" w:rsidRPr="00150951">
        <w:rPr>
          <w:rFonts w:ascii="Arial" w:hAnsi="Arial" w:cs="Arial"/>
          <w:b/>
          <w:sz w:val="24"/>
          <w:szCs w:val="24"/>
        </w:rPr>
        <w:t>s</w:t>
      </w:r>
      <w:r w:rsidRPr="00150951">
        <w:rPr>
          <w:rFonts w:ascii="Arial" w:hAnsi="Arial" w:cs="Arial"/>
          <w:b/>
          <w:sz w:val="24"/>
          <w:szCs w:val="24"/>
        </w:rPr>
        <w:t xml:space="preserve"> or appeal</w:t>
      </w:r>
      <w:r w:rsidR="004D4842" w:rsidRPr="00150951">
        <w:rPr>
          <w:rFonts w:ascii="Arial" w:hAnsi="Arial" w:cs="Arial"/>
          <w:b/>
          <w:sz w:val="24"/>
          <w:szCs w:val="24"/>
        </w:rPr>
        <w:t>s</w:t>
      </w:r>
      <w:r w:rsidRPr="00150951">
        <w:rPr>
          <w:rFonts w:ascii="Arial" w:hAnsi="Arial" w:cs="Arial"/>
          <w:b/>
          <w:sz w:val="24"/>
          <w:szCs w:val="24"/>
        </w:rPr>
        <w:t>. These don’t seem to create an obligation on business to do something or not. They speak to the availability of legal procedures:</w:t>
      </w:r>
    </w:p>
    <w:p w:rsidR="001C1BDD" w:rsidRPr="004D4842" w:rsidRDefault="001C1BDD" w:rsidP="0046263E">
      <w:pPr>
        <w:pStyle w:val="section"/>
        <w:spacing w:line="240" w:lineRule="auto"/>
        <w:rPr>
          <w:rFonts w:ascii="Arial" w:hAnsi="Arial" w:cs="Arial"/>
          <w:sz w:val="24"/>
          <w:szCs w:val="24"/>
        </w:rPr>
      </w:pPr>
      <w:r w:rsidRPr="004D4842">
        <w:rPr>
          <w:rFonts w:ascii="Arial" w:hAnsi="Arial" w:cs="Arial"/>
          <w:sz w:val="24"/>
          <w:szCs w:val="24"/>
        </w:rPr>
        <w:t>H</w:t>
      </w:r>
      <w:r w:rsidR="0046263E">
        <w:rPr>
          <w:rFonts w:ascii="Arial" w:hAnsi="Arial" w:cs="Arial"/>
          <w:sz w:val="24"/>
          <w:szCs w:val="24"/>
        </w:rPr>
        <w:t xml:space="preserve">TA s. </w:t>
      </w:r>
      <w:r w:rsidRPr="0046263E">
        <w:rPr>
          <w:rFonts w:ascii="Arial" w:hAnsi="Arial" w:cs="Arial"/>
          <w:sz w:val="24"/>
          <w:szCs w:val="24"/>
        </w:rPr>
        <w:t>7.9</w:t>
      </w:r>
      <w:r w:rsidRPr="004D4842">
        <w:rPr>
          <w:rFonts w:ascii="Arial" w:hAnsi="Arial" w:cs="Arial"/>
          <w:sz w:val="24"/>
          <w:szCs w:val="24"/>
        </w:rPr>
        <w:t xml:space="preserve"> (1)  No further appeal or other review </w:t>
      </w:r>
      <w:r w:rsidRPr="004D4842">
        <w:rPr>
          <w:rFonts w:ascii="Arial" w:hAnsi="Arial" w:cs="Arial"/>
          <w:sz w:val="24"/>
          <w:szCs w:val="24"/>
          <w:highlight w:val="yellow"/>
        </w:rPr>
        <w:t>shall</w:t>
      </w:r>
      <w:r w:rsidRPr="004D4842">
        <w:rPr>
          <w:rFonts w:ascii="Arial" w:hAnsi="Arial" w:cs="Arial"/>
          <w:sz w:val="24"/>
          <w:szCs w:val="24"/>
        </w:rPr>
        <w:t xml:space="preserve"> be available from a decision under subsection 7.8 (2) except as provided in the International Registration Plan.  2002, c. 22, s. 98.</w:t>
      </w:r>
    </w:p>
    <w:p w:rsidR="001C1BDD" w:rsidRPr="004D4842" w:rsidRDefault="001C1BDD" w:rsidP="0046263E">
      <w:pPr>
        <w:pStyle w:val="subsection"/>
        <w:spacing w:line="240" w:lineRule="auto"/>
        <w:rPr>
          <w:rFonts w:ascii="Arial" w:hAnsi="Arial" w:cs="Arial"/>
          <w:sz w:val="24"/>
          <w:szCs w:val="24"/>
        </w:rPr>
      </w:pPr>
      <w:r w:rsidRPr="004D4842">
        <w:rPr>
          <w:rFonts w:ascii="Arial" w:hAnsi="Arial" w:cs="Arial"/>
          <w:sz w:val="24"/>
          <w:szCs w:val="24"/>
        </w:rPr>
        <w:t xml:space="preserve">HTA s. 9  (6)  No proceeding for an offence under subsection (1) </w:t>
      </w:r>
      <w:r w:rsidRPr="004D4842">
        <w:rPr>
          <w:rFonts w:ascii="Arial" w:hAnsi="Arial" w:cs="Arial"/>
          <w:sz w:val="24"/>
          <w:szCs w:val="24"/>
          <w:highlight w:val="yellow"/>
        </w:rPr>
        <w:t>shall</w:t>
      </w:r>
      <w:r w:rsidRPr="004D4842">
        <w:rPr>
          <w:rFonts w:ascii="Arial" w:hAnsi="Arial" w:cs="Arial"/>
          <w:sz w:val="24"/>
          <w:szCs w:val="24"/>
        </w:rPr>
        <w:t xml:space="preserve"> be instituted more than six years after the facts on which the proceeding is based are alleged to have occurred.  2008, c. 17, s. 32 (2).</w:t>
      </w:r>
    </w:p>
    <w:p w:rsidR="001C1BDD" w:rsidRPr="004D4842" w:rsidRDefault="001C1BDD" w:rsidP="0046263E">
      <w:pPr>
        <w:pStyle w:val="subsection"/>
        <w:spacing w:line="240" w:lineRule="auto"/>
        <w:rPr>
          <w:rFonts w:ascii="Arial" w:hAnsi="Arial" w:cs="Arial"/>
          <w:sz w:val="24"/>
          <w:szCs w:val="24"/>
        </w:rPr>
      </w:pPr>
      <w:r w:rsidRPr="004D4842">
        <w:rPr>
          <w:rFonts w:ascii="Arial" w:hAnsi="Arial" w:cs="Arial"/>
          <w:sz w:val="24"/>
          <w:szCs w:val="24"/>
        </w:rPr>
        <w:t xml:space="preserve">HTA s. 17 (10)  No action or other proceeding for damages </w:t>
      </w:r>
      <w:r w:rsidRPr="004D4842">
        <w:rPr>
          <w:rFonts w:ascii="Arial" w:hAnsi="Arial" w:cs="Arial"/>
          <w:sz w:val="24"/>
          <w:szCs w:val="24"/>
          <w:highlight w:val="yellow"/>
        </w:rPr>
        <w:t>shall</w:t>
      </w:r>
      <w:r w:rsidRPr="004D4842">
        <w:rPr>
          <w:rFonts w:ascii="Arial" w:hAnsi="Arial" w:cs="Arial"/>
          <w:sz w:val="24"/>
          <w:szCs w:val="24"/>
        </w:rPr>
        <w:t xml:space="preserve"> be instituted against the Registrar or any employee of the Ministry for any act done in good faith in the execution or intended execution of a duty under this section or for any alleged neglect or default in the execution in good faith of a duty under this section.  </w:t>
      </w:r>
    </w:p>
    <w:p w:rsidR="001C1BDD" w:rsidRPr="004D4842" w:rsidRDefault="001C1BDD" w:rsidP="001C1BDD">
      <w:pPr>
        <w:rPr>
          <w:rFonts w:ascii="Arial" w:hAnsi="Arial" w:cs="Arial"/>
          <w:sz w:val="24"/>
          <w:szCs w:val="24"/>
        </w:rPr>
      </w:pPr>
    </w:p>
    <w:p w:rsidR="001C1BDD" w:rsidRDefault="001C1BDD" w:rsidP="002436B0">
      <w:pPr>
        <w:pStyle w:val="ListParagraph"/>
        <w:numPr>
          <w:ilvl w:val="0"/>
          <w:numId w:val="6"/>
        </w:numPr>
        <w:rPr>
          <w:rFonts w:ascii="Arial" w:hAnsi="Arial" w:cs="Arial"/>
          <w:b/>
          <w:sz w:val="24"/>
          <w:szCs w:val="24"/>
        </w:rPr>
      </w:pPr>
      <w:r w:rsidRPr="00150951">
        <w:rPr>
          <w:rFonts w:ascii="Arial" w:hAnsi="Arial" w:cs="Arial"/>
          <w:b/>
          <w:sz w:val="24"/>
          <w:szCs w:val="24"/>
        </w:rPr>
        <w:t>S</w:t>
      </w:r>
      <w:r w:rsidR="00E15DAE" w:rsidRPr="00150951">
        <w:rPr>
          <w:rFonts w:ascii="Arial" w:hAnsi="Arial" w:cs="Arial"/>
          <w:b/>
          <w:sz w:val="24"/>
          <w:szCs w:val="24"/>
        </w:rPr>
        <w:t xml:space="preserve">ections that have not </w:t>
      </w:r>
      <w:r w:rsidRPr="00150951">
        <w:rPr>
          <w:rFonts w:ascii="Arial" w:hAnsi="Arial" w:cs="Arial"/>
          <w:b/>
          <w:sz w:val="24"/>
          <w:szCs w:val="24"/>
        </w:rPr>
        <w:t xml:space="preserve">yet been proclaimed into force. </w:t>
      </w:r>
      <w:r w:rsidR="005520F7">
        <w:rPr>
          <w:rFonts w:ascii="Arial" w:hAnsi="Arial" w:cs="Arial"/>
          <w:b/>
          <w:sz w:val="24"/>
          <w:szCs w:val="24"/>
        </w:rPr>
        <w:t>A</w:t>
      </w:r>
      <w:r w:rsidRPr="00150951">
        <w:rPr>
          <w:rFonts w:ascii="Arial" w:hAnsi="Arial" w:cs="Arial"/>
          <w:b/>
          <w:sz w:val="24"/>
          <w:szCs w:val="24"/>
        </w:rPr>
        <w:t xml:space="preserve"> section that is not actually in force would not count as a burden. The count</w:t>
      </w:r>
      <w:r w:rsidR="006E5EF1" w:rsidRPr="00150951">
        <w:rPr>
          <w:rFonts w:ascii="Arial" w:hAnsi="Arial" w:cs="Arial"/>
          <w:b/>
          <w:sz w:val="24"/>
          <w:szCs w:val="24"/>
        </w:rPr>
        <w:t xml:space="preserve"> that</w:t>
      </w:r>
      <w:r w:rsidRPr="00150951">
        <w:rPr>
          <w:rFonts w:ascii="Arial" w:hAnsi="Arial" w:cs="Arial"/>
          <w:b/>
          <w:sz w:val="24"/>
          <w:szCs w:val="24"/>
        </w:rPr>
        <w:t xml:space="preserve"> </w:t>
      </w:r>
      <w:r w:rsidR="0046263E">
        <w:rPr>
          <w:rFonts w:ascii="Arial" w:hAnsi="Arial" w:cs="Arial"/>
          <w:b/>
          <w:sz w:val="24"/>
          <w:szCs w:val="24"/>
        </w:rPr>
        <w:t>MTO</w:t>
      </w:r>
      <w:r w:rsidRPr="00150951">
        <w:rPr>
          <w:rFonts w:ascii="Arial" w:hAnsi="Arial" w:cs="Arial"/>
          <w:b/>
          <w:sz w:val="24"/>
          <w:szCs w:val="24"/>
        </w:rPr>
        <w:t xml:space="preserve"> received from OFB included highlighted words in the unproclaimed sections.</w:t>
      </w:r>
    </w:p>
    <w:p w:rsidR="00EC60BD" w:rsidRPr="004D4842" w:rsidRDefault="00EC60BD" w:rsidP="00EC60BD">
      <w:pPr>
        <w:rPr>
          <w:rFonts w:ascii="Arial" w:hAnsi="Arial" w:cs="Arial"/>
          <w:sz w:val="24"/>
          <w:szCs w:val="24"/>
          <w:u w:val="single"/>
        </w:rPr>
      </w:pPr>
      <w:r w:rsidRPr="004D4842">
        <w:rPr>
          <w:rFonts w:ascii="Arial" w:hAnsi="Arial" w:cs="Arial"/>
          <w:sz w:val="24"/>
          <w:szCs w:val="24"/>
          <w:u w:val="single"/>
        </w:rPr>
        <w:t>Example</w:t>
      </w:r>
      <w:r>
        <w:rPr>
          <w:rFonts w:ascii="Arial" w:hAnsi="Arial" w:cs="Arial"/>
          <w:sz w:val="24"/>
          <w:szCs w:val="24"/>
          <w:u w:val="single"/>
        </w:rPr>
        <w:t xml:space="preserve"> of an unproclaimed section:</w:t>
      </w:r>
    </w:p>
    <w:p w:rsidR="001C1BDD" w:rsidRPr="0046263E" w:rsidRDefault="001C1BDD" w:rsidP="0046263E">
      <w:pPr>
        <w:pStyle w:val="Yheadnote"/>
        <w:spacing w:line="240" w:lineRule="auto"/>
        <w:ind w:left="720"/>
        <w:rPr>
          <w:rFonts w:ascii="Arial" w:hAnsi="Arial" w:cs="Arial"/>
          <w:sz w:val="24"/>
          <w:szCs w:val="24"/>
        </w:rPr>
      </w:pPr>
      <w:r w:rsidRPr="0046263E">
        <w:rPr>
          <w:rFonts w:ascii="Arial" w:hAnsi="Arial" w:cs="Arial"/>
          <w:sz w:val="24"/>
          <w:szCs w:val="24"/>
        </w:rPr>
        <w:t>General rules respecting medical reports</w:t>
      </w:r>
    </w:p>
    <w:p w:rsidR="001C1BDD" w:rsidRPr="0046263E" w:rsidRDefault="001C1BDD" w:rsidP="0046263E">
      <w:pPr>
        <w:pStyle w:val="Yheadnote"/>
        <w:spacing w:line="240" w:lineRule="auto"/>
        <w:ind w:left="720"/>
        <w:rPr>
          <w:rFonts w:ascii="Arial" w:hAnsi="Arial" w:cs="Arial"/>
          <w:sz w:val="24"/>
          <w:szCs w:val="24"/>
        </w:rPr>
      </w:pPr>
      <w:r w:rsidRPr="0046263E">
        <w:rPr>
          <w:rFonts w:ascii="Arial" w:hAnsi="Arial" w:cs="Arial"/>
          <w:sz w:val="24"/>
          <w:szCs w:val="24"/>
        </w:rPr>
        <w:t>Contents</w:t>
      </w:r>
    </w:p>
    <w:p w:rsidR="001C1BDD" w:rsidRPr="0046263E" w:rsidRDefault="001C1BDD" w:rsidP="0046263E">
      <w:pPr>
        <w:pStyle w:val="Ysection"/>
        <w:spacing w:line="240" w:lineRule="auto"/>
        <w:rPr>
          <w:rFonts w:ascii="Arial" w:hAnsi="Arial" w:cs="Arial"/>
          <w:sz w:val="24"/>
          <w:szCs w:val="24"/>
        </w:rPr>
      </w:pPr>
      <w:r w:rsidRPr="0046263E">
        <w:rPr>
          <w:rFonts w:ascii="Arial" w:hAnsi="Arial" w:cs="Arial"/>
          <w:sz w:val="24"/>
          <w:szCs w:val="24"/>
        </w:rPr>
        <w:t xml:space="preserve"> </w:t>
      </w:r>
      <w:r w:rsidRPr="0046263E">
        <w:rPr>
          <w:rFonts w:ascii="Arial" w:hAnsi="Arial" w:cs="Arial"/>
          <w:b/>
          <w:sz w:val="24"/>
          <w:szCs w:val="24"/>
        </w:rPr>
        <w:t xml:space="preserve">204 </w:t>
      </w:r>
      <w:r w:rsidRPr="0046263E">
        <w:rPr>
          <w:rFonts w:ascii="Arial" w:hAnsi="Arial" w:cs="Arial"/>
          <w:sz w:val="24"/>
          <w:szCs w:val="24"/>
        </w:rPr>
        <w:t>(1)  A report required or authorized by section 203 must be submitted in the form and manner specified by the Registrar and must include,</w:t>
      </w:r>
    </w:p>
    <w:p w:rsidR="001C1BDD" w:rsidRPr="0046263E" w:rsidRDefault="001C1BDD" w:rsidP="0046263E">
      <w:pPr>
        <w:pStyle w:val="Yparagraph"/>
        <w:spacing w:line="240" w:lineRule="auto"/>
        <w:ind w:left="720" w:firstLine="0"/>
        <w:rPr>
          <w:rFonts w:ascii="Arial" w:hAnsi="Arial" w:cs="Arial"/>
          <w:sz w:val="24"/>
          <w:szCs w:val="24"/>
        </w:rPr>
      </w:pPr>
      <w:r w:rsidRPr="0046263E">
        <w:rPr>
          <w:rFonts w:ascii="Arial" w:hAnsi="Arial" w:cs="Arial"/>
          <w:sz w:val="24"/>
          <w:szCs w:val="24"/>
        </w:rPr>
        <w:tab/>
        <w:t>(a)</w:t>
      </w:r>
      <w:r w:rsidRPr="0046263E">
        <w:rPr>
          <w:rFonts w:ascii="Arial" w:hAnsi="Arial" w:cs="Arial"/>
          <w:sz w:val="24"/>
          <w:szCs w:val="24"/>
        </w:rPr>
        <w:tab/>
        <w:t>the name, address and date of birth of the reported person;</w:t>
      </w:r>
    </w:p>
    <w:p w:rsidR="001C1BDD" w:rsidRPr="0046263E" w:rsidRDefault="001C1BDD" w:rsidP="0046263E">
      <w:pPr>
        <w:pStyle w:val="Yparagraph"/>
        <w:spacing w:line="240" w:lineRule="auto"/>
        <w:ind w:left="720" w:firstLine="0"/>
        <w:rPr>
          <w:rFonts w:ascii="Arial" w:hAnsi="Arial" w:cs="Arial"/>
          <w:sz w:val="24"/>
          <w:szCs w:val="24"/>
        </w:rPr>
      </w:pPr>
      <w:r w:rsidRPr="0046263E">
        <w:rPr>
          <w:rFonts w:ascii="Arial" w:hAnsi="Arial" w:cs="Arial"/>
          <w:sz w:val="24"/>
          <w:szCs w:val="24"/>
        </w:rPr>
        <w:t>(b)</w:t>
      </w:r>
      <w:r w:rsidRPr="0046263E">
        <w:rPr>
          <w:rFonts w:ascii="Arial" w:hAnsi="Arial" w:cs="Arial"/>
          <w:sz w:val="24"/>
          <w:szCs w:val="24"/>
        </w:rPr>
        <w:tab/>
        <w:t>the condition or impairment diagnosed or identified by the person making the report, and a brief description of the condition or impairment; and</w:t>
      </w:r>
    </w:p>
    <w:p w:rsidR="001C1BDD" w:rsidRPr="004D4842" w:rsidRDefault="001C1BDD" w:rsidP="0046263E">
      <w:pPr>
        <w:pStyle w:val="Yparagraph"/>
        <w:spacing w:line="240" w:lineRule="auto"/>
        <w:ind w:left="720" w:firstLine="0"/>
        <w:rPr>
          <w:rFonts w:ascii="Arial" w:hAnsi="Arial" w:cs="Arial"/>
          <w:sz w:val="24"/>
          <w:szCs w:val="24"/>
        </w:rPr>
      </w:pPr>
      <w:r w:rsidRPr="0046263E">
        <w:rPr>
          <w:rFonts w:ascii="Arial" w:hAnsi="Arial" w:cs="Arial"/>
          <w:sz w:val="24"/>
          <w:szCs w:val="24"/>
        </w:rPr>
        <w:t>(c)</w:t>
      </w:r>
      <w:r w:rsidRPr="0046263E">
        <w:rPr>
          <w:rFonts w:ascii="Arial" w:hAnsi="Arial" w:cs="Arial"/>
          <w:sz w:val="24"/>
          <w:szCs w:val="24"/>
        </w:rPr>
        <w:tab/>
        <w:t>any other information requested by the form. 2015, c. 14, s. 55.</w:t>
      </w:r>
    </w:p>
    <w:p w:rsidR="001C1BDD" w:rsidRPr="004D4842" w:rsidRDefault="001C1BDD" w:rsidP="001C1BDD">
      <w:pPr>
        <w:rPr>
          <w:rFonts w:ascii="Arial" w:hAnsi="Arial" w:cs="Arial"/>
          <w:sz w:val="24"/>
          <w:szCs w:val="24"/>
          <w:lang w:val="en-CA"/>
        </w:rPr>
      </w:pPr>
    </w:p>
    <w:p w:rsidR="001C1BDD" w:rsidRPr="00150951" w:rsidRDefault="001C1BDD" w:rsidP="006E5EF1">
      <w:pPr>
        <w:pStyle w:val="ListParagraph"/>
        <w:numPr>
          <w:ilvl w:val="0"/>
          <w:numId w:val="13"/>
        </w:numPr>
        <w:rPr>
          <w:rFonts w:ascii="Arial" w:hAnsi="Arial" w:cs="Arial"/>
          <w:b/>
          <w:sz w:val="24"/>
          <w:szCs w:val="24"/>
        </w:rPr>
      </w:pPr>
      <w:r w:rsidRPr="00150951">
        <w:rPr>
          <w:rFonts w:ascii="Arial" w:hAnsi="Arial" w:cs="Arial"/>
          <w:b/>
          <w:sz w:val="24"/>
          <w:szCs w:val="24"/>
        </w:rPr>
        <w:t>The leg and reg documents received from OFB counted the key words in regulation-making sections of legislation. For example, s. 1(11) of the HTA uses the word “must” in various places. This subsection does not itself create any obligations. It only authorize</w:t>
      </w:r>
      <w:r w:rsidR="00150951" w:rsidRPr="00150951">
        <w:rPr>
          <w:rFonts w:ascii="Arial" w:hAnsi="Arial" w:cs="Arial"/>
          <w:b/>
          <w:sz w:val="24"/>
          <w:szCs w:val="24"/>
        </w:rPr>
        <w:t>s</w:t>
      </w:r>
      <w:r w:rsidRPr="00150951">
        <w:rPr>
          <w:rFonts w:ascii="Arial" w:hAnsi="Arial" w:cs="Arial"/>
          <w:b/>
          <w:sz w:val="24"/>
          <w:szCs w:val="24"/>
        </w:rPr>
        <w:t xml:space="preserve"> the LGIC to create obligations of various kinds in regulation. It would be double counting to include both the obligation in regulation and the authority in statute to create such an obligation in reg.</w:t>
      </w:r>
    </w:p>
    <w:p w:rsidR="004D4842" w:rsidRPr="004D4842" w:rsidRDefault="004D4842" w:rsidP="0046263E">
      <w:pPr>
        <w:pStyle w:val="subsection"/>
        <w:spacing w:line="240" w:lineRule="auto"/>
        <w:ind w:left="720"/>
        <w:rPr>
          <w:rFonts w:ascii="Arial" w:hAnsi="Arial" w:cs="Arial"/>
          <w:sz w:val="24"/>
          <w:szCs w:val="24"/>
        </w:rPr>
      </w:pPr>
      <w:r w:rsidRPr="004D4842">
        <w:rPr>
          <w:rFonts w:ascii="Arial" w:hAnsi="Arial" w:cs="Arial"/>
          <w:sz w:val="24"/>
          <w:szCs w:val="24"/>
        </w:rPr>
        <w:t>HTA, 1. (11)  The Lieutenant Governor in Council may make regulations for the purpose of the definition of “road-building machine” in subsection (1),</w:t>
      </w:r>
    </w:p>
    <w:p w:rsidR="004D4842" w:rsidRPr="004D4842" w:rsidRDefault="004D4842" w:rsidP="0046263E">
      <w:pPr>
        <w:pStyle w:val="paragraph"/>
        <w:spacing w:line="240" w:lineRule="auto"/>
        <w:ind w:left="720" w:firstLine="0"/>
        <w:rPr>
          <w:rFonts w:ascii="Arial" w:hAnsi="Arial" w:cs="Arial"/>
          <w:sz w:val="24"/>
          <w:szCs w:val="24"/>
        </w:rPr>
      </w:pPr>
      <w:r w:rsidRPr="004D4842">
        <w:rPr>
          <w:rFonts w:ascii="Arial" w:hAnsi="Arial" w:cs="Arial"/>
          <w:sz w:val="24"/>
          <w:szCs w:val="24"/>
        </w:rPr>
        <w:t>(a)</w:t>
      </w:r>
      <w:r w:rsidRPr="004D4842">
        <w:rPr>
          <w:rFonts w:ascii="Arial" w:hAnsi="Arial" w:cs="Arial"/>
          <w:sz w:val="24"/>
          <w:szCs w:val="24"/>
        </w:rPr>
        <w:tab/>
        <w:t>prescribing classes of vehicles that are or are not road-building machines;</w:t>
      </w:r>
    </w:p>
    <w:p w:rsidR="004D4842" w:rsidRPr="004D4842" w:rsidRDefault="004D4842" w:rsidP="0046263E">
      <w:pPr>
        <w:pStyle w:val="paragraph"/>
        <w:spacing w:line="240" w:lineRule="auto"/>
        <w:ind w:left="720" w:firstLine="0"/>
        <w:rPr>
          <w:rFonts w:ascii="Arial" w:hAnsi="Arial" w:cs="Arial"/>
          <w:sz w:val="24"/>
          <w:szCs w:val="24"/>
        </w:rPr>
      </w:pPr>
      <w:r w:rsidRPr="004D4842">
        <w:rPr>
          <w:rFonts w:ascii="Arial" w:hAnsi="Arial" w:cs="Arial"/>
          <w:sz w:val="24"/>
          <w:szCs w:val="24"/>
        </w:rPr>
        <w:t>(b)</w:t>
      </w:r>
      <w:r w:rsidRPr="004D4842">
        <w:rPr>
          <w:rFonts w:ascii="Arial" w:hAnsi="Arial" w:cs="Arial"/>
          <w:sz w:val="24"/>
          <w:szCs w:val="24"/>
        </w:rPr>
        <w:tab/>
        <w:t xml:space="preserve">prescribing features and equipment that a vehicle </w:t>
      </w:r>
      <w:r w:rsidRPr="004D4842">
        <w:rPr>
          <w:rFonts w:ascii="Arial" w:hAnsi="Arial" w:cs="Arial"/>
          <w:sz w:val="24"/>
          <w:szCs w:val="24"/>
          <w:highlight w:val="magenta"/>
        </w:rPr>
        <w:t>must</w:t>
      </w:r>
      <w:r w:rsidRPr="004D4842">
        <w:rPr>
          <w:rFonts w:ascii="Arial" w:hAnsi="Arial" w:cs="Arial"/>
          <w:sz w:val="24"/>
          <w:szCs w:val="24"/>
        </w:rPr>
        <w:t xml:space="preserve"> have or </w:t>
      </w:r>
      <w:r w:rsidRPr="004D4842">
        <w:rPr>
          <w:rFonts w:ascii="Arial" w:hAnsi="Arial" w:cs="Arial"/>
          <w:sz w:val="24"/>
          <w:szCs w:val="24"/>
          <w:highlight w:val="magenta"/>
        </w:rPr>
        <w:t>must</w:t>
      </w:r>
      <w:r w:rsidRPr="004D4842">
        <w:rPr>
          <w:rFonts w:ascii="Arial" w:hAnsi="Arial" w:cs="Arial"/>
          <w:sz w:val="24"/>
          <w:szCs w:val="24"/>
        </w:rPr>
        <w:t xml:space="preserve"> not have to be a road-building machine;</w:t>
      </w:r>
    </w:p>
    <w:p w:rsidR="004D4842" w:rsidRPr="004D4842" w:rsidRDefault="004D4842" w:rsidP="0046263E">
      <w:pPr>
        <w:pStyle w:val="paragraph"/>
        <w:spacing w:line="240" w:lineRule="auto"/>
        <w:rPr>
          <w:rFonts w:ascii="Arial" w:hAnsi="Arial" w:cs="Arial"/>
          <w:sz w:val="24"/>
          <w:szCs w:val="24"/>
        </w:rPr>
      </w:pPr>
      <w:r w:rsidRPr="004D4842">
        <w:rPr>
          <w:rFonts w:ascii="Arial" w:hAnsi="Arial" w:cs="Arial"/>
          <w:sz w:val="24"/>
          <w:szCs w:val="24"/>
        </w:rPr>
        <w:tab/>
        <w:t xml:space="preserve">  </w:t>
      </w:r>
      <w:r w:rsidRPr="004D4842">
        <w:rPr>
          <w:rFonts w:ascii="Arial" w:hAnsi="Arial" w:cs="Arial"/>
          <w:sz w:val="24"/>
          <w:szCs w:val="24"/>
        </w:rPr>
        <w:tab/>
        <w:t>(c)</w:t>
      </w:r>
      <w:r w:rsidRPr="004D4842">
        <w:rPr>
          <w:rFonts w:ascii="Arial" w:hAnsi="Arial" w:cs="Arial"/>
          <w:sz w:val="24"/>
          <w:szCs w:val="24"/>
        </w:rPr>
        <w:tab/>
        <w:t xml:space="preserve">prescribing uses to which a vehicle </w:t>
      </w:r>
      <w:r w:rsidRPr="004D4842">
        <w:rPr>
          <w:rFonts w:ascii="Arial" w:hAnsi="Arial" w:cs="Arial"/>
          <w:sz w:val="24"/>
          <w:szCs w:val="24"/>
          <w:highlight w:val="magenta"/>
        </w:rPr>
        <w:t>must</w:t>
      </w:r>
      <w:r w:rsidRPr="004D4842">
        <w:rPr>
          <w:rFonts w:ascii="Arial" w:hAnsi="Arial" w:cs="Arial"/>
          <w:sz w:val="24"/>
          <w:szCs w:val="24"/>
        </w:rPr>
        <w:t xml:space="preserve"> be put or </w:t>
      </w:r>
      <w:r w:rsidRPr="004D4842">
        <w:rPr>
          <w:rFonts w:ascii="Arial" w:hAnsi="Arial" w:cs="Arial"/>
          <w:sz w:val="24"/>
          <w:szCs w:val="24"/>
          <w:highlight w:val="magenta"/>
        </w:rPr>
        <w:t>must</w:t>
      </w:r>
      <w:r w:rsidRPr="004D4842">
        <w:rPr>
          <w:rFonts w:ascii="Arial" w:hAnsi="Arial" w:cs="Arial"/>
          <w:sz w:val="24"/>
          <w:szCs w:val="24"/>
        </w:rPr>
        <w:t xml:space="preserve"> not be put to be a road-building machine. 2016, c. 5, Sched. 12, s. 1 (2).</w:t>
      </w:r>
    </w:p>
    <w:p w:rsidR="001C1BDD" w:rsidRPr="004D4842" w:rsidRDefault="001C1BDD" w:rsidP="001C1BDD">
      <w:pPr>
        <w:rPr>
          <w:rFonts w:ascii="Arial" w:hAnsi="Arial" w:cs="Arial"/>
          <w:sz w:val="24"/>
          <w:szCs w:val="24"/>
        </w:rPr>
      </w:pPr>
    </w:p>
    <w:p w:rsidR="004D4842" w:rsidRDefault="004D4842" w:rsidP="001C1BDD">
      <w:pPr>
        <w:rPr>
          <w:rFonts w:ascii="Arial" w:hAnsi="Arial" w:cs="Arial"/>
          <w:sz w:val="24"/>
          <w:szCs w:val="24"/>
        </w:rPr>
      </w:pPr>
      <w:r w:rsidRPr="004D4842">
        <w:rPr>
          <w:rFonts w:ascii="Arial" w:hAnsi="Arial" w:cs="Arial"/>
          <w:sz w:val="24"/>
          <w:szCs w:val="24"/>
        </w:rPr>
        <w:t>In this case, there is a relevant regulation – O. Reg. 398/16. A search for requirements should look at that regulation, not at the statutory section that authorized its making.</w:t>
      </w:r>
    </w:p>
    <w:p w:rsidR="00024475" w:rsidRPr="004D4842" w:rsidRDefault="00024475" w:rsidP="001C1BDD">
      <w:pPr>
        <w:rPr>
          <w:rFonts w:ascii="Arial" w:hAnsi="Arial" w:cs="Arial"/>
          <w:sz w:val="24"/>
          <w:szCs w:val="24"/>
        </w:rPr>
      </w:pPr>
    </w:p>
    <w:p w:rsidR="00E15DAE" w:rsidRPr="002436B0" w:rsidRDefault="00E15DAE" w:rsidP="002436B0">
      <w:pPr>
        <w:pStyle w:val="ListParagraph"/>
        <w:numPr>
          <w:ilvl w:val="0"/>
          <w:numId w:val="13"/>
        </w:numPr>
        <w:rPr>
          <w:rFonts w:ascii="Arial" w:hAnsi="Arial" w:cs="Arial"/>
          <w:b/>
          <w:sz w:val="24"/>
          <w:szCs w:val="24"/>
        </w:rPr>
      </w:pPr>
      <w:r w:rsidRPr="002436B0">
        <w:rPr>
          <w:rFonts w:ascii="Arial" w:hAnsi="Arial" w:cs="Arial"/>
          <w:b/>
          <w:sz w:val="24"/>
          <w:szCs w:val="24"/>
        </w:rPr>
        <w:t xml:space="preserve">There </w:t>
      </w:r>
      <w:r w:rsidR="004D4842" w:rsidRPr="002436B0">
        <w:rPr>
          <w:rFonts w:ascii="Arial" w:hAnsi="Arial" w:cs="Arial"/>
          <w:b/>
          <w:sz w:val="24"/>
          <w:szCs w:val="24"/>
        </w:rPr>
        <w:t xml:space="preserve">are a </w:t>
      </w:r>
      <w:r w:rsidRPr="002436B0">
        <w:rPr>
          <w:rFonts w:ascii="Arial" w:hAnsi="Arial" w:cs="Arial"/>
          <w:b/>
          <w:sz w:val="24"/>
          <w:szCs w:val="24"/>
        </w:rPr>
        <w:t>few instances of a key word being highlighted when the leg or reg specifically says that something is not required</w:t>
      </w:r>
      <w:r w:rsidR="0046263E">
        <w:rPr>
          <w:rFonts w:ascii="Arial" w:hAnsi="Arial" w:cs="Arial"/>
          <w:b/>
          <w:sz w:val="24"/>
          <w:szCs w:val="24"/>
        </w:rPr>
        <w:t>.</w:t>
      </w:r>
      <w:r w:rsidRPr="002436B0">
        <w:rPr>
          <w:rFonts w:ascii="Arial" w:hAnsi="Arial" w:cs="Arial"/>
          <w:b/>
          <w:sz w:val="24"/>
          <w:szCs w:val="24"/>
        </w:rPr>
        <w:t xml:space="preserve"> </w:t>
      </w:r>
    </w:p>
    <w:p w:rsidR="00E15DAE" w:rsidRPr="004D4842" w:rsidRDefault="004D4842" w:rsidP="00B97587">
      <w:pPr>
        <w:ind w:left="720"/>
        <w:rPr>
          <w:rFonts w:ascii="Arial" w:hAnsi="Arial" w:cs="Arial"/>
          <w:sz w:val="24"/>
          <w:szCs w:val="24"/>
        </w:rPr>
      </w:pPr>
      <w:r w:rsidRPr="004D4842">
        <w:rPr>
          <w:rFonts w:ascii="Arial" w:hAnsi="Arial" w:cs="Arial"/>
          <w:sz w:val="24"/>
          <w:szCs w:val="24"/>
        </w:rPr>
        <w:t xml:space="preserve">O. Reg. </w:t>
      </w:r>
      <w:r w:rsidR="00E15DAE" w:rsidRPr="004D4842">
        <w:rPr>
          <w:rFonts w:ascii="Arial" w:hAnsi="Arial" w:cs="Arial"/>
          <w:sz w:val="24"/>
          <w:szCs w:val="24"/>
        </w:rPr>
        <w:t xml:space="preserve">340/94, s. 14.1 </w:t>
      </w:r>
      <w:r w:rsidR="00E15DAE" w:rsidRPr="004D4842">
        <w:rPr>
          <w:rFonts w:ascii="Arial" w:hAnsi="Arial" w:cs="Arial"/>
          <w:sz w:val="24"/>
          <w:szCs w:val="24"/>
        </w:rPr>
        <w:tab/>
        <w:t xml:space="preserve">(4)  A person prescribed under subsection (1) is not </w:t>
      </w:r>
      <w:r w:rsidR="00E15DAE" w:rsidRPr="004D4842">
        <w:rPr>
          <w:rFonts w:ascii="Arial" w:hAnsi="Arial" w:cs="Arial"/>
          <w:sz w:val="24"/>
          <w:szCs w:val="24"/>
          <w:highlight w:val="cyan"/>
        </w:rPr>
        <w:t>required</w:t>
      </w:r>
      <w:r w:rsidR="00E15DAE" w:rsidRPr="004D4842">
        <w:rPr>
          <w:rFonts w:ascii="Arial" w:hAnsi="Arial" w:cs="Arial"/>
          <w:sz w:val="24"/>
          <w:szCs w:val="24"/>
        </w:rPr>
        <w:t xml:space="preserve"> under subsection 203 (1) of the Act to report a person whose impairment is, in the prescribed person’s opinion, of a distinctly transient or non-recurrent nature. O. Reg. 38/18, s. 3.</w:t>
      </w:r>
    </w:p>
    <w:p w:rsidR="00E15DAE" w:rsidRPr="004D4842" w:rsidRDefault="00E15DAE" w:rsidP="00B97587">
      <w:pPr>
        <w:ind w:left="720"/>
        <w:rPr>
          <w:rFonts w:ascii="Arial" w:hAnsi="Arial" w:cs="Arial"/>
          <w:sz w:val="24"/>
          <w:szCs w:val="24"/>
        </w:rPr>
      </w:pPr>
      <w:r w:rsidRPr="004D4842">
        <w:rPr>
          <w:rFonts w:ascii="Arial" w:hAnsi="Arial" w:cs="Arial"/>
          <w:b/>
          <w:sz w:val="24"/>
          <w:szCs w:val="24"/>
        </w:rPr>
        <w:t xml:space="preserve">O. Reg. 199/07 s. 5(4) </w:t>
      </w:r>
      <w:r w:rsidRPr="004D4842">
        <w:rPr>
          <w:rFonts w:ascii="Arial" w:hAnsi="Arial" w:cs="Arial"/>
          <w:sz w:val="24"/>
          <w:szCs w:val="24"/>
        </w:rPr>
        <w:t xml:space="preserve">(4)  An operator may delete a portion of a schedule respecting the inspection of a specific vehicle component if the vehicle to be inspected under that schedule is not </w:t>
      </w:r>
      <w:r w:rsidRPr="004D4842">
        <w:rPr>
          <w:rFonts w:ascii="Arial" w:hAnsi="Arial" w:cs="Arial"/>
          <w:sz w:val="24"/>
          <w:szCs w:val="24"/>
          <w:highlight w:val="cyan"/>
        </w:rPr>
        <w:t>required</w:t>
      </w:r>
      <w:r w:rsidRPr="004D4842">
        <w:rPr>
          <w:rFonts w:ascii="Arial" w:hAnsi="Arial" w:cs="Arial"/>
          <w:sz w:val="24"/>
          <w:szCs w:val="24"/>
        </w:rPr>
        <w:t xml:space="preserve"> to have and does not have that component.  O. Reg. 199/07, s. 5 (4).</w:t>
      </w:r>
    </w:p>
    <w:p w:rsidR="004D4842" w:rsidRPr="004D4842" w:rsidRDefault="004D4842" w:rsidP="00B97587">
      <w:pPr>
        <w:pStyle w:val="section"/>
        <w:spacing w:line="240" w:lineRule="auto"/>
        <w:ind w:left="720"/>
        <w:rPr>
          <w:rFonts w:ascii="Arial" w:hAnsi="Arial" w:cs="Arial"/>
          <w:sz w:val="24"/>
          <w:szCs w:val="24"/>
        </w:rPr>
      </w:pPr>
      <w:r w:rsidRPr="004D4842">
        <w:rPr>
          <w:rFonts w:ascii="Arial" w:hAnsi="Arial" w:cs="Arial"/>
          <w:b/>
          <w:sz w:val="24"/>
          <w:szCs w:val="24"/>
        </w:rPr>
        <w:t>HTA, 205.20</w:t>
      </w:r>
      <w:r w:rsidRPr="004D4842">
        <w:rPr>
          <w:rFonts w:ascii="Arial" w:hAnsi="Arial" w:cs="Arial"/>
          <w:sz w:val="24"/>
          <w:szCs w:val="24"/>
        </w:rPr>
        <w:t xml:space="preserve"> (1)  The provincial offences officer who used the evidence obtained through the use of a red light camera system to identify the owner or driver of the vehicle involved in the alleged offence and who issued the offence notice and certificate of offence </w:t>
      </w:r>
      <w:r w:rsidRPr="004D4842">
        <w:rPr>
          <w:rFonts w:ascii="Arial" w:hAnsi="Arial" w:cs="Arial"/>
          <w:sz w:val="24"/>
          <w:szCs w:val="24"/>
          <w:highlight w:val="yellow"/>
        </w:rPr>
        <w:t>shall</w:t>
      </w:r>
      <w:r w:rsidRPr="004D4842">
        <w:rPr>
          <w:rFonts w:ascii="Arial" w:hAnsi="Arial" w:cs="Arial"/>
          <w:sz w:val="24"/>
          <w:szCs w:val="24"/>
        </w:rPr>
        <w:t xml:space="preserve"> not be </w:t>
      </w:r>
      <w:r w:rsidRPr="004D4842">
        <w:rPr>
          <w:rFonts w:ascii="Arial" w:hAnsi="Arial" w:cs="Arial"/>
          <w:sz w:val="24"/>
          <w:szCs w:val="24"/>
          <w:highlight w:val="cyan"/>
        </w:rPr>
        <w:t>required</w:t>
      </w:r>
      <w:r w:rsidRPr="004D4842">
        <w:rPr>
          <w:rFonts w:ascii="Arial" w:hAnsi="Arial" w:cs="Arial"/>
          <w:sz w:val="24"/>
          <w:szCs w:val="24"/>
        </w:rPr>
        <w:t xml:space="preserve"> to give oral evidence at trial unless a summons requiring the officer to attend is issued at trial under section 39 of the </w:t>
      </w:r>
      <w:r w:rsidRPr="004D4842">
        <w:rPr>
          <w:rStyle w:val="ovitalic"/>
          <w:rFonts w:ascii="Arial" w:hAnsi="Arial" w:cs="Arial"/>
          <w:sz w:val="24"/>
          <w:szCs w:val="24"/>
        </w:rPr>
        <w:t>Provincial Offences Act</w:t>
      </w:r>
      <w:r w:rsidRPr="004D4842">
        <w:rPr>
          <w:rFonts w:ascii="Arial" w:hAnsi="Arial" w:cs="Arial"/>
          <w:sz w:val="24"/>
          <w:szCs w:val="24"/>
        </w:rPr>
        <w:t>. 1998, c. 38, s. 4.</w:t>
      </w:r>
    </w:p>
    <w:p w:rsidR="00E15DAE" w:rsidRPr="00E6638E" w:rsidRDefault="00E15DAE" w:rsidP="00E6638E">
      <w:pPr>
        <w:pStyle w:val="section"/>
        <w:rPr>
          <w:rFonts w:ascii="Arial" w:hAnsi="Arial" w:cs="Arial"/>
          <w:sz w:val="24"/>
          <w:szCs w:val="24"/>
        </w:rPr>
      </w:pPr>
    </w:p>
    <w:p w:rsidR="006F7EC8" w:rsidRPr="004D4842" w:rsidRDefault="00BD507C">
      <w:pPr>
        <w:rPr>
          <w:rFonts w:ascii="Arial" w:hAnsi="Arial" w:cs="Arial"/>
          <w:sz w:val="24"/>
          <w:szCs w:val="24"/>
        </w:rPr>
      </w:pPr>
    </w:p>
    <w:sectPr w:rsidR="006F7EC8" w:rsidRPr="004D4842" w:rsidSect="00D67380">
      <w:headerReference w:type="default" r:id="rId7"/>
      <w:footerReference w:type="default" r:id="rId8"/>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07C" w:rsidRDefault="00BD507C" w:rsidP="00EA458E">
      <w:pPr>
        <w:spacing w:after="0" w:line="240" w:lineRule="auto"/>
      </w:pPr>
      <w:r>
        <w:separator/>
      </w:r>
    </w:p>
  </w:endnote>
  <w:endnote w:type="continuationSeparator" w:id="0">
    <w:p w:rsidR="00BD507C" w:rsidRDefault="00BD507C" w:rsidP="00EA4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9044679"/>
      <w:docPartObj>
        <w:docPartGallery w:val="Page Numbers (Bottom of Page)"/>
        <w:docPartUnique/>
      </w:docPartObj>
    </w:sdtPr>
    <w:sdtEndPr>
      <w:rPr>
        <w:noProof/>
      </w:rPr>
    </w:sdtEndPr>
    <w:sdtContent>
      <w:p w:rsidR="00EA458E" w:rsidRDefault="00EA458E">
        <w:pPr>
          <w:pStyle w:val="Footer"/>
          <w:jc w:val="right"/>
        </w:pPr>
        <w:r w:rsidRPr="00EA458E">
          <w:rPr>
            <w:rFonts w:ascii="Arial" w:hAnsi="Arial" w:cs="Arial"/>
            <w:sz w:val="24"/>
            <w:szCs w:val="24"/>
          </w:rPr>
          <w:fldChar w:fldCharType="begin"/>
        </w:r>
        <w:r w:rsidRPr="00EA458E">
          <w:rPr>
            <w:rFonts w:ascii="Arial" w:hAnsi="Arial" w:cs="Arial"/>
            <w:sz w:val="24"/>
            <w:szCs w:val="24"/>
          </w:rPr>
          <w:instrText xml:space="preserve"> PAGE   \* MERGEFORMAT </w:instrText>
        </w:r>
        <w:r w:rsidRPr="00EA458E">
          <w:rPr>
            <w:rFonts w:ascii="Arial" w:hAnsi="Arial" w:cs="Arial"/>
            <w:sz w:val="24"/>
            <w:szCs w:val="24"/>
          </w:rPr>
          <w:fldChar w:fldCharType="separate"/>
        </w:r>
        <w:r w:rsidR="005520F7">
          <w:rPr>
            <w:rFonts w:ascii="Arial" w:hAnsi="Arial" w:cs="Arial"/>
            <w:noProof/>
            <w:sz w:val="24"/>
            <w:szCs w:val="24"/>
          </w:rPr>
          <w:t>4</w:t>
        </w:r>
        <w:r w:rsidRPr="00EA458E">
          <w:rPr>
            <w:rFonts w:ascii="Arial" w:hAnsi="Arial" w:cs="Arial"/>
            <w:noProof/>
            <w:sz w:val="24"/>
            <w:szCs w:val="24"/>
          </w:rPr>
          <w:fldChar w:fldCharType="end"/>
        </w:r>
      </w:p>
    </w:sdtContent>
  </w:sdt>
  <w:p w:rsidR="00EA458E" w:rsidRDefault="00EA4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07C" w:rsidRDefault="00BD507C" w:rsidP="00EA458E">
      <w:pPr>
        <w:spacing w:after="0" w:line="240" w:lineRule="auto"/>
      </w:pPr>
      <w:r>
        <w:separator/>
      </w:r>
    </w:p>
  </w:footnote>
  <w:footnote w:type="continuationSeparator" w:id="0">
    <w:p w:rsidR="00BD507C" w:rsidRDefault="00BD507C" w:rsidP="00EA4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48F" w:rsidRPr="006B748F" w:rsidRDefault="006B748F" w:rsidP="006B748F">
    <w:pPr>
      <w:pStyle w:val="Header"/>
      <w:jc w:val="center"/>
      <w:rPr>
        <w:rFonts w:ascii="Arial" w:hAnsi="Arial" w:cs="Arial"/>
        <w:b/>
        <w:sz w:val="28"/>
        <w:szCs w:val="28"/>
      </w:rPr>
    </w:pPr>
    <w:r w:rsidRPr="006B748F">
      <w:rPr>
        <w:rFonts w:ascii="Arial" w:hAnsi="Arial" w:cs="Arial"/>
        <w:b/>
        <w:sz w:val="28"/>
        <w:szCs w:val="28"/>
      </w:rPr>
      <w:t xml:space="preserve">MTO Regulatory Burden Count </w:t>
    </w:r>
    <w:r w:rsidR="00E555EA">
      <w:rPr>
        <w:rFonts w:ascii="Arial" w:hAnsi="Arial" w:cs="Arial"/>
        <w:b/>
        <w:sz w:val="28"/>
        <w:szCs w:val="28"/>
      </w:rPr>
      <w:t>–</w:t>
    </w:r>
    <w:r w:rsidRPr="006B748F">
      <w:rPr>
        <w:rFonts w:ascii="Arial" w:hAnsi="Arial" w:cs="Arial"/>
        <w:b/>
        <w:sz w:val="28"/>
        <w:szCs w:val="28"/>
      </w:rPr>
      <w:t xml:space="preserve"> Methodology</w:t>
    </w:r>
  </w:p>
  <w:p w:rsidR="006B748F" w:rsidRDefault="006B7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D2755"/>
    <w:multiLevelType w:val="hybridMultilevel"/>
    <w:tmpl w:val="92428210"/>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2C51EC5"/>
    <w:multiLevelType w:val="hybridMultilevel"/>
    <w:tmpl w:val="FE2A1F24"/>
    <w:lvl w:ilvl="0" w:tplc="10090015">
      <w:start w:val="6"/>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F70808"/>
    <w:multiLevelType w:val="multilevel"/>
    <w:tmpl w:val="6A0CC58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eastAsiaTheme="minorHAnsi" w:hAnsiTheme="minorHAnsi" w:cstheme="minorBidi" w:hint="default"/>
        <w:b/>
        <w:color w:val="auto"/>
        <w:sz w:val="22"/>
      </w:rPr>
    </w:lvl>
    <w:lvl w:ilvl="2">
      <w:start w:val="1"/>
      <w:numFmt w:val="decimal"/>
      <w:isLgl/>
      <w:lvlText w:val="%1.%2.%3"/>
      <w:lvlJc w:val="left"/>
      <w:pPr>
        <w:ind w:left="1080" w:hanging="720"/>
      </w:pPr>
      <w:rPr>
        <w:rFonts w:asciiTheme="minorHAnsi" w:eastAsiaTheme="minorHAnsi" w:hAnsiTheme="minorHAnsi" w:cstheme="minorBidi" w:hint="default"/>
        <w:b/>
        <w:color w:val="auto"/>
        <w:sz w:val="22"/>
      </w:rPr>
    </w:lvl>
    <w:lvl w:ilvl="3">
      <w:start w:val="1"/>
      <w:numFmt w:val="decimal"/>
      <w:isLgl/>
      <w:lvlText w:val="%1.%2.%3.%4"/>
      <w:lvlJc w:val="left"/>
      <w:pPr>
        <w:ind w:left="1440" w:hanging="1080"/>
      </w:pPr>
      <w:rPr>
        <w:rFonts w:asciiTheme="minorHAnsi" w:eastAsiaTheme="minorHAnsi" w:hAnsiTheme="minorHAnsi" w:cstheme="minorBidi" w:hint="default"/>
        <w:b/>
        <w:color w:val="auto"/>
        <w:sz w:val="22"/>
      </w:rPr>
    </w:lvl>
    <w:lvl w:ilvl="4">
      <w:start w:val="1"/>
      <w:numFmt w:val="decimal"/>
      <w:isLgl/>
      <w:lvlText w:val="%1.%2.%3.%4.%5"/>
      <w:lvlJc w:val="left"/>
      <w:pPr>
        <w:ind w:left="1440" w:hanging="1080"/>
      </w:pPr>
      <w:rPr>
        <w:rFonts w:asciiTheme="minorHAnsi" w:eastAsiaTheme="minorHAnsi" w:hAnsiTheme="minorHAnsi" w:cstheme="minorBidi" w:hint="default"/>
        <w:b/>
        <w:color w:val="auto"/>
        <w:sz w:val="22"/>
      </w:rPr>
    </w:lvl>
    <w:lvl w:ilvl="5">
      <w:start w:val="1"/>
      <w:numFmt w:val="decimal"/>
      <w:isLgl/>
      <w:lvlText w:val="%1.%2.%3.%4.%5.%6"/>
      <w:lvlJc w:val="left"/>
      <w:pPr>
        <w:ind w:left="1800" w:hanging="1440"/>
      </w:pPr>
      <w:rPr>
        <w:rFonts w:asciiTheme="minorHAnsi" w:eastAsiaTheme="minorHAnsi" w:hAnsiTheme="minorHAnsi" w:cstheme="minorBidi" w:hint="default"/>
        <w:b/>
        <w:color w:val="auto"/>
        <w:sz w:val="22"/>
      </w:rPr>
    </w:lvl>
    <w:lvl w:ilvl="6">
      <w:start w:val="1"/>
      <w:numFmt w:val="decimal"/>
      <w:isLgl/>
      <w:lvlText w:val="%1.%2.%3.%4.%5.%6.%7"/>
      <w:lvlJc w:val="left"/>
      <w:pPr>
        <w:ind w:left="1800" w:hanging="1440"/>
      </w:pPr>
      <w:rPr>
        <w:rFonts w:asciiTheme="minorHAnsi" w:eastAsiaTheme="minorHAnsi" w:hAnsiTheme="minorHAnsi" w:cstheme="minorBidi" w:hint="default"/>
        <w:b/>
        <w:color w:val="auto"/>
        <w:sz w:val="22"/>
      </w:rPr>
    </w:lvl>
    <w:lvl w:ilvl="7">
      <w:start w:val="1"/>
      <w:numFmt w:val="decimal"/>
      <w:isLgl/>
      <w:lvlText w:val="%1.%2.%3.%4.%5.%6.%7.%8"/>
      <w:lvlJc w:val="left"/>
      <w:pPr>
        <w:ind w:left="2160" w:hanging="1800"/>
      </w:pPr>
      <w:rPr>
        <w:rFonts w:asciiTheme="minorHAnsi" w:eastAsiaTheme="minorHAnsi" w:hAnsiTheme="minorHAnsi" w:cstheme="minorBidi" w:hint="default"/>
        <w:b/>
        <w:color w:val="auto"/>
        <w:sz w:val="22"/>
      </w:rPr>
    </w:lvl>
    <w:lvl w:ilvl="8">
      <w:start w:val="1"/>
      <w:numFmt w:val="decimal"/>
      <w:isLgl/>
      <w:lvlText w:val="%1.%2.%3.%4.%5.%6.%7.%8.%9"/>
      <w:lvlJc w:val="left"/>
      <w:pPr>
        <w:ind w:left="2160" w:hanging="1800"/>
      </w:pPr>
      <w:rPr>
        <w:rFonts w:asciiTheme="minorHAnsi" w:eastAsiaTheme="minorHAnsi" w:hAnsiTheme="minorHAnsi" w:cstheme="minorBidi" w:hint="default"/>
        <w:b/>
        <w:color w:val="auto"/>
        <w:sz w:val="22"/>
      </w:rPr>
    </w:lvl>
  </w:abstractNum>
  <w:abstractNum w:abstractNumId="3" w15:restartNumberingAfterBreak="0">
    <w:nsid w:val="418A168C"/>
    <w:multiLevelType w:val="hybridMultilevel"/>
    <w:tmpl w:val="0C4C297A"/>
    <w:lvl w:ilvl="0" w:tplc="F45CFA82">
      <w:start w:val="1"/>
      <w:numFmt w:val="upperLetter"/>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016FD5"/>
    <w:multiLevelType w:val="hybridMultilevel"/>
    <w:tmpl w:val="1C9AB2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C1B5F52"/>
    <w:multiLevelType w:val="hybridMultilevel"/>
    <w:tmpl w:val="F63E31AE"/>
    <w:lvl w:ilvl="0" w:tplc="3474AC7C">
      <w:start w:val="1"/>
      <w:numFmt w:val="decimal"/>
      <w:lvlText w:val="%1."/>
      <w:lvlJc w:val="left"/>
      <w:pPr>
        <w:ind w:left="720" w:hanging="360"/>
      </w:pPr>
      <w:rPr>
        <w:rFonts w:ascii="Arial" w:eastAsiaTheme="minorHAnsi" w:hAnsi="Arial" w:cs="Arial"/>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07D1EB4"/>
    <w:multiLevelType w:val="hybridMultilevel"/>
    <w:tmpl w:val="C97C46F8"/>
    <w:lvl w:ilvl="0" w:tplc="D0D4070C">
      <w:start w:val="7"/>
      <w:numFmt w:val="upperLetter"/>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1A90982"/>
    <w:multiLevelType w:val="hybridMultilevel"/>
    <w:tmpl w:val="37CE49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666067"/>
    <w:multiLevelType w:val="hybridMultilevel"/>
    <w:tmpl w:val="3C0606F4"/>
    <w:lvl w:ilvl="0" w:tplc="E61C7A7A">
      <w:start w:val="2"/>
      <w:numFmt w:val="upperLetter"/>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7ED3B50"/>
    <w:multiLevelType w:val="hybridMultilevel"/>
    <w:tmpl w:val="0ED43D12"/>
    <w:lvl w:ilvl="0" w:tplc="10090015">
      <w:start w:val="1"/>
      <w:numFmt w:val="upperLetter"/>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10" w15:restartNumberingAfterBreak="0">
    <w:nsid w:val="794934B6"/>
    <w:multiLevelType w:val="hybridMultilevel"/>
    <w:tmpl w:val="B88C8292"/>
    <w:lvl w:ilvl="0" w:tplc="9E20BE30">
      <w:start w:val="7"/>
      <w:numFmt w:val="upperLetter"/>
      <w:lvlText w:val="%1&gt;"/>
      <w:lvlJc w:val="left"/>
      <w:pPr>
        <w:ind w:left="732" w:hanging="372"/>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B3E4421"/>
    <w:multiLevelType w:val="hybridMultilevel"/>
    <w:tmpl w:val="1DA25584"/>
    <w:lvl w:ilvl="0" w:tplc="6BB435D2">
      <w:start w:val="1"/>
      <w:numFmt w:val="upperLetter"/>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E9B5826"/>
    <w:multiLevelType w:val="hybridMultilevel"/>
    <w:tmpl w:val="5AA27AC2"/>
    <w:lvl w:ilvl="0" w:tplc="10090015">
      <w:start w:val="8"/>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5"/>
  </w:num>
  <w:num w:numId="2">
    <w:abstractNumId w:val="7"/>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0"/>
  </w:num>
  <w:num w:numId="7">
    <w:abstractNumId w:val="1"/>
  </w:num>
  <w:num w:numId="8">
    <w:abstractNumId w:val="10"/>
  </w:num>
  <w:num w:numId="9">
    <w:abstractNumId w:val="3"/>
  </w:num>
  <w:num w:numId="10">
    <w:abstractNumId w:val="11"/>
  </w:num>
  <w:num w:numId="11">
    <w:abstractNumId w:val="8"/>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AE"/>
    <w:rsid w:val="00024475"/>
    <w:rsid w:val="000D32EB"/>
    <w:rsid w:val="00136A9E"/>
    <w:rsid w:val="00150951"/>
    <w:rsid w:val="001C1BDD"/>
    <w:rsid w:val="002436B0"/>
    <w:rsid w:val="003B7771"/>
    <w:rsid w:val="0046263E"/>
    <w:rsid w:val="004B0082"/>
    <w:rsid w:val="004D4842"/>
    <w:rsid w:val="004F2D35"/>
    <w:rsid w:val="005520F7"/>
    <w:rsid w:val="005A366C"/>
    <w:rsid w:val="005A459A"/>
    <w:rsid w:val="005C170B"/>
    <w:rsid w:val="006B21A3"/>
    <w:rsid w:val="006B276E"/>
    <w:rsid w:val="006B748F"/>
    <w:rsid w:val="006E5EF1"/>
    <w:rsid w:val="007302D5"/>
    <w:rsid w:val="007D5414"/>
    <w:rsid w:val="00817CA3"/>
    <w:rsid w:val="00840C82"/>
    <w:rsid w:val="00AE35CC"/>
    <w:rsid w:val="00B97587"/>
    <w:rsid w:val="00BD507C"/>
    <w:rsid w:val="00CA5D26"/>
    <w:rsid w:val="00D1529A"/>
    <w:rsid w:val="00D67380"/>
    <w:rsid w:val="00DE42E7"/>
    <w:rsid w:val="00E15DAE"/>
    <w:rsid w:val="00E35F8F"/>
    <w:rsid w:val="00E555EA"/>
    <w:rsid w:val="00E6638E"/>
    <w:rsid w:val="00EA458E"/>
    <w:rsid w:val="00EC6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C3E2C4-B88C-6446-8D8B-FFEAEB57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D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AE"/>
    <w:pPr>
      <w:ind w:left="720"/>
      <w:contextualSpacing/>
    </w:pPr>
  </w:style>
  <w:style w:type="paragraph" w:customStyle="1" w:styleId="section">
    <w:name w:val="section"/>
    <w:link w:val="sectionChar"/>
    <w:rsid w:val="00E15DAE"/>
    <w:pPr>
      <w:spacing w:before="100" w:after="0" w:line="209" w:lineRule="exact"/>
      <w:jc w:val="both"/>
    </w:pPr>
    <w:rPr>
      <w:rFonts w:ascii="Times New Roman" w:eastAsia="Times New Roman" w:hAnsi="Times New Roman" w:cs="Times New Roman"/>
      <w:szCs w:val="20"/>
      <w:lang w:val="en-CA"/>
    </w:rPr>
  </w:style>
  <w:style w:type="paragraph" w:customStyle="1" w:styleId="headnote">
    <w:name w:val="headnote"/>
    <w:link w:val="headnoteChar"/>
    <w:rsid w:val="00E15DAE"/>
    <w:pPr>
      <w:keepNext/>
      <w:keepLines/>
      <w:tabs>
        <w:tab w:val="left" w:pos="0"/>
      </w:tabs>
      <w:suppressAutoHyphens/>
      <w:spacing w:before="120" w:after="0" w:line="180" w:lineRule="exact"/>
    </w:pPr>
    <w:rPr>
      <w:rFonts w:ascii="Times New Roman" w:eastAsia="Times New Roman" w:hAnsi="Times New Roman" w:cs="Times New Roman"/>
      <w:b/>
      <w:szCs w:val="20"/>
      <w:lang w:val="en-CA"/>
    </w:rPr>
  </w:style>
  <w:style w:type="character" w:customStyle="1" w:styleId="sectionChar">
    <w:name w:val="section Char"/>
    <w:link w:val="section"/>
    <w:rsid w:val="00E15DAE"/>
    <w:rPr>
      <w:rFonts w:ascii="Times New Roman" w:eastAsia="Times New Roman" w:hAnsi="Times New Roman" w:cs="Times New Roman"/>
      <w:szCs w:val="20"/>
      <w:lang w:val="en-CA"/>
    </w:rPr>
  </w:style>
  <w:style w:type="character" w:customStyle="1" w:styleId="headnoteChar">
    <w:name w:val="headnote Char"/>
    <w:link w:val="headnote"/>
    <w:rsid w:val="00E15DAE"/>
    <w:rPr>
      <w:rFonts w:ascii="Times New Roman" w:eastAsia="Times New Roman" w:hAnsi="Times New Roman" w:cs="Times New Roman"/>
      <w:b/>
      <w:szCs w:val="20"/>
      <w:lang w:val="en-CA"/>
    </w:rPr>
  </w:style>
  <w:style w:type="paragraph" w:customStyle="1" w:styleId="subsection">
    <w:name w:val="subsection"/>
    <w:basedOn w:val="section"/>
    <w:link w:val="subsectionChar"/>
    <w:rsid w:val="00E15DAE"/>
  </w:style>
  <w:style w:type="character" w:customStyle="1" w:styleId="subsectionChar">
    <w:name w:val="subsection Char"/>
    <w:link w:val="subsection"/>
    <w:rsid w:val="00E15DAE"/>
    <w:rPr>
      <w:rFonts w:ascii="Times New Roman" w:eastAsia="Times New Roman" w:hAnsi="Times New Roman" w:cs="Times New Roman"/>
      <w:szCs w:val="20"/>
      <w:lang w:val="en-CA"/>
    </w:rPr>
  </w:style>
  <w:style w:type="paragraph" w:customStyle="1" w:styleId="section-e">
    <w:name w:val="section-e"/>
    <w:rsid w:val="00E15DAE"/>
    <w:pPr>
      <w:tabs>
        <w:tab w:val="left" w:pos="0"/>
        <w:tab w:val="left" w:pos="189"/>
      </w:tabs>
      <w:spacing w:before="100" w:after="0" w:line="209" w:lineRule="exact"/>
      <w:jc w:val="both"/>
    </w:pPr>
    <w:rPr>
      <w:rFonts w:ascii="Times New Roman" w:eastAsia="Times New Roman" w:hAnsi="Times New Roman" w:cs="Times New Roman"/>
      <w:szCs w:val="20"/>
      <w:lang w:val="en-CA" w:eastAsia="en-CA"/>
    </w:rPr>
  </w:style>
  <w:style w:type="character" w:customStyle="1" w:styleId="Pnote-eChar">
    <w:name w:val="Pnote-e Char"/>
    <w:link w:val="Pnote-e"/>
    <w:locked/>
    <w:rsid w:val="00E15DAE"/>
    <w:rPr>
      <w:rFonts w:ascii="Times New Roman" w:hAnsi="Times New Roman" w:cs="Times New Roman"/>
      <w:b/>
      <w:sz w:val="20"/>
      <w:shd w:val="pct15" w:color="auto" w:fill="FFFFFF"/>
      <w:lang w:val="x-none" w:eastAsia="en-CA"/>
    </w:rPr>
  </w:style>
  <w:style w:type="paragraph" w:customStyle="1" w:styleId="Pnote-e">
    <w:name w:val="Pnote-e"/>
    <w:link w:val="Pnote-eChar"/>
    <w:rsid w:val="00E15DAE"/>
    <w:pPr>
      <w:shd w:val="pct15" w:color="auto" w:fill="FFFFFF"/>
      <w:tabs>
        <w:tab w:val="left" w:pos="0"/>
      </w:tabs>
      <w:spacing w:before="100" w:after="0" w:line="179" w:lineRule="exact"/>
      <w:jc w:val="both"/>
    </w:pPr>
    <w:rPr>
      <w:rFonts w:ascii="Times New Roman" w:hAnsi="Times New Roman" w:cs="Times New Roman"/>
      <w:b/>
      <w:sz w:val="20"/>
      <w:lang w:val="x-none" w:eastAsia="en-CA"/>
    </w:rPr>
  </w:style>
  <w:style w:type="paragraph" w:customStyle="1" w:styleId="Ysection-e">
    <w:name w:val="Ysection-e"/>
    <w:basedOn w:val="section-e"/>
    <w:rsid w:val="00E15DAE"/>
    <w:pPr>
      <w:shd w:val="clear" w:color="auto" w:fill="D9D9D9"/>
    </w:pPr>
  </w:style>
  <w:style w:type="paragraph" w:customStyle="1" w:styleId="paragraph">
    <w:name w:val="paragraph"/>
    <w:rsid w:val="00817CA3"/>
    <w:pPr>
      <w:tabs>
        <w:tab w:val="right" w:pos="418"/>
        <w:tab w:val="left" w:pos="538"/>
      </w:tabs>
      <w:spacing w:before="111" w:after="0" w:line="209" w:lineRule="exact"/>
      <w:ind w:left="538" w:hanging="538"/>
      <w:jc w:val="both"/>
    </w:pPr>
    <w:rPr>
      <w:rFonts w:ascii="Times New Roman" w:eastAsia="Times New Roman" w:hAnsi="Times New Roman" w:cs="Times New Roman"/>
      <w:szCs w:val="20"/>
      <w:lang w:val="en-CA"/>
    </w:rPr>
  </w:style>
  <w:style w:type="character" w:customStyle="1" w:styleId="ovitalic">
    <w:name w:val="ovitalic"/>
    <w:rsid w:val="004B0082"/>
    <w:rPr>
      <w:i/>
    </w:rPr>
  </w:style>
  <w:style w:type="paragraph" w:customStyle="1" w:styleId="table">
    <w:name w:val="table"/>
    <w:rsid w:val="004B0082"/>
    <w:pPr>
      <w:suppressAutoHyphens/>
      <w:spacing w:before="11" w:after="0" w:line="189" w:lineRule="exact"/>
    </w:pPr>
    <w:rPr>
      <w:rFonts w:ascii="Times New Roman" w:eastAsia="Times New Roman" w:hAnsi="Times New Roman" w:cs="Times New Roman"/>
      <w:sz w:val="18"/>
      <w:szCs w:val="20"/>
      <w:lang w:val="en-CA"/>
    </w:rPr>
  </w:style>
  <w:style w:type="paragraph" w:customStyle="1" w:styleId="TOCid">
    <w:name w:val="TOCid"/>
    <w:basedOn w:val="table"/>
    <w:rsid w:val="004B0082"/>
    <w:rPr>
      <w:color w:val="0000FF"/>
      <w:u w:val="single" w:color="0000FF"/>
    </w:rPr>
  </w:style>
  <w:style w:type="paragraph" w:customStyle="1" w:styleId="definition">
    <w:name w:val="definition"/>
    <w:rsid w:val="00840C82"/>
    <w:pPr>
      <w:tabs>
        <w:tab w:val="left" w:pos="0"/>
      </w:tabs>
      <w:spacing w:before="111" w:after="0" w:line="209" w:lineRule="exact"/>
      <w:ind w:left="189" w:hanging="189"/>
      <w:jc w:val="both"/>
    </w:pPr>
    <w:rPr>
      <w:rFonts w:ascii="Times New Roman" w:eastAsia="Times New Roman" w:hAnsi="Times New Roman" w:cs="Times New Roman"/>
      <w:szCs w:val="20"/>
      <w:lang w:val="en-CA" w:eastAsia="en-CA"/>
    </w:rPr>
  </w:style>
  <w:style w:type="paragraph" w:customStyle="1" w:styleId="Pnote">
    <w:name w:val="Pnote"/>
    <w:link w:val="PnoteChar"/>
    <w:rsid w:val="00840C82"/>
    <w:pPr>
      <w:shd w:val="pct15" w:color="auto" w:fill="FFFFFF"/>
      <w:tabs>
        <w:tab w:val="left" w:pos="0"/>
      </w:tabs>
      <w:spacing w:before="100" w:after="0" w:line="179" w:lineRule="exact"/>
      <w:jc w:val="both"/>
    </w:pPr>
    <w:rPr>
      <w:rFonts w:ascii="Times New Roman" w:eastAsia="Times New Roman" w:hAnsi="Times New Roman" w:cs="Times New Roman"/>
      <w:b/>
      <w:sz w:val="16"/>
      <w:szCs w:val="20"/>
      <w:lang w:val="en-CA"/>
    </w:rPr>
  </w:style>
  <w:style w:type="character" w:customStyle="1" w:styleId="PnoteChar">
    <w:name w:val="Pnote Char"/>
    <w:link w:val="Pnote"/>
    <w:rsid w:val="00840C82"/>
    <w:rPr>
      <w:rFonts w:ascii="Times New Roman" w:eastAsia="Times New Roman" w:hAnsi="Times New Roman" w:cs="Times New Roman"/>
      <w:b/>
      <w:sz w:val="16"/>
      <w:szCs w:val="20"/>
      <w:shd w:val="pct15" w:color="auto" w:fill="FFFFFF"/>
      <w:lang w:val="en-CA"/>
    </w:rPr>
  </w:style>
  <w:style w:type="paragraph" w:customStyle="1" w:styleId="EndTumble">
    <w:name w:val="End Tumble"/>
    <w:rsid w:val="001C1BDD"/>
    <w:pPr>
      <w:tabs>
        <w:tab w:val="left" w:pos="0"/>
      </w:tabs>
      <w:suppressAutoHyphens/>
      <w:spacing w:before="120" w:after="0" w:line="200" w:lineRule="exact"/>
      <w:jc w:val="both"/>
    </w:pPr>
    <w:rPr>
      <w:rFonts w:ascii="Times New Roman" w:eastAsia="Times New Roman" w:hAnsi="Times New Roman" w:cs="Times New Roman"/>
      <w:szCs w:val="20"/>
      <w:lang w:val="en-CA"/>
    </w:rPr>
  </w:style>
  <w:style w:type="paragraph" w:customStyle="1" w:styleId="Ysection">
    <w:name w:val="Ysection"/>
    <w:basedOn w:val="section"/>
    <w:rsid w:val="001C1BDD"/>
    <w:pPr>
      <w:shd w:val="clear" w:color="auto" w:fill="D9D9D9"/>
    </w:pPr>
  </w:style>
  <w:style w:type="paragraph" w:customStyle="1" w:styleId="Yparagraph">
    <w:name w:val="Yparagraph"/>
    <w:basedOn w:val="paragraph"/>
    <w:rsid w:val="001C1BDD"/>
    <w:pPr>
      <w:shd w:val="clear" w:color="auto" w:fill="D9D9D9"/>
    </w:pPr>
  </w:style>
  <w:style w:type="paragraph" w:customStyle="1" w:styleId="Yheadnote">
    <w:name w:val="Yheadnote"/>
    <w:basedOn w:val="headnote"/>
    <w:rsid w:val="001C1BDD"/>
    <w:pPr>
      <w:shd w:val="clear" w:color="auto" w:fill="D9D9D9"/>
    </w:pPr>
  </w:style>
  <w:style w:type="paragraph" w:styleId="Header">
    <w:name w:val="header"/>
    <w:basedOn w:val="Normal"/>
    <w:link w:val="HeaderChar"/>
    <w:uiPriority w:val="99"/>
    <w:unhideWhenUsed/>
    <w:rsid w:val="00EA4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8E"/>
  </w:style>
  <w:style w:type="paragraph" w:styleId="Footer">
    <w:name w:val="footer"/>
    <w:basedOn w:val="Normal"/>
    <w:link w:val="FooterChar"/>
    <w:uiPriority w:val="99"/>
    <w:unhideWhenUsed/>
    <w:rsid w:val="00EA4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58E"/>
  </w:style>
  <w:style w:type="paragraph" w:styleId="BalloonText">
    <w:name w:val="Balloon Text"/>
    <w:basedOn w:val="Normal"/>
    <w:link w:val="BalloonTextChar"/>
    <w:uiPriority w:val="99"/>
    <w:semiHidden/>
    <w:unhideWhenUsed/>
    <w:rsid w:val="006B7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4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341898">
      <w:bodyDiv w:val="1"/>
      <w:marLeft w:val="0"/>
      <w:marRight w:val="0"/>
      <w:marTop w:val="0"/>
      <w:marBottom w:val="0"/>
      <w:divBdr>
        <w:top w:val="none" w:sz="0" w:space="0" w:color="auto"/>
        <w:left w:val="none" w:sz="0" w:space="0" w:color="auto"/>
        <w:bottom w:val="none" w:sz="0" w:space="0" w:color="auto"/>
        <w:right w:val="none" w:sz="0" w:space="0" w:color="auto"/>
      </w:divBdr>
    </w:div>
    <w:div w:id="1124272861">
      <w:bodyDiv w:val="1"/>
      <w:marLeft w:val="0"/>
      <w:marRight w:val="0"/>
      <w:marTop w:val="0"/>
      <w:marBottom w:val="0"/>
      <w:divBdr>
        <w:top w:val="none" w:sz="0" w:space="0" w:color="auto"/>
        <w:left w:val="none" w:sz="0" w:space="0" w:color="auto"/>
        <w:bottom w:val="none" w:sz="0" w:space="0" w:color="auto"/>
        <w:right w:val="none" w:sz="0" w:space="0" w:color="auto"/>
      </w:divBdr>
    </w:div>
    <w:div w:id="148623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MGS</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Moore, Patrick (MTO)</dc:creator>
  <cp:lastModifiedBy>Joshua Vandenbor</cp:lastModifiedBy>
  <cp:revision>2</cp:revision>
  <cp:lastPrinted>2019-02-12T16:40:00Z</cp:lastPrinted>
  <dcterms:created xsi:type="dcterms:W3CDTF">2019-03-04T20:31:00Z</dcterms:created>
  <dcterms:modified xsi:type="dcterms:W3CDTF">2019-03-04T20:31:00Z</dcterms:modified>
</cp:coreProperties>
</file>