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451F90" w:rsidRDefault="00244310" w:rsidP="00244310">
      <w:pPr>
        <w:jc w:val="center"/>
        <w:rPr>
          <w:rFonts w:ascii="Arial" w:hAnsi="Arial" w:cs="Arial"/>
          <w:sz w:val="20"/>
          <w:u w:val="single"/>
        </w:rPr>
      </w:pPr>
      <w:r w:rsidRPr="00451F90">
        <w:rPr>
          <w:rFonts w:ascii="Arial" w:hAnsi="Arial" w:cs="Arial"/>
          <w:sz w:val="20"/>
          <w:u w:val="single"/>
        </w:rPr>
        <w:t xml:space="preserve">An investigation into the link between </w:t>
      </w:r>
      <w:r w:rsidR="00B1351F" w:rsidRPr="00451F90">
        <w:rPr>
          <w:rFonts w:ascii="Arial" w:hAnsi="Arial" w:cs="Arial"/>
          <w:sz w:val="20"/>
          <w:u w:val="single"/>
        </w:rPr>
        <w:t>a</w:t>
      </w:r>
      <w:r w:rsidRPr="00451F90">
        <w:rPr>
          <w:rFonts w:ascii="Arial" w:hAnsi="Arial" w:cs="Arial"/>
          <w:sz w:val="20"/>
          <w:u w:val="single"/>
        </w:rPr>
        <w:t>ntibiotic resistance and antibiotic consumption among Recombinogenic bacteria.</w:t>
      </w:r>
    </w:p>
    <w:p w14:paraId="13D094B6" w14:textId="4E2BFBD4" w:rsidR="00244310" w:rsidRPr="00451F90" w:rsidRDefault="00244310" w:rsidP="00244310">
      <w:pPr>
        <w:rPr>
          <w:rFonts w:ascii="Arial" w:hAnsi="Arial" w:cs="Arial"/>
          <w:sz w:val="20"/>
          <w:u w:val="single"/>
        </w:rPr>
      </w:pPr>
      <w:r w:rsidRPr="00451F90">
        <w:rPr>
          <w:rFonts w:ascii="Arial" w:hAnsi="Arial" w:cs="Arial"/>
          <w:sz w:val="20"/>
          <w:u w:val="single"/>
        </w:rPr>
        <w:t>Layman’s Summary:</w:t>
      </w:r>
    </w:p>
    <w:p w14:paraId="08B1426D" w14:textId="46BE4005" w:rsidR="00B75819" w:rsidRPr="00451F90" w:rsidRDefault="000C47C2" w:rsidP="00244310">
      <w:pPr>
        <w:rPr>
          <w:rFonts w:ascii="Arial" w:hAnsi="Arial" w:cs="Arial"/>
          <w:sz w:val="20"/>
        </w:rPr>
      </w:pPr>
      <w:r w:rsidRPr="00451F90">
        <w:rPr>
          <w:rFonts w:ascii="Arial" w:hAnsi="Arial" w:cs="Arial"/>
          <w:sz w:val="20"/>
        </w:rPr>
        <w:t xml:space="preserve">Bacterial pathogens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 of highly recombinogenic bacteria</w:t>
      </w:r>
      <w:r w:rsidR="00B75819" w:rsidRPr="00451F90">
        <w:rPr>
          <w:rFonts w:ascii="Arial" w:hAnsi="Arial" w:cs="Arial"/>
          <w:sz w:val="20"/>
        </w:rPr>
        <w:t>l species</w:t>
      </w:r>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451F90" w:rsidRDefault="00B75819" w:rsidP="00244310">
      <w:pPr>
        <w:rPr>
          <w:rFonts w:ascii="Arial" w:hAnsi="Arial" w:cs="Arial"/>
          <w:sz w:val="20"/>
          <w:u w:val="single"/>
        </w:rPr>
      </w:pPr>
      <w:r w:rsidRPr="00451F90">
        <w:rPr>
          <w:rFonts w:ascii="Arial" w:hAnsi="Arial" w:cs="Arial"/>
          <w:sz w:val="20"/>
          <w:u w:val="single"/>
        </w:rPr>
        <w:t>Background:</w:t>
      </w:r>
    </w:p>
    <w:p w14:paraId="2091EE45" w14:textId="043051CF"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r w:rsidR="00F10EDF" w:rsidRPr="00451F90">
        <w:rPr>
          <w:rFonts w:ascii="Arial" w:hAnsi="Arial" w:cs="Arial"/>
          <w:i/>
          <w:sz w:val="20"/>
        </w:rPr>
        <w:t xml:space="preserve">N. meningitidis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825969" w:rsidRPr="00451F90">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825969" w:rsidRPr="00451F90">
        <w:rPr>
          <w:rFonts w:ascii="Arial" w:hAnsi="Arial" w:cs="Arial"/>
          <w:sz w:val="20"/>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825969" w:rsidRPr="00451F90">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825969" w:rsidRPr="00451F90">
        <w:rPr>
          <w:rFonts w:ascii="Arial" w:hAnsi="Arial" w:cs="Arial"/>
          <w:sz w:val="20"/>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0C636631"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825969" w:rsidRPr="00451F90">
        <w:rPr>
          <w:rFonts w:ascii="Arial" w:hAnsi="Arial" w:cs="Arial"/>
          <w:sz w:val="20"/>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825969" w:rsidRPr="00451F90">
        <w:rPr>
          <w:rFonts w:ascii="Arial" w:hAnsi="Arial" w:cs="Arial"/>
          <w:sz w:val="20"/>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825969" w:rsidRPr="00451F90">
        <w:rPr>
          <w:rFonts w:ascii="Arial" w:hAnsi="Arial" w:cs="Arial"/>
          <w:sz w:val="20"/>
        </w:rPr>
        <w:t>(3)</w:t>
      </w:r>
      <w:r w:rsidR="00825969" w:rsidRPr="00451F90">
        <w:rPr>
          <w:rFonts w:ascii="Arial" w:hAnsi="Arial" w:cs="Arial"/>
          <w:sz w:val="20"/>
        </w:rPr>
        <w:fldChar w:fldCharType="end"/>
      </w:r>
      <w:r w:rsidR="00825969" w:rsidRPr="00451F90">
        <w:rPr>
          <w:rFonts w:ascii="Arial" w:hAnsi="Arial" w:cs="Arial"/>
          <w:sz w:val="20"/>
        </w:rPr>
        <w:t>.</w:t>
      </w:r>
    </w:p>
    <w:p w14:paraId="6170311E" w14:textId="0888C6B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825969" w:rsidRPr="00451F90">
        <w:rPr>
          <w:rFonts w:ascii="Arial" w:hAnsi="Arial" w:cs="Arial"/>
          <w:sz w:val="20"/>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1EFD2589" w:rsidR="00087597" w:rsidRPr="00451F90" w:rsidRDefault="00185599" w:rsidP="00F10EDF">
      <w:pPr>
        <w:rPr>
          <w:rFonts w:ascii="Arial" w:hAnsi="Arial" w:cs="Arial"/>
          <w:sz w:val="20"/>
        </w:rPr>
      </w:pPr>
      <w:r w:rsidRPr="00451F90">
        <w:rPr>
          <w:rFonts w:ascii="Arial" w:hAnsi="Arial" w:cs="Arial"/>
          <w:sz w:val="20"/>
        </w:rPr>
        <w:t>Furthermore, the level of antibiotic resistance 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825969" w:rsidRPr="00451F90">
        <w:rPr>
          <w:rFonts w:ascii="Arial" w:hAnsi="Arial" w:cs="Arial"/>
          <w:sz w:val="20"/>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resistance of antibiotics. Further understanding of this relationship is of great importance in mitigating the development of further resistance.</w:t>
      </w:r>
    </w:p>
    <w:p w14:paraId="3EB3D7C6" w14:textId="5B56396C"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825969" w:rsidRPr="00451F90">
        <w:rPr>
          <w:rFonts w:ascii="Arial" w:hAnsi="Arial" w:cs="Arial"/>
          <w:sz w:val="20"/>
        </w:rPr>
        <w:t>(6)</w:t>
      </w:r>
      <w:r w:rsidR="00825969" w:rsidRPr="00451F90">
        <w:rPr>
          <w:rFonts w:ascii="Arial" w:hAnsi="Arial" w:cs="Arial"/>
          <w:sz w:val="20"/>
        </w:rPr>
        <w:fldChar w:fldCharType="end"/>
      </w:r>
      <w:r w:rsidRPr="00451F90">
        <w:rPr>
          <w:rFonts w:ascii="Arial" w:hAnsi="Arial" w:cs="Arial"/>
          <w:sz w:val="20"/>
        </w:rPr>
        <w:t>. This type of analysis however, only allows you to infer a correlation between antibiotic use and resistance</w:t>
      </w:r>
      <w:r w:rsidR="00153539" w:rsidRPr="00451F90">
        <w:rPr>
          <w:rFonts w:ascii="Arial" w:hAnsi="Arial" w:cs="Arial"/>
          <w:sz w:val="20"/>
        </w:rPr>
        <w:t xml:space="preserve">, it doesn’t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28930D16"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825969" w:rsidRPr="00451F90">
        <w:rPr>
          <w:rFonts w:ascii="Arial" w:hAnsi="Arial" w:cs="Arial"/>
          <w:sz w:val="20"/>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w:t>
      </w:r>
      <w:r w:rsidR="001255D0" w:rsidRPr="00451F90">
        <w:rPr>
          <w:rFonts w:ascii="Arial" w:hAnsi="Arial" w:cs="Arial"/>
          <w:sz w:val="20"/>
        </w:rPr>
        <w:lastRenderedPageBreak/>
        <w:t>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79D3D8AA" w:rsidR="00BF1040" w:rsidRPr="00451F90" w:rsidRDefault="003B1866" w:rsidP="00244310">
      <w:pPr>
        <w:rPr>
          <w:rFonts w:ascii="Arial" w:hAnsi="Arial" w:cs="Arial"/>
          <w:sz w:val="20"/>
        </w:rPr>
      </w:pPr>
      <w:r w:rsidRPr="00451F90">
        <w:rPr>
          <w:rFonts w:ascii="Arial" w:hAnsi="Arial" w:cs="Arial"/>
          <w:sz w:val="20"/>
        </w:rPr>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proofErr w:type="gramStart"/>
      <w:r w:rsidRPr="00451F90">
        <w:rPr>
          <w:rFonts w:ascii="Arial" w:hAnsi="Arial" w:cs="Arial"/>
          <w:i/>
          <w:sz w:val="20"/>
        </w:rPr>
        <w:t>S.aurues</w:t>
      </w:r>
      <w:proofErr w:type="spellEnd"/>
      <w:proofErr w:type="gramEnd"/>
      <w:r w:rsidR="00825969" w:rsidRPr="00451F90">
        <w:rPr>
          <w:rFonts w:ascii="Arial" w:hAnsi="Arial" w:cs="Arial"/>
          <w:i/>
          <w:sz w:val="20"/>
        </w:rPr>
        <w:t xml:space="preserve"> </w:t>
      </w:r>
      <w:r w:rsidR="00825969" w:rsidRPr="00451F90">
        <w:rPr>
          <w:rFonts w:ascii="Arial" w:hAnsi="Arial" w:cs="Arial"/>
          <w:i/>
          <w:sz w:val="20"/>
        </w:rPr>
        <w:fldChar w:fldCharType="begin"/>
      </w:r>
      <w:r w:rsidR="00825969" w:rsidRPr="00451F90">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825969" w:rsidRPr="00451F90">
        <w:rPr>
          <w:rFonts w:ascii="Arial" w:hAnsi="Arial" w:cs="Arial"/>
          <w:i/>
          <w:sz w:val="20"/>
        </w:rPr>
        <w:t>(8</w:t>
      </w:r>
      <w:r w:rsidR="00825969" w:rsidRPr="00451F90">
        <w:rPr>
          <w:rFonts w:ascii="Arial" w:hAnsi="Arial" w:cs="Arial"/>
          <w:sz w:val="20"/>
        </w:rPr>
        <w:t>)</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825969" w:rsidRPr="00451F90">
        <w:rPr>
          <w:rFonts w:ascii="Arial" w:hAnsi="Arial" w:cs="Arial"/>
          <w:sz w:val="20"/>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the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we looked at no other class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5291ABC1" w:rsidR="00B52E1C" w:rsidRPr="00451F90" w:rsidRDefault="007E69BF" w:rsidP="00244310">
      <w:pPr>
        <w:rPr>
          <w:rFonts w:ascii="Arial" w:hAnsi="Arial" w:cs="Arial"/>
          <w:sz w:val="20"/>
        </w:rPr>
      </w:pPr>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 xml:space="preserve">past population dynamics of recombinogenic isolates. 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p>
    <w:p w14:paraId="463FC6D7" w14:textId="77777777"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 In the process we will develop a tool allowing for the evaluation of the past population dynamics of recombinogenic bacteria that can be used by other research groups to look at a range of other problems posed by recombinogenic bacteria.</w:t>
      </w:r>
    </w:p>
    <w:p w14:paraId="5DFAFAA1" w14:textId="77777777" w:rsidR="00480B97" w:rsidRPr="00451F90" w:rsidRDefault="00480B97" w:rsidP="00244310">
      <w:pPr>
        <w:rPr>
          <w:rFonts w:ascii="Arial" w:hAnsi="Arial" w:cs="Arial"/>
          <w:sz w:val="20"/>
          <w:u w:val="single"/>
        </w:rPr>
      </w:pPr>
      <w:r w:rsidRPr="00451F90">
        <w:rPr>
          <w:rFonts w:ascii="Arial" w:hAnsi="Arial" w:cs="Arial"/>
          <w:sz w:val="20"/>
          <w:u w:val="single"/>
        </w:rPr>
        <w:t>Scientific methodology:</w:t>
      </w:r>
    </w:p>
    <w:p w14:paraId="06524B6D" w14:textId="161894FF"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proofErr w:type="gramStart"/>
      <w:r w:rsidR="00873EE6" w:rsidRPr="00451F90">
        <w:rPr>
          <w:rFonts w:ascii="Arial" w:hAnsi="Arial" w:cs="Arial"/>
          <w:sz w:val="20"/>
        </w:rPr>
        <w:t>three phase</w:t>
      </w:r>
      <w:proofErr w:type="gramEnd"/>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xml:space="preserve">) Development of methodology and software for reconstructing the past population </w:t>
      </w:r>
      <w:proofErr w:type="spellStart"/>
      <w:r w:rsidR="00873EE6" w:rsidRPr="00451F90">
        <w:rPr>
          <w:rFonts w:ascii="Arial" w:hAnsi="Arial" w:cs="Arial"/>
          <w:sz w:val="20"/>
        </w:rPr>
        <w:t>dyanmics</w:t>
      </w:r>
      <w:proofErr w:type="spellEnd"/>
      <w:r w:rsidR="00873EE6" w:rsidRPr="00451F90">
        <w:rPr>
          <w:rFonts w:ascii="Arial" w:hAnsi="Arial" w:cs="Arial"/>
          <w:sz w:val="20"/>
        </w:rPr>
        <w:t xml:space="preserve">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65F39516" w:rsidR="00873EE6" w:rsidRPr="00451F90" w:rsidRDefault="00377653" w:rsidP="00244310">
      <w:pPr>
        <w:rPr>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Then they will further the work of </w:t>
      </w:r>
      <w:proofErr w:type="spellStart"/>
      <w:r w:rsidR="005E4ADB" w:rsidRPr="00451F90">
        <w:rPr>
          <w:rFonts w:ascii="Arial" w:hAnsi="Arial" w:cs="Arial"/>
          <w:sz w:val="20"/>
        </w:rPr>
        <w:t>Sagulenko</w:t>
      </w:r>
      <w:proofErr w:type="spellEnd"/>
      <w:r w:rsidR="005E4ADB" w:rsidRPr="00451F90">
        <w:rPr>
          <w:rFonts w:ascii="Arial" w:hAnsi="Arial" w:cs="Arial"/>
          <w:sz w:val="20"/>
        </w:rPr>
        <w:t xml:space="preserve"> et al 2017 in forming an accurate ML estimate of a time calibrated phylogeny for the isolates. This will then feed into work by Volz and Didelot 2018, enabling for the estimation of the association between N</w:t>
      </w:r>
      <w:r w:rsidR="005E4ADB" w:rsidRPr="00451F90">
        <w:rPr>
          <w:rFonts w:ascii="Arial" w:hAnsi="Arial" w:cs="Arial"/>
          <w:sz w:val="20"/>
          <w:vertAlign w:val="subscript"/>
        </w:rPr>
        <w:t>e</w:t>
      </w:r>
      <w:r w:rsidR="005E4ADB" w:rsidRPr="00451F90">
        <w:rPr>
          <w:rFonts w:ascii="Arial" w:hAnsi="Arial" w:cs="Arial"/>
          <w:sz w:val="20"/>
        </w:rPr>
        <w:t xml:space="preserve"> of a clade of isolates and the consumption of antibiotics. </w:t>
      </w:r>
    </w:p>
    <w:p w14:paraId="794250A0" w14:textId="74039918"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the mauve software</w:t>
      </w:r>
      <w:r w:rsidR="00825969" w:rsidRPr="00451F90">
        <w:rPr>
          <w:rFonts w:ascii="Arial" w:hAnsi="Arial" w:cs="Arial"/>
          <w:sz w:val="20"/>
        </w:rPr>
        <w:t xml:space="preserve"> </w:t>
      </w:r>
      <w:r w:rsidR="00825969" w:rsidRPr="00451F90">
        <w:rPr>
          <w:rFonts w:ascii="Arial" w:hAnsi="Arial" w:cs="Arial"/>
          <w:sz w:val="20"/>
        </w:rPr>
        <w:fldChar w:fldCharType="begin"/>
      </w:r>
      <w:r w:rsidR="00825969" w:rsidRPr="00451F90">
        <w:rPr>
          <w:rFonts w:ascii="Arial" w:hAnsi="Arial" w:cs="Arial"/>
          <w:sz w:val="20"/>
        </w:rPr>
        <w:instrText>ADDIN RW.CITE{{doc:5ae9cc5ee4b008184dc94cd1 Darling,AaronCE 2004}}</w:instrText>
      </w:r>
      <w:r w:rsidR="00825969" w:rsidRPr="00451F90">
        <w:rPr>
          <w:rFonts w:ascii="Arial" w:hAnsi="Arial" w:cs="Arial"/>
          <w:sz w:val="20"/>
        </w:rPr>
        <w:fldChar w:fldCharType="separate"/>
      </w:r>
      <w:r w:rsidR="00825969" w:rsidRPr="00451F90">
        <w:rPr>
          <w:rFonts w:ascii="Arial" w:hAnsi="Arial" w:cs="Arial"/>
          <w:sz w:val="20"/>
        </w:rPr>
        <w:t>(10)</w:t>
      </w:r>
      <w:r w:rsidR="00825969" w:rsidRPr="00451F90">
        <w:rPr>
          <w:rFonts w:ascii="Arial" w:hAnsi="Arial" w:cs="Arial"/>
          <w:sz w:val="20"/>
        </w:rPr>
        <w:fldChar w:fldCharType="end"/>
      </w:r>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will be developed from Gubbins, Croucher et al 2015,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825969" w:rsidRPr="00451F90">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825969" w:rsidRPr="00451F90">
        <w:rPr>
          <w:rFonts w:ascii="Arial" w:hAnsi="Arial" w:cs="Arial"/>
          <w:sz w:val="20"/>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technique could produce false 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w:t>
      </w:r>
      <w:r w:rsidR="00E55934" w:rsidRPr="00451F90">
        <w:rPr>
          <w:rFonts w:ascii="Arial" w:hAnsi="Arial" w:cs="Arial"/>
          <w:sz w:val="20"/>
        </w:rPr>
        <w:lastRenderedPageBreak/>
        <w:t>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et al 2015 note, there have been relatively small differences in point mutation rates noted across bacterial genomes.</w:t>
      </w:r>
    </w:p>
    <w:p w14:paraId="2841EEE9" w14:textId="3374DA04" w:rsidR="008E2899" w:rsidRPr="00451F90" w:rsidRDefault="000B3006" w:rsidP="00244310">
      <w:pPr>
        <w:rPr>
          <w:rFonts w:ascii="Arial" w:hAnsi="Arial" w:cs="Arial"/>
          <w:sz w:val="20"/>
        </w:rPr>
      </w:pPr>
      <w:r w:rsidRPr="00451F90">
        <w:rPr>
          <w:rFonts w:ascii="Arial" w:hAnsi="Arial" w:cs="Arial"/>
          <w:sz w:val="20"/>
        </w:rPr>
        <w:t xml:space="preserve">More sophisticated Bayesian techniques for estimating possible recombination within bacterial alignments have been implemented in </w:t>
      </w:r>
      <w:proofErr w:type="spellStart"/>
      <w:r w:rsidRPr="00451F90">
        <w:rPr>
          <w:rFonts w:ascii="Arial" w:hAnsi="Arial" w:cs="Arial"/>
          <w:sz w:val="20"/>
        </w:rPr>
        <w:t>ClonalFrame</w:t>
      </w:r>
      <w:proofErr w:type="spellEnd"/>
      <w:r w:rsidRPr="00451F90">
        <w:rPr>
          <w:rFonts w:ascii="Arial" w:hAnsi="Arial" w:cs="Arial"/>
          <w:sz w:val="20"/>
        </w:rPr>
        <w:t xml:space="preserve"> from Didelot and </w:t>
      </w:r>
      <w:proofErr w:type="spellStart"/>
      <w:r w:rsidRPr="00451F90">
        <w:rPr>
          <w:rFonts w:ascii="Arial" w:hAnsi="Arial" w:cs="Arial"/>
          <w:sz w:val="20"/>
        </w:rPr>
        <w:t>Falush</w:t>
      </w:r>
      <w:proofErr w:type="spellEnd"/>
      <w:r w:rsidRPr="00451F90">
        <w:rPr>
          <w:rFonts w:ascii="Arial" w:hAnsi="Arial" w:cs="Arial"/>
          <w:sz w:val="20"/>
        </w:rPr>
        <w:t xml:space="preserve"> 2007.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5E6D84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A97A6D" w:rsidRPr="00451F90">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825969" w:rsidRPr="00451F90">
        <w:rPr>
          <w:rFonts w:ascii="Arial" w:hAnsi="Arial" w:cs="Arial"/>
          <w:sz w:val="20"/>
        </w:rPr>
        <w:t>(12)</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716B38" w:rsidRPr="00451F90">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825969" w:rsidRPr="00451F90">
        <w:rPr>
          <w:rFonts w:ascii="Arial" w:hAnsi="Arial" w:cs="Arial"/>
          <w:sz w:val="20"/>
        </w:rPr>
        <w:t>(13)</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716B38" w:rsidRPr="00451F90">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825969" w:rsidRPr="00451F90">
        <w:rPr>
          <w:rFonts w:ascii="Arial" w:hAnsi="Arial" w:cs="Arial"/>
          <w:sz w:val="20"/>
        </w:rPr>
        <w:t>(14)</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787B7E9D" w:rsidR="002957AD" w:rsidRPr="00451F90" w:rsidRDefault="002957AD" w:rsidP="00244310">
      <w:pPr>
        <w:rPr>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D73206" w:rsidRPr="00451F90">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D73206" w:rsidRPr="00451F90">
        <w:rPr>
          <w:rFonts w:ascii="Arial" w:hAnsi="Arial" w:cs="Arial"/>
          <w:sz w:val="20"/>
        </w:rPr>
        <w:t>(15)</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D73206" w:rsidRPr="00451F90">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D73206" w:rsidRPr="00451F90">
        <w:rPr>
          <w:rFonts w:ascii="Arial" w:hAnsi="Arial" w:cs="Arial"/>
          <w:sz w:val="20"/>
        </w:rPr>
        <w:t>(14)</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34B53BC8" w14:textId="604E1003" w:rsidR="006502F3" w:rsidRPr="00451F90" w:rsidRDefault="006502F3" w:rsidP="00244310">
      <w:pPr>
        <w:rPr>
          <w:rFonts w:ascii="Arial" w:hAnsi="Arial" w:cs="Arial"/>
          <w:sz w:val="20"/>
        </w:rPr>
      </w:pPr>
      <w:r w:rsidRPr="00451F90">
        <w:rPr>
          <w:rFonts w:ascii="Arial" w:hAnsi="Arial" w:cs="Arial"/>
          <w:sz w:val="20"/>
        </w:rPr>
        <w:t xml:space="preserve">This would represent the final step in our methodology, which would be combined by the post-doc into one pipeline for further analysis. </w:t>
      </w:r>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77777777"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antibiotic consumption and the spread of antibiotic resistance among German isolates of pneumococcus. We already have a large WGS dataset for IPD isolates from Germany which we will use for an input to our tool. My Co-I 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451F90" w:rsidRDefault="006E0886" w:rsidP="00244310">
      <w:pPr>
        <w:rPr>
          <w:rFonts w:ascii="Arial" w:hAnsi="Arial" w:cs="Arial"/>
          <w:sz w:val="20"/>
          <w:u w:val="single"/>
        </w:rPr>
      </w:pPr>
      <w:r w:rsidRPr="00451F90">
        <w:rPr>
          <w:rFonts w:ascii="Arial" w:hAnsi="Arial" w:cs="Arial"/>
          <w:sz w:val="20"/>
          <w:u w:val="single"/>
        </w:rPr>
        <w:t>Timeliness and novelty:</w:t>
      </w:r>
    </w:p>
    <w:p w14:paraId="5E037418" w14:textId="77777777" w:rsidR="00802F19" w:rsidRPr="00451F90" w:rsidRDefault="006E0886" w:rsidP="00244310">
      <w:pPr>
        <w:rPr>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r w:rsidR="00C51196" w:rsidRPr="00451F90">
        <w:rPr>
          <w:rFonts w:ascii="Arial" w:hAnsi="Arial" w:cs="Arial"/>
          <w:sz w:val="20"/>
        </w:rPr>
        <w:t xml:space="preserve"> The output of a molecular clock scaled phylogenetic tree will </w:t>
      </w:r>
      <w:r w:rsidR="00C51196" w:rsidRPr="00451F90">
        <w:rPr>
          <w:rFonts w:ascii="Arial" w:hAnsi="Arial" w:cs="Arial"/>
          <w:sz w:val="20"/>
        </w:rPr>
        <w:lastRenderedPageBreak/>
        <w:t xml:space="preserve">enable powerful phylodynamic tools to be employed for the first time among these recombinogenic bacteria, enabling inference of a range of epidemiological process, from spatial spread to population dynamics. Our methodology </w:t>
      </w:r>
      <w:proofErr w:type="gramStart"/>
      <w:r w:rsidR="00C51196" w:rsidRPr="00451F90">
        <w:rPr>
          <w:rFonts w:ascii="Arial" w:hAnsi="Arial" w:cs="Arial"/>
          <w:sz w:val="20"/>
        </w:rPr>
        <w:t>in particular allows</w:t>
      </w:r>
      <w:proofErr w:type="gramEnd"/>
      <w:r w:rsidR="00C51196" w:rsidRPr="00451F90">
        <w:rPr>
          <w:rFonts w:ascii="Arial" w:hAnsi="Arial" w:cs="Arial"/>
          <w:sz w:val="20"/>
        </w:rPr>
        <w:t xml:space="preserve">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4442F765" w14:textId="1F1E4FB1" w:rsidR="00E528B5" w:rsidRPr="00451F90" w:rsidRDefault="00802F19" w:rsidP="00244310">
      <w:pPr>
        <w:rPr>
          <w:rFonts w:ascii="Arial" w:hAnsi="Arial" w:cs="Arial"/>
          <w:sz w:val="20"/>
          <w:u w:val="single"/>
        </w:rPr>
      </w:pPr>
      <w:proofErr w:type="spellStart"/>
      <w:r w:rsidRPr="00451F90">
        <w:rPr>
          <w:rFonts w:ascii="Arial" w:hAnsi="Arial" w:cs="Arial"/>
          <w:sz w:val="20"/>
          <w:u w:val="single"/>
        </w:rPr>
        <w:t>Programme</w:t>
      </w:r>
      <w:proofErr w:type="spellEnd"/>
      <w:r w:rsidRPr="00451F90">
        <w:rPr>
          <w:rFonts w:ascii="Arial" w:hAnsi="Arial" w:cs="Arial"/>
          <w:sz w:val="20"/>
          <w:u w:val="single"/>
        </w:rPr>
        <w:t xml:space="preserve"> of work: </w:t>
      </w:r>
      <w:r w:rsidR="00C51196" w:rsidRPr="00451F90">
        <w:rPr>
          <w:rFonts w:ascii="Arial" w:hAnsi="Arial" w:cs="Arial"/>
          <w:sz w:val="20"/>
          <w:u w:val="single"/>
        </w:rPr>
        <w:t xml:space="preserve">   </w:t>
      </w:r>
      <w:r w:rsidR="008925F0" w:rsidRPr="00451F90">
        <w:rPr>
          <w:rFonts w:ascii="Arial" w:hAnsi="Arial" w:cs="Arial"/>
          <w:sz w:val="20"/>
          <w:u w:val="single"/>
        </w:rPr>
        <w:t xml:space="preserve"> </w:t>
      </w:r>
      <w:r w:rsidR="006E0886" w:rsidRPr="00451F90">
        <w:rPr>
          <w:rFonts w:ascii="Arial" w:hAnsi="Arial" w:cs="Arial"/>
          <w:sz w:val="20"/>
          <w:u w:val="single"/>
        </w:rPr>
        <w:t xml:space="preserve">  </w:t>
      </w:r>
      <w:r w:rsidR="002B1D4A" w:rsidRPr="00451F90">
        <w:rPr>
          <w:rFonts w:ascii="Arial" w:hAnsi="Arial" w:cs="Arial"/>
          <w:sz w:val="20"/>
          <w:u w:val="single"/>
        </w:rPr>
        <w:t xml:space="preserve">   </w:t>
      </w:r>
    </w:p>
    <w:tbl>
      <w:tblPr>
        <w:tblStyle w:val="TableGrid"/>
        <w:tblW w:w="0" w:type="auto"/>
        <w:tblLook w:val="04A0" w:firstRow="1" w:lastRow="0" w:firstColumn="1" w:lastColumn="0" w:noHBand="0" w:noVBand="1"/>
      </w:tblPr>
      <w:tblGrid>
        <w:gridCol w:w="3114"/>
        <w:gridCol w:w="1026"/>
        <w:gridCol w:w="1230"/>
        <w:gridCol w:w="1231"/>
        <w:gridCol w:w="1231"/>
        <w:gridCol w:w="1520"/>
      </w:tblGrid>
      <w:tr w:rsidR="0089612E" w:rsidRPr="00451F90" w14:paraId="4BF3F85E" w14:textId="77777777" w:rsidTr="002A669F">
        <w:trPr>
          <w:trHeight w:val="630"/>
        </w:trPr>
        <w:tc>
          <w:tcPr>
            <w:tcW w:w="3114" w:type="dxa"/>
            <w:vMerge w:val="restart"/>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5"/>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2A669F">
        <w:trPr>
          <w:trHeight w:val="630"/>
        </w:trPr>
        <w:tc>
          <w:tcPr>
            <w:tcW w:w="3114" w:type="dxa"/>
            <w:vMerge/>
          </w:tcPr>
          <w:p w14:paraId="4DC51794" w14:textId="77777777" w:rsidR="0089612E" w:rsidRPr="00451F90" w:rsidRDefault="0089612E" w:rsidP="0089612E">
            <w:pPr>
              <w:rPr>
                <w:rFonts w:ascii="Arial" w:hAnsi="Arial" w:cs="Arial"/>
                <w:sz w:val="20"/>
              </w:rPr>
            </w:pPr>
          </w:p>
        </w:tc>
        <w:tc>
          <w:tcPr>
            <w:tcW w:w="1026" w:type="dxa"/>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2A669F">
        <w:tc>
          <w:tcPr>
            <w:tcW w:w="3114" w:type="dxa"/>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
          <w:p w14:paraId="3F0984D4" w14:textId="77777777" w:rsidR="0089612E" w:rsidRPr="00451F90" w:rsidRDefault="0089612E" w:rsidP="0089612E">
            <w:pPr>
              <w:rPr>
                <w:rFonts w:ascii="Arial" w:hAnsi="Arial" w:cs="Arial"/>
                <w:sz w:val="20"/>
              </w:rPr>
            </w:pPr>
          </w:p>
        </w:tc>
        <w:tc>
          <w:tcPr>
            <w:tcW w:w="1230" w:type="dxa"/>
          </w:tcPr>
          <w:p w14:paraId="6B3990FB" w14:textId="77777777" w:rsidR="0089612E" w:rsidRPr="00451F90" w:rsidRDefault="0089612E" w:rsidP="0089612E">
            <w:pPr>
              <w:rPr>
                <w:rFonts w:ascii="Arial" w:hAnsi="Arial" w:cs="Arial"/>
                <w:sz w:val="20"/>
              </w:rPr>
            </w:pPr>
          </w:p>
        </w:tc>
        <w:tc>
          <w:tcPr>
            <w:tcW w:w="1231" w:type="dxa"/>
          </w:tcPr>
          <w:p w14:paraId="1A7BD077" w14:textId="77777777" w:rsidR="0089612E" w:rsidRPr="00451F90" w:rsidRDefault="0089612E" w:rsidP="0089612E">
            <w:pPr>
              <w:rPr>
                <w:rFonts w:ascii="Arial" w:hAnsi="Arial" w:cs="Arial"/>
                <w:sz w:val="20"/>
              </w:rPr>
            </w:pPr>
          </w:p>
        </w:tc>
        <w:tc>
          <w:tcPr>
            <w:tcW w:w="1231" w:type="dxa"/>
          </w:tcPr>
          <w:p w14:paraId="1AF932A2" w14:textId="77777777" w:rsidR="0089612E" w:rsidRPr="00451F90" w:rsidRDefault="0089612E" w:rsidP="0089612E">
            <w:pPr>
              <w:rPr>
                <w:rFonts w:ascii="Arial" w:hAnsi="Arial" w:cs="Arial"/>
                <w:sz w:val="20"/>
              </w:rPr>
            </w:pPr>
          </w:p>
        </w:tc>
        <w:tc>
          <w:tcPr>
            <w:tcW w:w="1520" w:type="dxa"/>
          </w:tcPr>
          <w:p w14:paraId="65183CAD" w14:textId="77777777" w:rsidR="0089612E" w:rsidRPr="00451F90" w:rsidRDefault="0089612E" w:rsidP="0089612E">
            <w:pPr>
              <w:rPr>
                <w:rFonts w:ascii="Arial" w:hAnsi="Arial" w:cs="Arial"/>
                <w:sz w:val="20"/>
              </w:rPr>
            </w:pPr>
          </w:p>
        </w:tc>
      </w:tr>
      <w:tr w:rsidR="0089612E" w:rsidRPr="00451F90" w14:paraId="36354622" w14:textId="77777777" w:rsidTr="002A669F">
        <w:tc>
          <w:tcPr>
            <w:tcW w:w="3114" w:type="dxa"/>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
          <w:p w14:paraId="7ADB0B24" w14:textId="77777777" w:rsidR="0089612E" w:rsidRPr="00451F90" w:rsidRDefault="0089612E" w:rsidP="0089612E">
            <w:pPr>
              <w:rPr>
                <w:rFonts w:ascii="Arial" w:hAnsi="Arial" w:cs="Arial"/>
                <w:sz w:val="20"/>
              </w:rPr>
            </w:pPr>
          </w:p>
        </w:tc>
        <w:tc>
          <w:tcPr>
            <w:tcW w:w="1231" w:type="dxa"/>
          </w:tcPr>
          <w:p w14:paraId="4047670E" w14:textId="77777777" w:rsidR="0089612E" w:rsidRPr="00451F90" w:rsidRDefault="0089612E" w:rsidP="0089612E">
            <w:pPr>
              <w:rPr>
                <w:rFonts w:ascii="Arial" w:hAnsi="Arial" w:cs="Arial"/>
                <w:sz w:val="20"/>
              </w:rPr>
            </w:pPr>
          </w:p>
        </w:tc>
        <w:tc>
          <w:tcPr>
            <w:tcW w:w="1231" w:type="dxa"/>
          </w:tcPr>
          <w:p w14:paraId="0E494B0C" w14:textId="77777777" w:rsidR="0089612E" w:rsidRPr="00451F90" w:rsidRDefault="0089612E" w:rsidP="0089612E">
            <w:pPr>
              <w:rPr>
                <w:rFonts w:ascii="Arial" w:hAnsi="Arial" w:cs="Arial"/>
                <w:sz w:val="20"/>
              </w:rPr>
            </w:pPr>
          </w:p>
        </w:tc>
        <w:tc>
          <w:tcPr>
            <w:tcW w:w="1520" w:type="dxa"/>
          </w:tcPr>
          <w:p w14:paraId="2CD0BF5C" w14:textId="77777777" w:rsidR="0089612E" w:rsidRPr="00451F90" w:rsidRDefault="0089612E" w:rsidP="0089612E">
            <w:pPr>
              <w:rPr>
                <w:rFonts w:ascii="Arial" w:hAnsi="Arial" w:cs="Arial"/>
                <w:sz w:val="20"/>
              </w:rPr>
            </w:pPr>
          </w:p>
        </w:tc>
      </w:tr>
      <w:tr w:rsidR="0089612E" w:rsidRPr="00451F90" w14:paraId="3EDE21A7" w14:textId="77777777" w:rsidTr="002A669F">
        <w:tc>
          <w:tcPr>
            <w:tcW w:w="3114" w:type="dxa"/>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
          <w:p w14:paraId="37AE18FE" w14:textId="77777777" w:rsidR="0089612E" w:rsidRPr="00451F90" w:rsidRDefault="0089612E" w:rsidP="0089612E">
            <w:pPr>
              <w:rPr>
                <w:rFonts w:ascii="Arial" w:hAnsi="Arial" w:cs="Arial"/>
                <w:sz w:val="20"/>
              </w:rPr>
            </w:pPr>
          </w:p>
        </w:tc>
        <w:tc>
          <w:tcPr>
            <w:tcW w:w="1230" w:type="dxa"/>
          </w:tcPr>
          <w:p w14:paraId="2D019D78" w14:textId="77777777" w:rsidR="0089612E" w:rsidRPr="00451F90" w:rsidRDefault="0089612E" w:rsidP="0089612E">
            <w:pPr>
              <w:rPr>
                <w:rFonts w:ascii="Arial" w:hAnsi="Arial" w:cs="Arial"/>
                <w:sz w:val="20"/>
              </w:rPr>
            </w:pPr>
          </w:p>
        </w:tc>
        <w:tc>
          <w:tcPr>
            <w:tcW w:w="1231" w:type="dxa"/>
            <w:shd w:val="clear" w:color="auto" w:fill="000000" w:themeFill="text1"/>
          </w:tcPr>
          <w:p w14:paraId="3202CC3A" w14:textId="77777777" w:rsidR="0089612E" w:rsidRPr="00451F90" w:rsidRDefault="0089612E" w:rsidP="0089612E">
            <w:pPr>
              <w:rPr>
                <w:rFonts w:ascii="Arial" w:hAnsi="Arial" w:cs="Arial"/>
                <w:sz w:val="20"/>
              </w:rPr>
            </w:pPr>
          </w:p>
        </w:tc>
        <w:tc>
          <w:tcPr>
            <w:tcW w:w="1231" w:type="dxa"/>
          </w:tcPr>
          <w:p w14:paraId="3061996C" w14:textId="77777777" w:rsidR="0089612E" w:rsidRPr="00451F90" w:rsidRDefault="0089612E" w:rsidP="0089612E">
            <w:pPr>
              <w:rPr>
                <w:rFonts w:ascii="Arial" w:hAnsi="Arial" w:cs="Arial"/>
                <w:sz w:val="20"/>
              </w:rPr>
            </w:pPr>
          </w:p>
        </w:tc>
        <w:tc>
          <w:tcPr>
            <w:tcW w:w="1520" w:type="dxa"/>
          </w:tcPr>
          <w:p w14:paraId="2B47A199" w14:textId="77777777" w:rsidR="0089612E" w:rsidRPr="00451F90" w:rsidRDefault="0089612E" w:rsidP="0089612E">
            <w:pPr>
              <w:rPr>
                <w:rFonts w:ascii="Arial" w:hAnsi="Arial" w:cs="Arial"/>
                <w:sz w:val="20"/>
              </w:rPr>
            </w:pPr>
          </w:p>
        </w:tc>
      </w:tr>
      <w:tr w:rsidR="0089612E" w:rsidRPr="00451F90" w14:paraId="1A0B56F7" w14:textId="77777777" w:rsidTr="002A669F">
        <w:tc>
          <w:tcPr>
            <w:tcW w:w="3114" w:type="dxa"/>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
          <w:p w14:paraId="6224BEAF" w14:textId="77777777" w:rsidR="0089612E" w:rsidRPr="00451F90" w:rsidRDefault="0089612E" w:rsidP="0089612E">
            <w:pPr>
              <w:rPr>
                <w:rFonts w:ascii="Arial" w:hAnsi="Arial" w:cs="Arial"/>
                <w:sz w:val="20"/>
              </w:rPr>
            </w:pPr>
          </w:p>
        </w:tc>
        <w:tc>
          <w:tcPr>
            <w:tcW w:w="1230" w:type="dxa"/>
          </w:tcPr>
          <w:p w14:paraId="36B42541" w14:textId="77777777" w:rsidR="0089612E" w:rsidRPr="00451F90" w:rsidRDefault="0089612E" w:rsidP="0089612E">
            <w:pPr>
              <w:rPr>
                <w:rFonts w:ascii="Arial" w:hAnsi="Arial" w:cs="Arial"/>
                <w:sz w:val="20"/>
              </w:rPr>
            </w:pPr>
          </w:p>
        </w:tc>
        <w:tc>
          <w:tcPr>
            <w:tcW w:w="1231" w:type="dxa"/>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
          <w:p w14:paraId="5942EA09" w14:textId="77777777" w:rsidR="0089612E" w:rsidRPr="00451F90" w:rsidRDefault="0089612E" w:rsidP="0089612E">
            <w:pPr>
              <w:rPr>
                <w:rFonts w:ascii="Arial" w:hAnsi="Arial" w:cs="Arial"/>
                <w:sz w:val="20"/>
              </w:rPr>
            </w:pPr>
          </w:p>
        </w:tc>
        <w:tc>
          <w:tcPr>
            <w:tcW w:w="1520" w:type="dxa"/>
          </w:tcPr>
          <w:p w14:paraId="771953FA" w14:textId="77777777" w:rsidR="0089612E" w:rsidRPr="00451F90" w:rsidRDefault="0089612E" w:rsidP="0089612E">
            <w:pPr>
              <w:rPr>
                <w:rFonts w:ascii="Arial" w:hAnsi="Arial" w:cs="Arial"/>
                <w:sz w:val="20"/>
              </w:rPr>
            </w:pPr>
          </w:p>
        </w:tc>
      </w:tr>
      <w:tr w:rsidR="0089612E" w:rsidRPr="00451F90" w14:paraId="140C1E3F" w14:textId="77777777" w:rsidTr="002A669F">
        <w:tc>
          <w:tcPr>
            <w:tcW w:w="3114" w:type="dxa"/>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
          <w:p w14:paraId="53844C23" w14:textId="77777777" w:rsidR="0089612E" w:rsidRPr="00451F90" w:rsidRDefault="0089612E" w:rsidP="0089612E">
            <w:pPr>
              <w:rPr>
                <w:rFonts w:ascii="Arial" w:hAnsi="Arial" w:cs="Arial"/>
                <w:sz w:val="20"/>
              </w:rPr>
            </w:pPr>
          </w:p>
        </w:tc>
        <w:tc>
          <w:tcPr>
            <w:tcW w:w="1230" w:type="dxa"/>
          </w:tcPr>
          <w:p w14:paraId="1569BFF2" w14:textId="77777777" w:rsidR="0089612E" w:rsidRPr="00451F90" w:rsidRDefault="0089612E" w:rsidP="0089612E">
            <w:pPr>
              <w:rPr>
                <w:rFonts w:ascii="Arial" w:hAnsi="Arial" w:cs="Arial"/>
                <w:sz w:val="20"/>
              </w:rPr>
            </w:pPr>
          </w:p>
        </w:tc>
        <w:tc>
          <w:tcPr>
            <w:tcW w:w="1231" w:type="dxa"/>
          </w:tcPr>
          <w:p w14:paraId="14F5699A" w14:textId="77777777" w:rsidR="0089612E" w:rsidRPr="00451F90" w:rsidRDefault="0089612E" w:rsidP="0089612E">
            <w:pPr>
              <w:rPr>
                <w:rFonts w:ascii="Arial" w:hAnsi="Arial" w:cs="Arial"/>
                <w:sz w:val="20"/>
              </w:rPr>
            </w:pPr>
          </w:p>
        </w:tc>
        <w:tc>
          <w:tcPr>
            <w:tcW w:w="1231" w:type="dxa"/>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
          <w:p w14:paraId="44A65132" w14:textId="77777777" w:rsidR="0089612E" w:rsidRPr="00451F90" w:rsidRDefault="0089612E" w:rsidP="0089612E">
            <w:pPr>
              <w:rPr>
                <w:rFonts w:ascii="Arial" w:hAnsi="Arial" w:cs="Arial"/>
                <w:sz w:val="20"/>
              </w:rPr>
            </w:pPr>
          </w:p>
        </w:tc>
      </w:tr>
    </w:tbl>
    <w:p w14:paraId="76DB5724" w14:textId="77777777" w:rsidR="002957AD" w:rsidRPr="00451F90" w:rsidRDefault="002957AD" w:rsidP="00244310">
      <w:pPr>
        <w:rPr>
          <w:rFonts w:ascii="Arial" w:hAnsi="Arial" w:cs="Arial"/>
          <w:sz w:val="20"/>
        </w:rPr>
      </w:pPr>
    </w:p>
    <w:p w14:paraId="4CAB476E" w14:textId="2BC10DFA" w:rsidR="005E4ADB" w:rsidRPr="00451F90" w:rsidRDefault="00C87F63" w:rsidP="00244310">
      <w:pPr>
        <w:rPr>
          <w:rFonts w:ascii="Arial" w:hAnsi="Arial" w:cs="Arial"/>
          <w:sz w:val="20"/>
        </w:rPr>
      </w:pPr>
      <w:r w:rsidRPr="00451F90">
        <w:rPr>
          <w:rFonts w:ascii="Arial" w:hAnsi="Arial" w:cs="Arial"/>
          <w:sz w:val="20"/>
        </w:rPr>
        <w:t xml:space="preserve"> </w:t>
      </w:r>
    </w:p>
    <w:p w14:paraId="4E3A7CF2" w14:textId="48AF12B5" w:rsidR="007E69BF" w:rsidRPr="00451F90" w:rsidRDefault="00B52E1C" w:rsidP="00244310">
      <w:pPr>
        <w:rPr>
          <w:rFonts w:ascii="Arial" w:hAnsi="Arial" w:cs="Arial"/>
          <w:sz w:val="20"/>
        </w:rPr>
      </w:pPr>
      <w:r w:rsidRPr="00451F90">
        <w:rPr>
          <w:rFonts w:ascii="Arial" w:hAnsi="Arial" w:cs="Arial"/>
          <w:sz w:val="20"/>
        </w:rPr>
        <w:t xml:space="preserve"> </w:t>
      </w:r>
      <w:r w:rsidR="0040238F" w:rsidRPr="00451F90">
        <w:rPr>
          <w:rFonts w:ascii="Arial" w:hAnsi="Arial" w:cs="Arial"/>
          <w:sz w:val="20"/>
        </w:rPr>
        <w:t xml:space="preserve">   </w:t>
      </w:r>
    </w:p>
    <w:p w14:paraId="4FEF2832" w14:textId="0995510A" w:rsidR="007E69BF" w:rsidRPr="00451F90" w:rsidRDefault="0089612E" w:rsidP="00244310">
      <w:pPr>
        <w:rPr>
          <w:rFonts w:ascii="Arial" w:hAnsi="Arial" w:cs="Arial"/>
          <w:sz w:val="20"/>
          <w:u w:val="single"/>
        </w:rPr>
      </w:pPr>
      <w:r w:rsidRPr="00451F90">
        <w:rPr>
          <w:rFonts w:ascii="Arial" w:hAnsi="Arial" w:cs="Arial"/>
          <w:sz w:val="20"/>
          <w:u w:val="single"/>
        </w:rPr>
        <w:t>Costing:</w:t>
      </w:r>
    </w:p>
    <w:tbl>
      <w:tblPr>
        <w:tblStyle w:val="TableGrid"/>
        <w:tblW w:w="0" w:type="auto"/>
        <w:tblLook w:val="04A0" w:firstRow="1" w:lastRow="0" w:firstColumn="1" w:lastColumn="0" w:noHBand="0" w:noVBand="1"/>
      </w:tblPr>
      <w:tblGrid>
        <w:gridCol w:w="2562"/>
        <w:gridCol w:w="2521"/>
        <w:gridCol w:w="2510"/>
        <w:gridCol w:w="2369"/>
      </w:tblGrid>
      <w:tr w:rsidR="0089612E" w:rsidRPr="00451F90" w14:paraId="13B17D66" w14:textId="51CE644A" w:rsidTr="0089612E">
        <w:tc>
          <w:tcPr>
            <w:tcW w:w="2562" w:type="dxa"/>
            <w:shd w:val="clear" w:color="auto" w:fill="000000" w:themeFill="text1"/>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89612E">
        <w:tc>
          <w:tcPr>
            <w:tcW w:w="2562" w:type="dxa"/>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89612E">
        <w:tc>
          <w:tcPr>
            <w:tcW w:w="2562" w:type="dxa"/>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89612E">
        <w:tc>
          <w:tcPr>
            <w:tcW w:w="2562" w:type="dxa"/>
          </w:tcPr>
          <w:p w14:paraId="090B0E04" w14:textId="49CC4F19" w:rsidR="0089612E" w:rsidRPr="00451F90" w:rsidRDefault="002A669F" w:rsidP="00244310">
            <w:pPr>
              <w:rPr>
                <w:rFonts w:ascii="Arial" w:hAnsi="Arial" w:cs="Arial"/>
                <w:sz w:val="20"/>
              </w:rPr>
            </w:pPr>
            <w:r w:rsidRPr="00451F90">
              <w:rPr>
                <w:rFonts w:ascii="Arial" w:hAnsi="Arial" w:cs="Arial"/>
                <w:sz w:val="20"/>
              </w:rPr>
              <w:t>Dataset costs</w:t>
            </w:r>
          </w:p>
        </w:tc>
        <w:tc>
          <w:tcPr>
            <w:tcW w:w="2521" w:type="dxa"/>
          </w:tcPr>
          <w:p w14:paraId="0825688D" w14:textId="4A9E5ADF"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28AC70" w14:textId="33A62529" w:rsidR="0089612E" w:rsidRPr="00451F90" w:rsidRDefault="002A669F" w:rsidP="00244310">
            <w:pPr>
              <w:rPr>
                <w:rFonts w:ascii="Arial" w:hAnsi="Arial" w:cs="Arial"/>
                <w:sz w:val="20"/>
              </w:rPr>
            </w:pPr>
            <w:r w:rsidRPr="00451F90">
              <w:rPr>
                <w:rFonts w:ascii="Arial" w:hAnsi="Arial" w:cs="Arial"/>
                <w:sz w:val="20"/>
              </w:rPr>
              <w:t>1</w:t>
            </w:r>
          </w:p>
        </w:tc>
        <w:tc>
          <w:tcPr>
            <w:tcW w:w="2369" w:type="dxa"/>
          </w:tcPr>
          <w:p w14:paraId="6037F43B" w14:textId="0745FCCD" w:rsidR="0089612E" w:rsidRPr="00451F90" w:rsidRDefault="002A669F" w:rsidP="00244310">
            <w:pPr>
              <w:rPr>
                <w:rFonts w:ascii="Arial" w:hAnsi="Arial" w:cs="Arial"/>
                <w:sz w:val="20"/>
              </w:rPr>
            </w:pPr>
            <w:r w:rsidRPr="00451F90">
              <w:rPr>
                <w:rFonts w:ascii="Arial" w:hAnsi="Arial" w:cs="Arial"/>
                <w:sz w:val="20"/>
              </w:rPr>
              <w:t>10,000</w:t>
            </w:r>
          </w:p>
        </w:tc>
      </w:tr>
      <w:tr w:rsidR="0089612E" w:rsidRPr="00451F90" w14:paraId="4D3EBA6A" w14:textId="5DA16229" w:rsidTr="0089612E">
        <w:tc>
          <w:tcPr>
            <w:tcW w:w="2562" w:type="dxa"/>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33F99DC" w14:textId="2B6642AF" w:rsidR="0089612E" w:rsidRPr="00451F90" w:rsidRDefault="002A669F" w:rsidP="00244310">
            <w:pPr>
              <w:rPr>
                <w:rFonts w:ascii="Arial" w:hAnsi="Arial" w:cs="Arial"/>
                <w:sz w:val="20"/>
              </w:rPr>
            </w:pPr>
            <w:r w:rsidRPr="00451F90">
              <w:rPr>
                <w:rFonts w:ascii="Arial" w:hAnsi="Arial" w:cs="Arial"/>
                <w:sz w:val="20"/>
              </w:rPr>
              <w:t>144,830.3</w:t>
            </w:r>
          </w:p>
        </w:tc>
      </w:tr>
      <w:tr w:rsidR="002A669F" w:rsidRPr="00451F90" w14:paraId="1E614B4F" w14:textId="77777777" w:rsidTr="002A669F">
        <w:tc>
          <w:tcPr>
            <w:tcW w:w="7593" w:type="dxa"/>
            <w:gridSpan w:val="3"/>
            <w:tcBorders>
              <w:left w:val="nil"/>
              <w:bottom w:val="nil"/>
            </w:tcBorders>
          </w:tcPr>
          <w:p w14:paraId="7DF8AD8E" w14:textId="77777777" w:rsidR="002A669F" w:rsidRPr="00451F90" w:rsidRDefault="002A669F" w:rsidP="00244310">
            <w:pPr>
              <w:rPr>
                <w:rFonts w:ascii="Arial" w:hAnsi="Arial" w:cs="Arial"/>
                <w:sz w:val="20"/>
              </w:rPr>
            </w:pPr>
          </w:p>
        </w:tc>
        <w:tc>
          <w:tcPr>
            <w:tcW w:w="2369" w:type="dxa"/>
          </w:tcPr>
          <w:p w14:paraId="48271519" w14:textId="37269D49" w:rsidR="002A669F" w:rsidRPr="00451F90" w:rsidRDefault="001A37F1" w:rsidP="00244310">
            <w:pPr>
              <w:rPr>
                <w:rFonts w:ascii="Arial" w:hAnsi="Arial" w:cs="Arial"/>
                <w:b/>
                <w:sz w:val="20"/>
              </w:rPr>
            </w:pPr>
            <w:r w:rsidRPr="00451F90">
              <w:rPr>
                <w:rFonts w:ascii="Arial" w:hAnsi="Arial" w:cs="Arial"/>
                <w:b/>
                <w:sz w:val="20"/>
              </w:rPr>
              <w:t>266,238</w:t>
            </w:r>
          </w:p>
        </w:tc>
      </w:tr>
    </w:tbl>
    <w:p w14:paraId="4052995E" w14:textId="77777777" w:rsidR="0089612E" w:rsidRPr="00451F90" w:rsidRDefault="0089612E" w:rsidP="00244310">
      <w:pPr>
        <w:rPr>
          <w:rFonts w:ascii="Arial" w:hAnsi="Arial" w:cs="Arial"/>
          <w:sz w:val="20"/>
          <w:u w:val="single"/>
        </w:rPr>
      </w:pPr>
    </w:p>
    <w:p w14:paraId="18C0D902" w14:textId="146CC57E" w:rsidR="00B75819" w:rsidRPr="00451F90" w:rsidRDefault="008B75E5" w:rsidP="00244310">
      <w:pPr>
        <w:rPr>
          <w:rFonts w:ascii="Arial" w:hAnsi="Arial" w:cs="Arial"/>
          <w:sz w:val="20"/>
        </w:rPr>
      </w:pPr>
      <w:r w:rsidRPr="00451F90">
        <w:rPr>
          <w:rFonts w:ascii="Arial" w:hAnsi="Arial" w:cs="Arial"/>
          <w:sz w:val="20"/>
        </w:rPr>
        <w:t xml:space="preserve"> </w:t>
      </w:r>
      <w:r w:rsidRPr="00451F90">
        <w:rPr>
          <w:rFonts w:ascii="Arial" w:hAnsi="Arial" w:cs="Arial"/>
          <w:sz w:val="20"/>
          <w:vertAlign w:val="subscript"/>
        </w:rPr>
        <w:t xml:space="preserve"> </w:t>
      </w:r>
      <w:r w:rsidRPr="00451F90">
        <w:rPr>
          <w:rFonts w:ascii="Arial" w:hAnsi="Arial" w:cs="Arial"/>
          <w:sz w:val="20"/>
        </w:rPr>
        <w:t xml:space="preserve">  </w:t>
      </w:r>
      <w:r w:rsidR="003B1866" w:rsidRPr="00451F90">
        <w:rPr>
          <w:rFonts w:ascii="Arial" w:hAnsi="Arial" w:cs="Arial"/>
          <w:sz w:val="20"/>
        </w:rPr>
        <w:t xml:space="preserve"> </w:t>
      </w:r>
      <w:r w:rsidR="001255D0" w:rsidRPr="00451F90">
        <w:rPr>
          <w:rFonts w:ascii="Arial" w:hAnsi="Arial" w:cs="Arial"/>
          <w:sz w:val="20"/>
        </w:rPr>
        <w:t xml:space="preserve"> </w:t>
      </w:r>
    </w:p>
    <w:p w14:paraId="07183537" w14:textId="3D5A5008" w:rsidR="00B75819" w:rsidRPr="00451F90" w:rsidRDefault="001A37F1" w:rsidP="00244310">
      <w:pPr>
        <w:rPr>
          <w:rFonts w:ascii="Arial" w:hAnsi="Arial" w:cs="Arial"/>
          <w:sz w:val="20"/>
          <w:u w:val="single"/>
        </w:rPr>
      </w:pPr>
      <w:r w:rsidRPr="00451F90">
        <w:rPr>
          <w:rFonts w:ascii="Arial" w:hAnsi="Arial" w:cs="Arial"/>
          <w:sz w:val="20"/>
          <w:u w:val="single"/>
        </w:rPr>
        <w:t>Justification of resources:</w:t>
      </w:r>
    </w:p>
    <w:tbl>
      <w:tblPr>
        <w:tblStyle w:val="TableGrid"/>
        <w:tblW w:w="0" w:type="auto"/>
        <w:tblLook w:val="04A0" w:firstRow="1" w:lastRow="0" w:firstColumn="1" w:lastColumn="0" w:noHBand="0" w:noVBand="1"/>
      </w:tblPr>
      <w:tblGrid>
        <w:gridCol w:w="2547"/>
        <w:gridCol w:w="7415"/>
      </w:tblGrid>
      <w:tr w:rsidR="001A37F1" w:rsidRPr="00451F90" w14:paraId="1C311A91" w14:textId="77777777" w:rsidTr="001A37F1">
        <w:tc>
          <w:tcPr>
            <w:tcW w:w="2547" w:type="dxa"/>
            <w:shd w:val="clear" w:color="auto" w:fill="000000" w:themeFill="text1"/>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1A37F1">
        <w:tc>
          <w:tcPr>
            <w:tcW w:w="2547" w:type="dxa"/>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
          <w:p w14:paraId="5C548214" w14:textId="10CB68E3"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combing different bioinformatic tools, as well as developing novel statistical techniques and developing a software platform for public distribution, I believe this work requires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1A37F1">
        <w:tc>
          <w:tcPr>
            <w:tcW w:w="2547" w:type="dxa"/>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
          <w:p w14:paraId="046179AE" w14:textId="495782B7" w:rsidR="001A37F1" w:rsidRPr="00451F90" w:rsidRDefault="001A37F1" w:rsidP="00244310">
            <w:pPr>
              <w:rPr>
                <w:rFonts w:ascii="Arial" w:hAnsi="Arial" w:cs="Arial"/>
                <w:sz w:val="20"/>
              </w:rPr>
            </w:pPr>
            <w:r w:rsidRPr="00451F90">
              <w:rPr>
                <w:rFonts w:ascii="Arial" w:hAnsi="Arial" w:cs="Arial"/>
                <w:sz w:val="20"/>
              </w:rPr>
              <w:t>The distribution of a software package is a complex undertaking, and the post doc student 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1A37F1">
        <w:tc>
          <w:tcPr>
            <w:tcW w:w="2547" w:type="dxa"/>
          </w:tcPr>
          <w:p w14:paraId="69DCA552" w14:textId="4FE10305" w:rsidR="001A37F1" w:rsidRPr="00451F90" w:rsidRDefault="001A37F1" w:rsidP="00244310">
            <w:pPr>
              <w:rPr>
                <w:rFonts w:ascii="Arial" w:hAnsi="Arial" w:cs="Arial"/>
                <w:sz w:val="20"/>
              </w:rPr>
            </w:pPr>
            <w:r w:rsidRPr="00451F90">
              <w:rPr>
                <w:rFonts w:ascii="Arial" w:hAnsi="Arial" w:cs="Arial"/>
                <w:sz w:val="20"/>
              </w:rPr>
              <w:t>Dataset costs</w:t>
            </w:r>
          </w:p>
        </w:tc>
        <w:tc>
          <w:tcPr>
            <w:tcW w:w="7415" w:type="dxa"/>
          </w:tcPr>
          <w:p w14:paraId="50BF20FE" w14:textId="3BC6445A" w:rsidR="001A37F1" w:rsidRPr="00451F90" w:rsidRDefault="001A37F1" w:rsidP="00244310">
            <w:pPr>
              <w:rPr>
                <w:rFonts w:ascii="Arial" w:hAnsi="Arial" w:cs="Arial"/>
                <w:sz w:val="20"/>
              </w:rPr>
            </w:pPr>
            <w:r w:rsidRPr="00451F90">
              <w:rPr>
                <w:rFonts w:ascii="Arial" w:hAnsi="Arial" w:cs="Arial"/>
                <w:sz w:val="20"/>
              </w:rPr>
              <w:t xml:space="preserve">While </w:t>
            </w:r>
            <w:proofErr w:type="gramStart"/>
            <w:r w:rsidRPr="00451F90">
              <w:rPr>
                <w:rFonts w:ascii="Arial" w:hAnsi="Arial" w:cs="Arial"/>
                <w:sz w:val="20"/>
              </w:rPr>
              <w:t>the majority of</w:t>
            </w:r>
            <w:proofErr w:type="gramEnd"/>
            <w:r w:rsidRPr="00451F90">
              <w:rPr>
                <w:rFonts w:ascii="Arial" w:hAnsi="Arial" w:cs="Arial"/>
                <w:sz w:val="20"/>
              </w:rPr>
              <w:t xml:space="preserve"> th</w:t>
            </w:r>
            <w:r w:rsidR="008A4C57" w:rsidRPr="00451F90">
              <w:rPr>
                <w:rFonts w:ascii="Arial" w:hAnsi="Arial" w:cs="Arial"/>
                <w:sz w:val="20"/>
              </w:rPr>
              <w:t xml:space="preserve">e German public is covered by a public health insurance scheme, around 15%hold private insurance. Access to </w:t>
            </w:r>
            <w:proofErr w:type="gramStart"/>
            <w:r w:rsidR="008A4C57" w:rsidRPr="00451F90">
              <w:rPr>
                <w:rFonts w:ascii="Arial" w:hAnsi="Arial" w:cs="Arial"/>
                <w:sz w:val="20"/>
              </w:rPr>
              <w:t>these record</w:t>
            </w:r>
            <w:proofErr w:type="gramEnd"/>
            <w:r w:rsidR="008A4C57" w:rsidRPr="00451F90">
              <w:rPr>
                <w:rFonts w:ascii="Arial" w:hAnsi="Arial" w:cs="Arial"/>
                <w:sz w:val="20"/>
              </w:rPr>
              <w:t xml:space="preserve"> anonymized could potentially incur costs. This is therefore a contingency fund in case records do need to be purchased from these systems.</w:t>
            </w:r>
          </w:p>
        </w:tc>
      </w:tr>
    </w:tbl>
    <w:p w14:paraId="2644B7DC" w14:textId="6FE4C3FF" w:rsidR="001A37F1" w:rsidRPr="00451F90" w:rsidRDefault="001A37F1" w:rsidP="00244310">
      <w:pPr>
        <w:rPr>
          <w:rFonts w:ascii="Arial" w:hAnsi="Arial" w:cs="Arial"/>
          <w:sz w:val="20"/>
        </w:rPr>
      </w:pPr>
    </w:p>
    <w:p w14:paraId="363FF9FC" w14:textId="495F8DA9" w:rsidR="008A4C57" w:rsidRPr="00451F90" w:rsidRDefault="008A4C57" w:rsidP="00244310">
      <w:pPr>
        <w:rPr>
          <w:rFonts w:ascii="Arial" w:hAnsi="Arial" w:cs="Arial"/>
          <w:sz w:val="20"/>
          <w:u w:val="single"/>
        </w:rPr>
      </w:pPr>
      <w:r w:rsidRPr="00451F90">
        <w:rPr>
          <w:rFonts w:ascii="Arial" w:hAnsi="Arial" w:cs="Arial"/>
          <w:sz w:val="20"/>
          <w:u w:val="single"/>
        </w:rPr>
        <w:lastRenderedPageBreak/>
        <w:t>Impact statement:</w:t>
      </w:r>
    </w:p>
    <w:p w14:paraId="2C734C6D" w14:textId="52B939AF" w:rsidR="00DA3F76" w:rsidRPr="00451F90" w:rsidRDefault="00777B1D" w:rsidP="00244310">
      <w:pPr>
        <w:rPr>
          <w:rFonts w:ascii="Arial" w:hAnsi="Arial" w:cs="Arial"/>
          <w:sz w:val="20"/>
        </w:rPr>
      </w:pPr>
      <w:r w:rsidRPr="00451F90">
        <w:rPr>
          <w:rFonts w:ascii="Arial" w:hAnsi="Arial" w:cs="Arial"/>
          <w:sz w:val="20"/>
        </w:rPr>
        <w:t>The potential impact from the proposed scheme of work is multifaceted and affects numerous areas of society. 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proofErr w:type="gramStart"/>
      <w:r w:rsidR="001A521D" w:rsidRPr="00451F90">
        <w:rPr>
          <w:rFonts w:ascii="Arial" w:hAnsi="Arial" w:cs="Arial"/>
          <w:i/>
          <w:sz w:val="20"/>
        </w:rPr>
        <w:t>N.meningitidis</w:t>
      </w:r>
      <w:proofErr w:type="gramEnd"/>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693E1EAB" w14:textId="77777777" w:rsidR="00C13262" w:rsidRDefault="00DA3F76" w:rsidP="00244310">
      <w:pPr>
        <w:rPr>
          <w:rFonts w:ascii="Arial" w:hAnsi="Arial" w:cs="Arial"/>
          <w:sz w:val="20"/>
        </w:rPr>
      </w:pPr>
      <w:r w:rsidRPr="00451F90">
        <w:rPr>
          <w:rFonts w:ascii="Arial" w:hAnsi="Arial" w:cs="Arial"/>
          <w:sz w:val="20"/>
        </w:rPr>
        <w:t xml:space="preserve">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w:t>
      </w:r>
      <w:proofErr w:type="spellStart"/>
      <w:r w:rsidRPr="00451F90">
        <w:rPr>
          <w:rFonts w:ascii="Arial" w:hAnsi="Arial" w:cs="Arial"/>
          <w:sz w:val="20"/>
        </w:rPr>
        <w:t>liase</w:t>
      </w:r>
      <w:proofErr w:type="spellEnd"/>
      <w:r w:rsidRPr="00451F90">
        <w:rPr>
          <w:rFonts w:ascii="Arial" w:hAnsi="Arial" w:cs="Arial"/>
          <w:sz w:val="20"/>
        </w:rPr>
        <w:t xml:space="preserv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xml:space="preserve">, about our findings, whilst also </w:t>
      </w:r>
      <w:proofErr w:type="spellStart"/>
      <w:r w:rsidR="00451F90" w:rsidRPr="00451F90">
        <w:rPr>
          <w:rFonts w:ascii="Arial" w:hAnsi="Arial" w:cs="Arial"/>
          <w:sz w:val="20"/>
        </w:rPr>
        <w:t>liasing</w:t>
      </w:r>
      <w:proofErr w:type="spellEnd"/>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113D8D50" w14:textId="77777777" w:rsidR="00C13262" w:rsidRDefault="00C13262" w:rsidP="00244310">
      <w:pPr>
        <w:rPr>
          <w:rFonts w:ascii="Arial" w:hAnsi="Arial" w:cs="Arial"/>
          <w:sz w:val="20"/>
        </w:rPr>
      </w:pPr>
    </w:p>
    <w:p w14:paraId="6DC4AE5E" w14:textId="7B774B8F" w:rsidR="00C13262" w:rsidRPr="00C13262" w:rsidRDefault="00C13262" w:rsidP="00C13262">
      <w:pPr>
        <w:rPr>
          <w:rFonts w:ascii="Arial" w:hAnsi="Arial" w:cs="Arial"/>
          <w:sz w:val="20"/>
          <w:szCs w:val="24"/>
        </w:rPr>
      </w:pPr>
      <w:r w:rsidRPr="00C13262">
        <w:rPr>
          <w:rFonts w:ascii="Arial" w:hAnsi="Arial" w:cs="Arial"/>
          <w:sz w:val="20"/>
          <w:u w:val="single"/>
        </w:rPr>
        <w:t>References</w:t>
      </w:r>
      <w:r>
        <w:rPr>
          <w:rFonts w:ascii="Arial" w:hAnsi="Arial" w:cs="Arial"/>
          <w:sz w:val="20"/>
          <w:u w:val="single"/>
        </w:rPr>
        <w:t>:</w:t>
      </w:r>
      <w:r>
        <w:rPr>
          <w:rFonts w:ascii="Arial" w:hAnsi="Arial" w:cs="Arial"/>
          <w:sz w:val="20"/>
          <w:u w:val="single"/>
        </w:rPr>
        <w:fldChar w:fldCharType="begin"/>
      </w:r>
      <w:r>
        <w:rPr>
          <w:rFonts w:ascii="Arial" w:hAnsi="Arial" w:cs="Arial"/>
          <w:sz w:val="20"/>
          <w:u w:val="single"/>
        </w:rPr>
        <w:instrText>ADDIN RW.BIB</w:instrText>
      </w:r>
      <w:r>
        <w:rPr>
          <w:rFonts w:ascii="Arial" w:hAnsi="Arial" w:cs="Arial"/>
          <w:sz w:val="20"/>
          <w:u w:val="single"/>
        </w:rPr>
        <w:fldChar w:fldCharType="separate"/>
      </w:r>
    </w:p>
    <w:p w14:paraId="2D624C5A" w14:textId="753B2D4E" w:rsidR="00C13262" w:rsidRPr="00C13262" w:rsidRDefault="00C13262" w:rsidP="00C13262">
      <w:pPr>
        <w:pStyle w:val="NormalWeb"/>
        <w:rPr>
          <w:rFonts w:ascii="Arial" w:hAnsi="Arial" w:cs="Arial"/>
          <w:sz w:val="20"/>
        </w:rPr>
      </w:pPr>
      <w:r w:rsidRPr="00C13262">
        <w:rPr>
          <w:rFonts w:ascii="Arial" w:hAnsi="Arial" w:cs="Arial"/>
          <w:sz w:val="20"/>
        </w:rPr>
        <w:t xml:space="preserve">(1) Global, regional, and national life expectancy, all-cause mortality, and cause-specific mortality for 249 causes of death, 1980–2015: a systematic analysis for the Global Burden of Disease Study 2015. </w:t>
      </w:r>
      <w:r w:rsidRPr="00C13262">
        <w:rPr>
          <w:rFonts w:ascii="Arial" w:hAnsi="Arial" w:cs="Arial"/>
          <w:i/>
          <w:iCs/>
          <w:sz w:val="20"/>
        </w:rPr>
        <w:t xml:space="preserve">The Lancet. </w:t>
      </w:r>
      <w:r>
        <w:rPr>
          <w:rFonts w:ascii="Arial" w:hAnsi="Arial" w:cs="Arial"/>
          <w:sz w:val="20"/>
        </w:rPr>
        <w:t>2016; 388 (10053): 1459-1544</w:t>
      </w:r>
      <w:r w:rsidRPr="00C13262">
        <w:rPr>
          <w:rFonts w:ascii="Arial" w:hAnsi="Arial" w:cs="Arial"/>
          <w:sz w:val="20"/>
        </w:rPr>
        <w:t>.</w:t>
      </w:r>
    </w:p>
    <w:p w14:paraId="2F17EA72"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(2) Croucher NJ, Harris SR, Fraser C, Quail MA, Burton J, van der Linden M, et al. Rapid Pneumococcal Evolution in Response to Clinical Interventions. 2011; 331 (6016): 430-434. </w:t>
      </w:r>
    </w:p>
    <w:p w14:paraId="4389D169" w14:textId="2A9AA55C" w:rsidR="00C13262" w:rsidRPr="00C13262" w:rsidRDefault="00C13262" w:rsidP="00C13262">
      <w:pPr>
        <w:pStyle w:val="NormalWeb"/>
        <w:rPr>
          <w:rFonts w:ascii="Arial" w:hAnsi="Arial" w:cs="Arial"/>
          <w:sz w:val="20"/>
        </w:rPr>
      </w:pPr>
      <w:r w:rsidRPr="00C13262">
        <w:rPr>
          <w:rFonts w:ascii="Arial" w:hAnsi="Arial" w:cs="Arial"/>
          <w:sz w:val="20"/>
        </w:rPr>
        <w:t xml:space="preserve">(3) Watkins ER, Penman BS, </w:t>
      </w:r>
      <w:proofErr w:type="spellStart"/>
      <w:r w:rsidRPr="00C13262">
        <w:rPr>
          <w:rFonts w:ascii="Arial" w:hAnsi="Arial" w:cs="Arial"/>
          <w:sz w:val="20"/>
        </w:rPr>
        <w:t>Lourenço</w:t>
      </w:r>
      <w:proofErr w:type="spellEnd"/>
      <w:r w:rsidRPr="00C13262">
        <w:rPr>
          <w:rFonts w:ascii="Arial" w:hAnsi="Arial" w:cs="Arial"/>
          <w:sz w:val="20"/>
        </w:rPr>
        <w:t xml:space="preserve"> J, </w:t>
      </w:r>
      <w:proofErr w:type="spellStart"/>
      <w:r w:rsidRPr="00C13262">
        <w:rPr>
          <w:rFonts w:ascii="Arial" w:hAnsi="Arial" w:cs="Arial"/>
          <w:sz w:val="20"/>
        </w:rPr>
        <w:t>Buckee</w:t>
      </w:r>
      <w:proofErr w:type="spellEnd"/>
      <w:r w:rsidRPr="00C13262">
        <w:rPr>
          <w:rFonts w:ascii="Arial" w:hAnsi="Arial" w:cs="Arial"/>
          <w:sz w:val="20"/>
        </w:rPr>
        <w:t xml:space="preserve"> CO, Maiden </w:t>
      </w:r>
      <w:proofErr w:type="spellStart"/>
      <w:r w:rsidRPr="00C13262">
        <w:rPr>
          <w:rFonts w:ascii="Arial" w:hAnsi="Arial" w:cs="Arial"/>
          <w:sz w:val="20"/>
        </w:rPr>
        <w:t>MCJand</w:t>
      </w:r>
      <w:proofErr w:type="spellEnd"/>
      <w:r w:rsidRPr="00C13262">
        <w:rPr>
          <w:rFonts w:ascii="Arial" w:hAnsi="Arial" w:cs="Arial"/>
          <w:sz w:val="20"/>
        </w:rPr>
        <w:t xml:space="preserve"> Gupta S. Vaccination Drives Changes in Metabolic and Virulence Profiles of Streptococcus pneumoniae. </w:t>
      </w:r>
      <w:proofErr w:type="spellStart"/>
      <w:r w:rsidRPr="00C13262">
        <w:rPr>
          <w:rFonts w:ascii="Arial" w:hAnsi="Arial" w:cs="Arial"/>
          <w:i/>
          <w:iCs/>
          <w:sz w:val="20"/>
        </w:rPr>
        <w:t>PLoS</w:t>
      </w:r>
      <w:proofErr w:type="spellEnd"/>
      <w:r w:rsidRPr="00C13262">
        <w:rPr>
          <w:rFonts w:ascii="Arial" w:hAnsi="Arial" w:cs="Arial"/>
          <w:i/>
          <w:iCs/>
          <w:sz w:val="20"/>
        </w:rPr>
        <w:t xml:space="preserve"> pathogens. </w:t>
      </w:r>
      <w:r w:rsidRPr="00C13262">
        <w:rPr>
          <w:rFonts w:ascii="Arial" w:hAnsi="Arial" w:cs="Arial"/>
          <w:sz w:val="20"/>
        </w:rPr>
        <w:t xml:space="preserve">2015; 11 (7): e1005034. </w:t>
      </w:r>
    </w:p>
    <w:p w14:paraId="19337340" w14:textId="09C6905E" w:rsidR="00C13262" w:rsidRPr="00C13262" w:rsidRDefault="00C13262" w:rsidP="00C13262">
      <w:pPr>
        <w:pStyle w:val="NormalWeb"/>
        <w:rPr>
          <w:rFonts w:ascii="Arial" w:hAnsi="Arial" w:cs="Arial"/>
          <w:sz w:val="20"/>
        </w:rPr>
      </w:pPr>
      <w:r w:rsidRPr="00C13262">
        <w:rPr>
          <w:rFonts w:ascii="Arial" w:hAnsi="Arial" w:cs="Arial"/>
          <w:sz w:val="20"/>
        </w:rPr>
        <w:t xml:space="preserve">(4) Klugman KP. The successful clone: the vector of dissemination of resistance in Streptococcus pneumoniae. </w:t>
      </w:r>
      <w:r w:rsidRPr="00C13262">
        <w:rPr>
          <w:rFonts w:ascii="Arial" w:hAnsi="Arial" w:cs="Arial"/>
          <w:i/>
          <w:iCs/>
          <w:sz w:val="20"/>
        </w:rPr>
        <w:t xml:space="preserve">The Journal of Antimicrobial Chemotherapy. </w:t>
      </w:r>
      <w:r w:rsidRPr="00C13262">
        <w:rPr>
          <w:rFonts w:ascii="Arial" w:hAnsi="Arial" w:cs="Arial"/>
          <w:sz w:val="20"/>
        </w:rPr>
        <w:t xml:space="preserve">2002; 50 </w:t>
      </w:r>
      <w:proofErr w:type="spellStart"/>
      <w:r w:rsidRPr="00C13262">
        <w:rPr>
          <w:rFonts w:ascii="Arial" w:hAnsi="Arial" w:cs="Arial"/>
          <w:sz w:val="20"/>
        </w:rPr>
        <w:t>Suppl</w:t>
      </w:r>
      <w:proofErr w:type="spellEnd"/>
      <w:r w:rsidRPr="00C13262">
        <w:rPr>
          <w:rFonts w:ascii="Arial" w:hAnsi="Arial" w:cs="Arial"/>
          <w:sz w:val="20"/>
        </w:rPr>
        <w:t xml:space="preserve"> S2 1-5. </w:t>
      </w:r>
    </w:p>
    <w:p w14:paraId="65D92A60" w14:textId="69FA1335" w:rsidR="00C13262" w:rsidRPr="00C13262" w:rsidRDefault="00C13262" w:rsidP="00C13262">
      <w:pPr>
        <w:pStyle w:val="NormalWeb"/>
        <w:rPr>
          <w:rFonts w:ascii="Arial" w:hAnsi="Arial" w:cs="Arial"/>
          <w:sz w:val="20"/>
        </w:rPr>
      </w:pPr>
      <w:r w:rsidRPr="00C13262">
        <w:rPr>
          <w:rFonts w:ascii="Arial" w:hAnsi="Arial" w:cs="Arial"/>
          <w:sz w:val="20"/>
        </w:rPr>
        <w:t xml:space="preserve">(5) Sonja Lehtinen, François </w:t>
      </w:r>
      <w:proofErr w:type="spellStart"/>
      <w:r w:rsidRPr="00C13262">
        <w:rPr>
          <w:rFonts w:ascii="Arial" w:hAnsi="Arial" w:cs="Arial"/>
          <w:sz w:val="20"/>
        </w:rPr>
        <w:t>Blanquart</w:t>
      </w:r>
      <w:proofErr w:type="spellEnd"/>
      <w:r w:rsidRPr="00C13262">
        <w:rPr>
          <w:rFonts w:ascii="Arial" w:hAnsi="Arial" w:cs="Arial"/>
          <w:sz w:val="20"/>
        </w:rPr>
        <w:t xml:space="preserve">, Nicholas J Croucher, Paul Turner, Marc </w:t>
      </w:r>
      <w:proofErr w:type="spellStart"/>
      <w:r w:rsidRPr="00C13262">
        <w:rPr>
          <w:rFonts w:ascii="Arial" w:hAnsi="Arial" w:cs="Arial"/>
          <w:sz w:val="20"/>
        </w:rPr>
        <w:t>Lipsitchand</w:t>
      </w:r>
      <w:proofErr w:type="spellEnd"/>
      <w:r w:rsidRPr="00C13262">
        <w:rPr>
          <w:rFonts w:ascii="Arial" w:hAnsi="Arial" w:cs="Arial"/>
          <w:sz w:val="20"/>
        </w:rPr>
        <w:t xml:space="preserve"> Christophe Fraser. Evolution of antibiotic resistance is linked to any genetic mechanism affecting bacterial duration of carriage. </w:t>
      </w:r>
      <w:r w:rsidRPr="00C13262">
        <w:rPr>
          <w:rFonts w:ascii="Arial" w:hAnsi="Arial" w:cs="Arial"/>
          <w:i/>
          <w:iCs/>
          <w:sz w:val="20"/>
        </w:rPr>
        <w:t xml:space="preserve">Proceedings of the National Academy of Sciences of the United States of America. </w:t>
      </w:r>
      <w:r w:rsidRPr="00C13262">
        <w:rPr>
          <w:rFonts w:ascii="Arial" w:hAnsi="Arial" w:cs="Arial"/>
          <w:sz w:val="20"/>
        </w:rPr>
        <w:t>2017; 114 (5): 1075-1080. Avail</w:t>
      </w:r>
      <w:bookmarkStart w:id="0" w:name="_GoBack"/>
      <w:bookmarkEnd w:id="0"/>
      <w:r w:rsidRPr="00C13262">
        <w:rPr>
          <w:rFonts w:ascii="Arial" w:hAnsi="Arial" w:cs="Arial"/>
          <w:sz w:val="20"/>
        </w:rPr>
        <w:t xml:space="preserve">able from: </w:t>
      </w:r>
      <w:proofErr w:type="spellStart"/>
      <w:r w:rsidRPr="00C13262">
        <w:rPr>
          <w:rFonts w:ascii="Arial" w:hAnsi="Arial" w:cs="Arial"/>
          <w:sz w:val="20"/>
        </w:rPr>
        <w:t>doi</w:t>
      </w:r>
      <w:proofErr w:type="spellEnd"/>
      <w:r w:rsidRPr="00C13262">
        <w:rPr>
          <w:rFonts w:ascii="Arial" w:hAnsi="Arial" w:cs="Arial"/>
          <w:sz w:val="20"/>
        </w:rPr>
        <w:t xml:space="preserve">: 10.1073/pnas.1617849114 Available from: </w:t>
      </w:r>
      <w:hyperlink r:id="rId5" w:tgtFrame="_blank" w:history="1">
        <w:r w:rsidRPr="00C13262">
          <w:rPr>
            <w:rStyle w:val="Hyperlink"/>
            <w:rFonts w:ascii="Arial" w:hAnsi="Arial" w:cs="Arial"/>
            <w:sz w:val="20"/>
          </w:rPr>
          <w:t>https://search.proquest.com/docview/1865502061</w:t>
        </w:r>
      </w:hyperlink>
      <w:r w:rsidRPr="00C13262">
        <w:rPr>
          <w:rFonts w:ascii="Arial" w:hAnsi="Arial" w:cs="Arial"/>
          <w:sz w:val="20"/>
        </w:rPr>
        <w:t xml:space="preserve"> .</w:t>
      </w:r>
    </w:p>
    <w:p w14:paraId="573B93B1"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(6) </w:t>
      </w:r>
      <w:proofErr w:type="spellStart"/>
      <w:r w:rsidRPr="00C13262">
        <w:rPr>
          <w:rFonts w:ascii="Arial" w:hAnsi="Arial" w:cs="Arial"/>
          <w:sz w:val="20"/>
        </w:rPr>
        <w:t>Goossens</w:t>
      </w:r>
      <w:proofErr w:type="spellEnd"/>
      <w:r w:rsidRPr="00C13262">
        <w:rPr>
          <w:rFonts w:ascii="Arial" w:hAnsi="Arial" w:cs="Arial"/>
          <w:sz w:val="20"/>
        </w:rPr>
        <w:t xml:space="preserve"> H, </w:t>
      </w:r>
      <w:proofErr w:type="spellStart"/>
      <w:r w:rsidRPr="00C13262">
        <w:rPr>
          <w:rFonts w:ascii="Arial" w:hAnsi="Arial" w:cs="Arial"/>
          <w:sz w:val="20"/>
        </w:rPr>
        <w:t>Ferech</w:t>
      </w:r>
      <w:proofErr w:type="spellEnd"/>
      <w:r w:rsidRPr="00C13262">
        <w:rPr>
          <w:rFonts w:ascii="Arial" w:hAnsi="Arial" w:cs="Arial"/>
          <w:sz w:val="20"/>
        </w:rPr>
        <w:t xml:space="preserve"> M, Vander </w:t>
      </w:r>
      <w:proofErr w:type="spellStart"/>
      <w:r w:rsidRPr="00C13262">
        <w:rPr>
          <w:rFonts w:ascii="Arial" w:hAnsi="Arial" w:cs="Arial"/>
          <w:sz w:val="20"/>
        </w:rPr>
        <w:t>Stichele</w:t>
      </w:r>
      <w:proofErr w:type="spellEnd"/>
      <w:r w:rsidRPr="00C13262">
        <w:rPr>
          <w:rFonts w:ascii="Arial" w:hAnsi="Arial" w:cs="Arial"/>
          <w:sz w:val="20"/>
        </w:rPr>
        <w:t xml:space="preserve"> Rand </w:t>
      </w:r>
      <w:proofErr w:type="spellStart"/>
      <w:r w:rsidRPr="00C13262">
        <w:rPr>
          <w:rFonts w:ascii="Arial" w:hAnsi="Arial" w:cs="Arial"/>
          <w:sz w:val="20"/>
        </w:rPr>
        <w:t>Elseviers</w:t>
      </w:r>
      <w:proofErr w:type="spellEnd"/>
      <w:r w:rsidRPr="00C13262">
        <w:rPr>
          <w:rFonts w:ascii="Arial" w:hAnsi="Arial" w:cs="Arial"/>
          <w:sz w:val="20"/>
        </w:rPr>
        <w:t xml:space="preserve"> M. Outpatient antibiotic use in Europe and association with resistance: a cross-national database study. </w:t>
      </w:r>
      <w:r w:rsidRPr="00C13262">
        <w:rPr>
          <w:rFonts w:ascii="Arial" w:hAnsi="Arial" w:cs="Arial"/>
          <w:i/>
          <w:iCs/>
          <w:sz w:val="20"/>
        </w:rPr>
        <w:t xml:space="preserve">Lancet (London, England). </w:t>
      </w:r>
      <w:r w:rsidRPr="00C13262">
        <w:rPr>
          <w:rFonts w:ascii="Arial" w:hAnsi="Arial" w:cs="Arial"/>
          <w:sz w:val="20"/>
        </w:rPr>
        <w:t xml:space="preserve">2005; 365 (9459): 579-587. Available from: </w:t>
      </w:r>
      <w:proofErr w:type="spellStart"/>
      <w:r w:rsidRPr="00C13262">
        <w:rPr>
          <w:rFonts w:ascii="Arial" w:hAnsi="Arial" w:cs="Arial"/>
          <w:sz w:val="20"/>
        </w:rPr>
        <w:t>doi</w:t>
      </w:r>
      <w:proofErr w:type="spellEnd"/>
      <w:r w:rsidRPr="00C13262">
        <w:rPr>
          <w:rFonts w:ascii="Arial" w:hAnsi="Arial" w:cs="Arial"/>
          <w:sz w:val="20"/>
        </w:rPr>
        <w:t>: 10.1016/S0140-6736(05)17907-0 [Accessed May 2, 2018].</w:t>
      </w:r>
    </w:p>
    <w:p w14:paraId="239DDFF1"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(7) Grenfell BT, </w:t>
      </w:r>
      <w:proofErr w:type="spellStart"/>
      <w:r w:rsidRPr="00C13262">
        <w:rPr>
          <w:rFonts w:ascii="Arial" w:hAnsi="Arial" w:cs="Arial"/>
          <w:sz w:val="20"/>
        </w:rPr>
        <w:t>Pybus</w:t>
      </w:r>
      <w:proofErr w:type="spellEnd"/>
      <w:r w:rsidRPr="00C13262">
        <w:rPr>
          <w:rFonts w:ascii="Arial" w:hAnsi="Arial" w:cs="Arial"/>
          <w:sz w:val="20"/>
        </w:rPr>
        <w:t xml:space="preserve"> OG, Gog JR, Wood JLN, Daly JM, Mumford JA, et al. Unifying the epidemiological and evolutionary dynamics of pathogens. </w:t>
      </w:r>
      <w:r w:rsidRPr="00C13262">
        <w:rPr>
          <w:rFonts w:ascii="Arial" w:hAnsi="Arial" w:cs="Arial"/>
          <w:i/>
          <w:iCs/>
          <w:sz w:val="20"/>
        </w:rPr>
        <w:t xml:space="preserve">Science (New York, N.Y.). </w:t>
      </w:r>
      <w:r w:rsidRPr="00C13262">
        <w:rPr>
          <w:rFonts w:ascii="Arial" w:hAnsi="Arial" w:cs="Arial"/>
          <w:sz w:val="20"/>
        </w:rPr>
        <w:t xml:space="preserve">2004; 303 (5656): 327-332. Available from: </w:t>
      </w:r>
      <w:proofErr w:type="spellStart"/>
      <w:r w:rsidRPr="00C13262">
        <w:rPr>
          <w:rFonts w:ascii="Arial" w:hAnsi="Arial" w:cs="Arial"/>
          <w:sz w:val="20"/>
        </w:rPr>
        <w:t>doi</w:t>
      </w:r>
      <w:proofErr w:type="spellEnd"/>
      <w:r w:rsidRPr="00C13262">
        <w:rPr>
          <w:rFonts w:ascii="Arial" w:hAnsi="Arial" w:cs="Arial"/>
          <w:sz w:val="20"/>
        </w:rPr>
        <w:t>: 10.1126/science.1090727 [Accessed May 2, 2018].</w:t>
      </w:r>
    </w:p>
    <w:p w14:paraId="7AA4F6F1" w14:textId="39BFC9EC" w:rsidR="00C13262" w:rsidRPr="00C13262" w:rsidRDefault="00C13262" w:rsidP="00C13262">
      <w:pPr>
        <w:pStyle w:val="NormalWeb"/>
        <w:rPr>
          <w:rFonts w:ascii="Arial" w:hAnsi="Arial" w:cs="Arial"/>
          <w:sz w:val="20"/>
        </w:rPr>
      </w:pPr>
      <w:r w:rsidRPr="00C13262">
        <w:rPr>
          <w:rFonts w:ascii="Arial" w:hAnsi="Arial" w:cs="Arial"/>
          <w:sz w:val="20"/>
        </w:rPr>
        <w:t xml:space="preserve">(8) Edward J. Feil, Jessica E. Cooper, </w:t>
      </w:r>
      <w:proofErr w:type="spellStart"/>
      <w:r w:rsidRPr="00C13262">
        <w:rPr>
          <w:rFonts w:ascii="Arial" w:hAnsi="Arial" w:cs="Arial"/>
          <w:sz w:val="20"/>
        </w:rPr>
        <w:t>Hajo</w:t>
      </w:r>
      <w:proofErr w:type="spellEnd"/>
      <w:r w:rsidRPr="00C13262">
        <w:rPr>
          <w:rFonts w:ascii="Arial" w:hAnsi="Arial" w:cs="Arial"/>
          <w:sz w:val="20"/>
        </w:rPr>
        <w:t xml:space="preserve"> </w:t>
      </w:r>
      <w:proofErr w:type="spellStart"/>
      <w:r w:rsidRPr="00C13262">
        <w:rPr>
          <w:rFonts w:ascii="Arial" w:hAnsi="Arial" w:cs="Arial"/>
          <w:sz w:val="20"/>
        </w:rPr>
        <w:t>Grundmann</w:t>
      </w:r>
      <w:proofErr w:type="spellEnd"/>
      <w:r w:rsidRPr="00C13262">
        <w:rPr>
          <w:rFonts w:ascii="Arial" w:hAnsi="Arial" w:cs="Arial"/>
          <w:sz w:val="20"/>
        </w:rPr>
        <w:t xml:space="preserve">, D. Ashley Robinson, Mark C. Enright, Tony Berendt, et al. How Clonal Is Staphylococcus aureus? </w:t>
      </w:r>
      <w:r w:rsidRPr="00C13262">
        <w:rPr>
          <w:rFonts w:ascii="Arial" w:hAnsi="Arial" w:cs="Arial"/>
          <w:i/>
          <w:iCs/>
          <w:sz w:val="20"/>
        </w:rPr>
        <w:t xml:space="preserve">Journal of Bacteriology. </w:t>
      </w:r>
      <w:r w:rsidRPr="00C13262">
        <w:rPr>
          <w:rFonts w:ascii="Arial" w:hAnsi="Arial" w:cs="Arial"/>
          <w:sz w:val="20"/>
        </w:rPr>
        <w:t xml:space="preserve">2003; 185 (11): 3307-3316. Available from: </w:t>
      </w:r>
      <w:proofErr w:type="spellStart"/>
      <w:r w:rsidRPr="00C13262">
        <w:rPr>
          <w:rFonts w:ascii="Arial" w:hAnsi="Arial" w:cs="Arial"/>
          <w:sz w:val="20"/>
        </w:rPr>
        <w:t>doi</w:t>
      </w:r>
      <w:proofErr w:type="spellEnd"/>
      <w:r w:rsidRPr="00C13262">
        <w:rPr>
          <w:rFonts w:ascii="Arial" w:hAnsi="Arial" w:cs="Arial"/>
          <w:sz w:val="20"/>
        </w:rPr>
        <w:t xml:space="preserve">: 10.1128/JB.185.11.3307-3316.2003 Available from: </w:t>
      </w:r>
      <w:hyperlink r:id="rId6" w:tgtFrame="_blank" w:history="1">
        <w:r w:rsidRPr="00C13262">
          <w:rPr>
            <w:rStyle w:val="Hyperlink"/>
            <w:rFonts w:ascii="Arial" w:hAnsi="Arial" w:cs="Arial"/>
            <w:sz w:val="20"/>
          </w:rPr>
          <w:t>http://jb.asm.org/content/185/11/3307.abstract</w:t>
        </w:r>
      </w:hyperlink>
      <w:r w:rsidRPr="00C13262">
        <w:rPr>
          <w:rFonts w:ascii="Arial" w:hAnsi="Arial" w:cs="Arial"/>
          <w:sz w:val="20"/>
        </w:rPr>
        <w:t xml:space="preserve"> .</w:t>
      </w:r>
    </w:p>
    <w:p w14:paraId="25A265F3"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(9) </w:t>
      </w:r>
      <w:proofErr w:type="spellStart"/>
      <w:r w:rsidRPr="00C13262">
        <w:rPr>
          <w:rFonts w:ascii="Arial" w:hAnsi="Arial" w:cs="Arial"/>
          <w:sz w:val="20"/>
        </w:rPr>
        <w:t>Faria</w:t>
      </w:r>
      <w:proofErr w:type="spellEnd"/>
      <w:r w:rsidRPr="00C13262">
        <w:rPr>
          <w:rFonts w:ascii="Arial" w:hAnsi="Arial" w:cs="Arial"/>
          <w:sz w:val="20"/>
        </w:rPr>
        <w:t xml:space="preserve"> NR, </w:t>
      </w:r>
      <w:proofErr w:type="spellStart"/>
      <w:r w:rsidRPr="00C13262">
        <w:rPr>
          <w:rFonts w:ascii="Arial" w:hAnsi="Arial" w:cs="Arial"/>
          <w:sz w:val="20"/>
        </w:rPr>
        <w:t>Rambaut</w:t>
      </w:r>
      <w:proofErr w:type="spellEnd"/>
      <w:r w:rsidRPr="00C13262">
        <w:rPr>
          <w:rFonts w:ascii="Arial" w:hAnsi="Arial" w:cs="Arial"/>
          <w:sz w:val="20"/>
        </w:rPr>
        <w:t xml:space="preserve"> A, </w:t>
      </w:r>
      <w:proofErr w:type="spellStart"/>
      <w:r w:rsidRPr="00C13262">
        <w:rPr>
          <w:rFonts w:ascii="Arial" w:hAnsi="Arial" w:cs="Arial"/>
          <w:sz w:val="20"/>
        </w:rPr>
        <w:t>Suchard</w:t>
      </w:r>
      <w:proofErr w:type="spellEnd"/>
      <w:r w:rsidRPr="00C13262">
        <w:rPr>
          <w:rFonts w:ascii="Arial" w:hAnsi="Arial" w:cs="Arial"/>
          <w:sz w:val="20"/>
        </w:rPr>
        <w:t xml:space="preserve"> MA, </w:t>
      </w:r>
      <w:proofErr w:type="spellStart"/>
      <w:r w:rsidRPr="00C13262">
        <w:rPr>
          <w:rFonts w:ascii="Arial" w:hAnsi="Arial" w:cs="Arial"/>
          <w:sz w:val="20"/>
        </w:rPr>
        <w:t>Baele</w:t>
      </w:r>
      <w:proofErr w:type="spellEnd"/>
      <w:r w:rsidRPr="00C13262">
        <w:rPr>
          <w:rFonts w:ascii="Arial" w:hAnsi="Arial" w:cs="Arial"/>
          <w:sz w:val="20"/>
        </w:rPr>
        <w:t xml:space="preserve"> G, Bedford T, Ward MJ, et al. HIV epidemiology. The early spread and epidemic ignition of HIV-1 in human populations. </w:t>
      </w:r>
      <w:r w:rsidRPr="00C13262">
        <w:rPr>
          <w:rFonts w:ascii="Arial" w:hAnsi="Arial" w:cs="Arial"/>
          <w:i/>
          <w:iCs/>
          <w:sz w:val="20"/>
        </w:rPr>
        <w:t xml:space="preserve">Science (New York, N.Y.). </w:t>
      </w:r>
      <w:r w:rsidRPr="00C13262">
        <w:rPr>
          <w:rFonts w:ascii="Arial" w:hAnsi="Arial" w:cs="Arial"/>
          <w:sz w:val="20"/>
        </w:rPr>
        <w:t xml:space="preserve">2014; 346 (6205): 56-61. Available from: </w:t>
      </w:r>
      <w:proofErr w:type="spellStart"/>
      <w:r w:rsidRPr="00C13262">
        <w:rPr>
          <w:rFonts w:ascii="Arial" w:hAnsi="Arial" w:cs="Arial"/>
          <w:sz w:val="20"/>
        </w:rPr>
        <w:t>doi</w:t>
      </w:r>
      <w:proofErr w:type="spellEnd"/>
      <w:r w:rsidRPr="00C13262">
        <w:rPr>
          <w:rFonts w:ascii="Arial" w:hAnsi="Arial" w:cs="Arial"/>
          <w:sz w:val="20"/>
        </w:rPr>
        <w:t>: 10.1126/science.1256739 [Accessed May 2, 2018].</w:t>
      </w:r>
    </w:p>
    <w:p w14:paraId="622DF26B" w14:textId="77777777" w:rsidR="00C13262" w:rsidRPr="00C13262" w:rsidRDefault="00C13262" w:rsidP="00C13262">
      <w:pPr>
        <w:pStyle w:val="NormalWeb"/>
        <w:rPr>
          <w:rFonts w:ascii="Arial" w:hAnsi="Arial" w:cs="Arial"/>
          <w:sz w:val="20"/>
        </w:rPr>
      </w:pPr>
      <w:r w:rsidRPr="00C13262">
        <w:rPr>
          <w:rFonts w:ascii="Arial" w:hAnsi="Arial" w:cs="Arial"/>
          <w:sz w:val="20"/>
        </w:rPr>
        <w:lastRenderedPageBreak/>
        <w:t xml:space="preserve">(10) Darling ACE, Mau B, Blattner </w:t>
      </w:r>
      <w:proofErr w:type="spellStart"/>
      <w:r w:rsidRPr="00C13262">
        <w:rPr>
          <w:rFonts w:ascii="Arial" w:hAnsi="Arial" w:cs="Arial"/>
          <w:sz w:val="20"/>
        </w:rPr>
        <w:t>FRand</w:t>
      </w:r>
      <w:proofErr w:type="spellEnd"/>
      <w:r w:rsidRPr="00C13262">
        <w:rPr>
          <w:rFonts w:ascii="Arial" w:hAnsi="Arial" w:cs="Arial"/>
          <w:sz w:val="20"/>
        </w:rPr>
        <w:t xml:space="preserve"> </w:t>
      </w:r>
      <w:proofErr w:type="spellStart"/>
      <w:r w:rsidRPr="00C13262">
        <w:rPr>
          <w:rFonts w:ascii="Arial" w:hAnsi="Arial" w:cs="Arial"/>
          <w:sz w:val="20"/>
        </w:rPr>
        <w:t>Perna</w:t>
      </w:r>
      <w:proofErr w:type="spellEnd"/>
      <w:r w:rsidRPr="00C13262">
        <w:rPr>
          <w:rFonts w:ascii="Arial" w:hAnsi="Arial" w:cs="Arial"/>
          <w:sz w:val="20"/>
        </w:rPr>
        <w:t xml:space="preserve"> NT. Mauve: multiple alignment of conserved genomic sequence with rearrangements. </w:t>
      </w:r>
      <w:r w:rsidRPr="00C13262">
        <w:rPr>
          <w:rFonts w:ascii="Arial" w:hAnsi="Arial" w:cs="Arial"/>
          <w:i/>
          <w:iCs/>
          <w:sz w:val="20"/>
        </w:rPr>
        <w:t xml:space="preserve">Genome Research. </w:t>
      </w:r>
      <w:r w:rsidRPr="00C13262">
        <w:rPr>
          <w:rFonts w:ascii="Arial" w:hAnsi="Arial" w:cs="Arial"/>
          <w:sz w:val="20"/>
        </w:rPr>
        <w:t xml:space="preserve">2004; 14 (7): 1394-1403. Available from: </w:t>
      </w:r>
      <w:proofErr w:type="spellStart"/>
      <w:r w:rsidRPr="00C13262">
        <w:rPr>
          <w:rFonts w:ascii="Arial" w:hAnsi="Arial" w:cs="Arial"/>
          <w:sz w:val="20"/>
        </w:rPr>
        <w:t>doi</w:t>
      </w:r>
      <w:proofErr w:type="spellEnd"/>
      <w:r w:rsidRPr="00C13262">
        <w:rPr>
          <w:rFonts w:ascii="Arial" w:hAnsi="Arial" w:cs="Arial"/>
          <w:sz w:val="20"/>
        </w:rPr>
        <w:t>: 10.1101/gr.2289704 [Accessed May 2, 2018].</w:t>
      </w:r>
    </w:p>
    <w:p w14:paraId="17B9D63B"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(11) Croucher NJ, Page AJ, Connor TR, Delaney AJ, Keane JA, Bentley SD, et al. Rapid phylogenetic analysis of large samples of recombinant bacterial whole genome sequences using Gubbins. </w:t>
      </w:r>
      <w:r w:rsidRPr="00C13262">
        <w:rPr>
          <w:rFonts w:ascii="Arial" w:hAnsi="Arial" w:cs="Arial"/>
          <w:i/>
          <w:iCs/>
          <w:sz w:val="20"/>
        </w:rPr>
        <w:t xml:space="preserve">Nucleic Acids Research. </w:t>
      </w:r>
      <w:r w:rsidRPr="00C13262">
        <w:rPr>
          <w:rFonts w:ascii="Arial" w:hAnsi="Arial" w:cs="Arial"/>
          <w:sz w:val="20"/>
        </w:rPr>
        <w:t>2015; 43 (3)</w:t>
      </w:r>
      <w:proofErr w:type="gramStart"/>
      <w:r w:rsidRPr="00C13262">
        <w:rPr>
          <w:rFonts w:ascii="Arial" w:hAnsi="Arial" w:cs="Arial"/>
          <w:sz w:val="20"/>
        </w:rPr>
        <w:t>: .</w:t>
      </w:r>
      <w:proofErr w:type="gramEnd"/>
    </w:p>
    <w:p w14:paraId="4F5C435D" w14:textId="0DB22B45" w:rsidR="00C13262" w:rsidRPr="00C13262" w:rsidRDefault="00C13262" w:rsidP="00C13262">
      <w:pPr>
        <w:pStyle w:val="NormalWeb"/>
        <w:rPr>
          <w:rFonts w:ascii="Arial" w:hAnsi="Arial" w:cs="Arial"/>
          <w:sz w:val="20"/>
        </w:rPr>
      </w:pPr>
      <w:r w:rsidRPr="00C13262">
        <w:rPr>
          <w:rFonts w:ascii="Arial" w:hAnsi="Arial" w:cs="Arial"/>
          <w:sz w:val="20"/>
        </w:rPr>
        <w:t xml:space="preserve">(12) </w:t>
      </w:r>
      <w:proofErr w:type="spellStart"/>
      <w:r w:rsidRPr="00C13262">
        <w:rPr>
          <w:rFonts w:ascii="Arial" w:hAnsi="Arial" w:cs="Arial"/>
          <w:sz w:val="20"/>
        </w:rPr>
        <w:t>Sagulenko</w:t>
      </w:r>
      <w:proofErr w:type="spellEnd"/>
      <w:r w:rsidRPr="00C13262">
        <w:rPr>
          <w:rFonts w:ascii="Arial" w:hAnsi="Arial" w:cs="Arial"/>
          <w:sz w:val="20"/>
        </w:rPr>
        <w:t xml:space="preserve"> P, Puller </w:t>
      </w:r>
      <w:proofErr w:type="spellStart"/>
      <w:r w:rsidRPr="00C13262">
        <w:rPr>
          <w:rFonts w:ascii="Arial" w:hAnsi="Arial" w:cs="Arial"/>
          <w:sz w:val="20"/>
        </w:rPr>
        <w:t>Vand</w:t>
      </w:r>
      <w:proofErr w:type="spellEnd"/>
      <w:r w:rsidRPr="00C13262">
        <w:rPr>
          <w:rFonts w:ascii="Arial" w:hAnsi="Arial" w:cs="Arial"/>
          <w:sz w:val="20"/>
        </w:rPr>
        <w:t xml:space="preserve"> </w:t>
      </w:r>
      <w:proofErr w:type="spellStart"/>
      <w:r w:rsidRPr="00C13262">
        <w:rPr>
          <w:rFonts w:ascii="Arial" w:hAnsi="Arial" w:cs="Arial"/>
          <w:sz w:val="20"/>
        </w:rPr>
        <w:t>Neher</w:t>
      </w:r>
      <w:proofErr w:type="spellEnd"/>
      <w:r w:rsidRPr="00C13262">
        <w:rPr>
          <w:rFonts w:ascii="Arial" w:hAnsi="Arial" w:cs="Arial"/>
          <w:sz w:val="20"/>
        </w:rPr>
        <w:t xml:space="preserve"> RA. </w:t>
      </w:r>
      <w:proofErr w:type="spellStart"/>
      <w:r w:rsidRPr="00C13262">
        <w:rPr>
          <w:rFonts w:ascii="Arial" w:hAnsi="Arial" w:cs="Arial"/>
          <w:sz w:val="20"/>
        </w:rPr>
        <w:t>TreeTime</w:t>
      </w:r>
      <w:proofErr w:type="spellEnd"/>
      <w:r w:rsidRPr="00C13262">
        <w:rPr>
          <w:rFonts w:ascii="Arial" w:hAnsi="Arial" w:cs="Arial"/>
          <w:sz w:val="20"/>
        </w:rPr>
        <w:t xml:space="preserve">: Maximum-likelihood phylodynamic analysis. </w:t>
      </w:r>
      <w:r w:rsidRPr="00C13262">
        <w:rPr>
          <w:rFonts w:ascii="Arial" w:hAnsi="Arial" w:cs="Arial"/>
          <w:i/>
          <w:iCs/>
          <w:sz w:val="20"/>
        </w:rPr>
        <w:t xml:space="preserve">Virus Evolution. </w:t>
      </w:r>
      <w:r w:rsidRPr="00C13262">
        <w:rPr>
          <w:rFonts w:ascii="Arial" w:hAnsi="Arial" w:cs="Arial"/>
          <w:sz w:val="20"/>
        </w:rPr>
        <w:t xml:space="preserve">2018; 4 (1): Available from: </w:t>
      </w:r>
      <w:proofErr w:type="spellStart"/>
      <w:r w:rsidRPr="00C13262">
        <w:rPr>
          <w:rFonts w:ascii="Arial" w:hAnsi="Arial" w:cs="Arial"/>
          <w:sz w:val="20"/>
        </w:rPr>
        <w:t>doi</w:t>
      </w:r>
      <w:proofErr w:type="spellEnd"/>
      <w:r w:rsidRPr="00C13262">
        <w:rPr>
          <w:rFonts w:ascii="Arial" w:hAnsi="Arial" w:cs="Arial"/>
          <w:sz w:val="20"/>
        </w:rPr>
        <w:t>: 10.1093/</w:t>
      </w:r>
      <w:proofErr w:type="spellStart"/>
      <w:r w:rsidRPr="00C13262">
        <w:rPr>
          <w:rFonts w:ascii="Arial" w:hAnsi="Arial" w:cs="Arial"/>
          <w:sz w:val="20"/>
        </w:rPr>
        <w:t>ve</w:t>
      </w:r>
      <w:proofErr w:type="spellEnd"/>
      <w:r w:rsidRPr="00C13262">
        <w:rPr>
          <w:rFonts w:ascii="Arial" w:hAnsi="Arial" w:cs="Arial"/>
          <w:sz w:val="20"/>
        </w:rPr>
        <w:t xml:space="preserve">/vex042 Available from: </w:t>
      </w:r>
      <w:hyperlink r:id="rId7" w:tgtFrame="_blank" w:history="1">
        <w:r w:rsidRPr="00C13262">
          <w:rPr>
            <w:rStyle w:val="Hyperlink"/>
            <w:rFonts w:ascii="Arial" w:hAnsi="Arial" w:cs="Arial"/>
            <w:sz w:val="20"/>
          </w:rPr>
          <w:t>https://academic.oup.com/ve/article/4/1/vex042/4794731</w:t>
        </w:r>
      </w:hyperlink>
      <w:r w:rsidRPr="00C13262">
        <w:rPr>
          <w:rFonts w:ascii="Arial" w:hAnsi="Arial" w:cs="Arial"/>
          <w:sz w:val="20"/>
        </w:rPr>
        <w:t xml:space="preserve"> [Accessed May 2, 2018].</w:t>
      </w:r>
    </w:p>
    <w:p w14:paraId="21912DE3" w14:textId="0732A2F4" w:rsidR="00C13262" w:rsidRPr="00C13262" w:rsidRDefault="00C13262" w:rsidP="00C13262">
      <w:pPr>
        <w:pStyle w:val="NormalWeb"/>
        <w:rPr>
          <w:rFonts w:ascii="Arial" w:hAnsi="Arial" w:cs="Arial"/>
          <w:sz w:val="20"/>
        </w:rPr>
      </w:pPr>
      <w:r w:rsidRPr="00C13262">
        <w:rPr>
          <w:rFonts w:ascii="Arial" w:hAnsi="Arial" w:cs="Arial"/>
          <w:sz w:val="20"/>
        </w:rPr>
        <w:t xml:space="preserve">(13) To T, Jung M, </w:t>
      </w:r>
      <w:proofErr w:type="spellStart"/>
      <w:r w:rsidRPr="00C13262">
        <w:rPr>
          <w:rFonts w:ascii="Arial" w:hAnsi="Arial" w:cs="Arial"/>
          <w:sz w:val="20"/>
        </w:rPr>
        <w:t>Lycett</w:t>
      </w:r>
      <w:proofErr w:type="spellEnd"/>
      <w:r w:rsidRPr="00C13262">
        <w:rPr>
          <w:rFonts w:ascii="Arial" w:hAnsi="Arial" w:cs="Arial"/>
          <w:sz w:val="20"/>
        </w:rPr>
        <w:t xml:space="preserve"> Sand </w:t>
      </w:r>
      <w:proofErr w:type="spellStart"/>
      <w:r w:rsidRPr="00C13262">
        <w:rPr>
          <w:rFonts w:ascii="Arial" w:hAnsi="Arial" w:cs="Arial"/>
          <w:sz w:val="20"/>
        </w:rPr>
        <w:t>Gascuel</w:t>
      </w:r>
      <w:proofErr w:type="spellEnd"/>
      <w:r w:rsidRPr="00C13262">
        <w:rPr>
          <w:rFonts w:ascii="Arial" w:hAnsi="Arial" w:cs="Arial"/>
          <w:sz w:val="20"/>
        </w:rPr>
        <w:t xml:space="preserve"> O. Fast Dating Using Least-Squares Criteria and Algorithms. </w:t>
      </w:r>
      <w:r w:rsidRPr="00C13262">
        <w:rPr>
          <w:rFonts w:ascii="Arial" w:hAnsi="Arial" w:cs="Arial"/>
          <w:i/>
          <w:iCs/>
          <w:sz w:val="20"/>
        </w:rPr>
        <w:t xml:space="preserve">Systematic Biology. </w:t>
      </w:r>
      <w:r w:rsidRPr="00C13262">
        <w:rPr>
          <w:rFonts w:ascii="Arial" w:hAnsi="Arial" w:cs="Arial"/>
          <w:sz w:val="20"/>
        </w:rPr>
        <w:t xml:space="preserve">2016; 65 (1): 82-97. Available from: </w:t>
      </w:r>
      <w:proofErr w:type="spellStart"/>
      <w:r w:rsidRPr="00C13262">
        <w:rPr>
          <w:rFonts w:ascii="Arial" w:hAnsi="Arial" w:cs="Arial"/>
          <w:sz w:val="20"/>
        </w:rPr>
        <w:t>doi</w:t>
      </w:r>
      <w:proofErr w:type="spellEnd"/>
      <w:r w:rsidRPr="00C13262">
        <w:rPr>
          <w:rFonts w:ascii="Arial" w:hAnsi="Arial" w:cs="Arial"/>
          <w:sz w:val="20"/>
        </w:rPr>
        <w:t>: 10.1093/</w:t>
      </w:r>
      <w:proofErr w:type="spellStart"/>
      <w:r w:rsidRPr="00C13262">
        <w:rPr>
          <w:rFonts w:ascii="Arial" w:hAnsi="Arial" w:cs="Arial"/>
          <w:sz w:val="20"/>
        </w:rPr>
        <w:t>sysbio</w:t>
      </w:r>
      <w:proofErr w:type="spellEnd"/>
      <w:r w:rsidRPr="00C13262">
        <w:rPr>
          <w:rFonts w:ascii="Arial" w:hAnsi="Arial" w:cs="Arial"/>
          <w:sz w:val="20"/>
        </w:rPr>
        <w:t xml:space="preserve">/syv068 Available from: </w:t>
      </w:r>
      <w:hyperlink r:id="rId8" w:tgtFrame="_blank" w:history="1">
        <w:r w:rsidRPr="00C13262">
          <w:rPr>
            <w:rStyle w:val="Hyperlink"/>
            <w:rFonts w:ascii="Arial" w:hAnsi="Arial" w:cs="Arial"/>
            <w:sz w:val="20"/>
          </w:rPr>
          <w:t>https://academic.oup.com/sysbio/article/65/1/82/2461506</w:t>
        </w:r>
      </w:hyperlink>
      <w:r w:rsidRPr="00C13262">
        <w:rPr>
          <w:rFonts w:ascii="Arial" w:hAnsi="Arial" w:cs="Arial"/>
          <w:sz w:val="20"/>
        </w:rPr>
        <w:t xml:space="preserve"> [Accessed May 2, 2018].</w:t>
      </w:r>
    </w:p>
    <w:p w14:paraId="599A34E8" w14:textId="77777777" w:rsidR="00C13262" w:rsidRPr="00C13262" w:rsidRDefault="00C13262" w:rsidP="00C13262">
      <w:pPr>
        <w:pStyle w:val="NormalWeb"/>
        <w:rPr>
          <w:rFonts w:ascii="Arial" w:hAnsi="Arial" w:cs="Arial"/>
          <w:sz w:val="20"/>
        </w:rPr>
      </w:pPr>
      <w:r w:rsidRPr="00C13262">
        <w:rPr>
          <w:rFonts w:ascii="Arial" w:hAnsi="Arial" w:cs="Arial"/>
          <w:sz w:val="20"/>
        </w:rPr>
        <w:t xml:space="preserve">(14) Drummond AJ, </w:t>
      </w:r>
      <w:proofErr w:type="spellStart"/>
      <w:r w:rsidRPr="00C13262">
        <w:rPr>
          <w:rFonts w:ascii="Arial" w:hAnsi="Arial" w:cs="Arial"/>
          <w:sz w:val="20"/>
        </w:rPr>
        <w:t>Suchard</w:t>
      </w:r>
      <w:proofErr w:type="spellEnd"/>
      <w:r w:rsidRPr="00C13262">
        <w:rPr>
          <w:rFonts w:ascii="Arial" w:hAnsi="Arial" w:cs="Arial"/>
          <w:sz w:val="20"/>
        </w:rPr>
        <w:t xml:space="preserve"> MA, </w:t>
      </w:r>
      <w:proofErr w:type="spellStart"/>
      <w:r w:rsidRPr="00C13262">
        <w:rPr>
          <w:rFonts w:ascii="Arial" w:hAnsi="Arial" w:cs="Arial"/>
          <w:sz w:val="20"/>
        </w:rPr>
        <w:t>Xie</w:t>
      </w:r>
      <w:proofErr w:type="spellEnd"/>
      <w:r w:rsidRPr="00C13262">
        <w:rPr>
          <w:rFonts w:ascii="Arial" w:hAnsi="Arial" w:cs="Arial"/>
          <w:sz w:val="20"/>
        </w:rPr>
        <w:t xml:space="preserve"> </w:t>
      </w:r>
      <w:proofErr w:type="spellStart"/>
      <w:r w:rsidRPr="00C13262">
        <w:rPr>
          <w:rFonts w:ascii="Arial" w:hAnsi="Arial" w:cs="Arial"/>
          <w:sz w:val="20"/>
        </w:rPr>
        <w:t>Dand</w:t>
      </w:r>
      <w:proofErr w:type="spellEnd"/>
      <w:r w:rsidRPr="00C13262">
        <w:rPr>
          <w:rFonts w:ascii="Arial" w:hAnsi="Arial" w:cs="Arial"/>
          <w:sz w:val="20"/>
        </w:rPr>
        <w:t xml:space="preserve"> </w:t>
      </w:r>
      <w:proofErr w:type="spellStart"/>
      <w:r w:rsidRPr="00C13262">
        <w:rPr>
          <w:rFonts w:ascii="Arial" w:hAnsi="Arial" w:cs="Arial"/>
          <w:sz w:val="20"/>
        </w:rPr>
        <w:t>Rambaut</w:t>
      </w:r>
      <w:proofErr w:type="spellEnd"/>
      <w:r w:rsidRPr="00C13262">
        <w:rPr>
          <w:rFonts w:ascii="Arial" w:hAnsi="Arial" w:cs="Arial"/>
          <w:sz w:val="20"/>
        </w:rPr>
        <w:t xml:space="preserve"> A. Bayesian phylogenetics with </w:t>
      </w:r>
      <w:proofErr w:type="spellStart"/>
      <w:r w:rsidRPr="00C13262">
        <w:rPr>
          <w:rFonts w:ascii="Arial" w:hAnsi="Arial" w:cs="Arial"/>
          <w:sz w:val="20"/>
        </w:rPr>
        <w:t>BEAUti</w:t>
      </w:r>
      <w:proofErr w:type="spellEnd"/>
      <w:r w:rsidRPr="00C13262">
        <w:rPr>
          <w:rFonts w:ascii="Arial" w:hAnsi="Arial" w:cs="Arial"/>
          <w:sz w:val="20"/>
        </w:rPr>
        <w:t xml:space="preserve"> and the BEAST 1.7. </w:t>
      </w:r>
      <w:r w:rsidRPr="00C13262">
        <w:rPr>
          <w:rFonts w:ascii="Arial" w:hAnsi="Arial" w:cs="Arial"/>
          <w:i/>
          <w:iCs/>
          <w:sz w:val="20"/>
        </w:rPr>
        <w:t xml:space="preserve">Molecular Biology and Evolution. </w:t>
      </w:r>
      <w:r w:rsidRPr="00C13262">
        <w:rPr>
          <w:rFonts w:ascii="Arial" w:hAnsi="Arial" w:cs="Arial"/>
          <w:sz w:val="20"/>
        </w:rPr>
        <w:t xml:space="preserve">2012; 29 (8): 1969-1973. Available from: </w:t>
      </w:r>
      <w:proofErr w:type="spellStart"/>
      <w:r w:rsidRPr="00C13262">
        <w:rPr>
          <w:rFonts w:ascii="Arial" w:hAnsi="Arial" w:cs="Arial"/>
          <w:sz w:val="20"/>
        </w:rPr>
        <w:t>doi</w:t>
      </w:r>
      <w:proofErr w:type="spellEnd"/>
      <w:r w:rsidRPr="00C13262">
        <w:rPr>
          <w:rFonts w:ascii="Arial" w:hAnsi="Arial" w:cs="Arial"/>
          <w:sz w:val="20"/>
        </w:rPr>
        <w:t>: 10.1093/</w:t>
      </w:r>
      <w:proofErr w:type="spellStart"/>
      <w:r w:rsidRPr="00C13262">
        <w:rPr>
          <w:rFonts w:ascii="Arial" w:hAnsi="Arial" w:cs="Arial"/>
          <w:sz w:val="20"/>
        </w:rPr>
        <w:t>molbev</w:t>
      </w:r>
      <w:proofErr w:type="spellEnd"/>
      <w:r w:rsidRPr="00C13262">
        <w:rPr>
          <w:rFonts w:ascii="Arial" w:hAnsi="Arial" w:cs="Arial"/>
          <w:sz w:val="20"/>
        </w:rPr>
        <w:t>/mss075 [Accessed Mar 7, 2018].</w:t>
      </w:r>
    </w:p>
    <w:p w14:paraId="0BEC8126" w14:textId="3CA2168D" w:rsidR="00C13262" w:rsidRPr="00C13262" w:rsidRDefault="00C13262" w:rsidP="00C13262">
      <w:pPr>
        <w:pStyle w:val="NormalWeb"/>
        <w:rPr>
          <w:rFonts w:ascii="Arial" w:hAnsi="Arial" w:cs="Arial"/>
          <w:sz w:val="20"/>
        </w:rPr>
      </w:pPr>
      <w:r w:rsidRPr="00C13262">
        <w:rPr>
          <w:rFonts w:ascii="Arial" w:hAnsi="Arial" w:cs="Arial"/>
          <w:sz w:val="20"/>
        </w:rPr>
        <w:t xml:space="preserve">(15) Volz EM, Didelot X. </w:t>
      </w:r>
      <w:proofErr w:type="spellStart"/>
      <w:r w:rsidRPr="00C13262">
        <w:rPr>
          <w:rFonts w:ascii="Arial" w:hAnsi="Arial" w:cs="Arial"/>
          <w:sz w:val="20"/>
        </w:rPr>
        <w:t>Modeling</w:t>
      </w:r>
      <w:proofErr w:type="spellEnd"/>
      <w:r w:rsidRPr="00C13262">
        <w:rPr>
          <w:rFonts w:ascii="Arial" w:hAnsi="Arial" w:cs="Arial"/>
          <w:sz w:val="20"/>
        </w:rPr>
        <w:t xml:space="preserve"> the Growth and Decline of Pathogen Effective Population Size Provides Insight into Epidemic Dynamics and Drivers of Antimicrobial Resistance. </w:t>
      </w:r>
      <w:r w:rsidRPr="00C13262">
        <w:rPr>
          <w:rFonts w:ascii="Arial" w:hAnsi="Arial" w:cs="Arial"/>
          <w:i/>
          <w:iCs/>
          <w:sz w:val="20"/>
        </w:rPr>
        <w:t xml:space="preserve">Systematic Biology. </w:t>
      </w:r>
      <w:r w:rsidRPr="00C13262">
        <w:rPr>
          <w:rFonts w:ascii="Arial" w:hAnsi="Arial" w:cs="Arial"/>
          <w:sz w:val="20"/>
        </w:rPr>
        <w:t xml:space="preserve">2018; Available from: </w:t>
      </w:r>
      <w:proofErr w:type="spellStart"/>
      <w:r w:rsidRPr="00C13262">
        <w:rPr>
          <w:rFonts w:ascii="Arial" w:hAnsi="Arial" w:cs="Arial"/>
          <w:sz w:val="20"/>
        </w:rPr>
        <w:t>doi</w:t>
      </w:r>
      <w:proofErr w:type="spellEnd"/>
      <w:r w:rsidRPr="00C13262">
        <w:rPr>
          <w:rFonts w:ascii="Arial" w:hAnsi="Arial" w:cs="Arial"/>
          <w:sz w:val="20"/>
        </w:rPr>
        <w:t>: 10.1093/</w:t>
      </w:r>
      <w:proofErr w:type="spellStart"/>
      <w:r w:rsidRPr="00C13262">
        <w:rPr>
          <w:rFonts w:ascii="Arial" w:hAnsi="Arial" w:cs="Arial"/>
          <w:sz w:val="20"/>
        </w:rPr>
        <w:t>sysbio</w:t>
      </w:r>
      <w:proofErr w:type="spellEnd"/>
      <w:r w:rsidRPr="00C13262">
        <w:rPr>
          <w:rFonts w:ascii="Arial" w:hAnsi="Arial" w:cs="Arial"/>
          <w:sz w:val="20"/>
        </w:rPr>
        <w:t xml:space="preserve">/syy007 Available from: </w:t>
      </w:r>
      <w:hyperlink r:id="rId9" w:tgtFrame="_blank" w:history="1">
        <w:r w:rsidRPr="00C13262">
          <w:rPr>
            <w:rStyle w:val="Hyperlink"/>
            <w:rFonts w:ascii="Arial" w:hAnsi="Arial" w:cs="Arial"/>
            <w:sz w:val="20"/>
          </w:rPr>
          <w:t>https://academic.oup.com/sysbio/advance-article/doi/10.1093/sysbio/syy007/4844079</w:t>
        </w:r>
      </w:hyperlink>
      <w:r w:rsidRPr="00C13262">
        <w:rPr>
          <w:rFonts w:ascii="Arial" w:hAnsi="Arial" w:cs="Arial"/>
          <w:sz w:val="20"/>
        </w:rPr>
        <w:t xml:space="preserve"> [Accessed Mar 4, 2018].</w:t>
      </w:r>
    </w:p>
    <w:p w14:paraId="7FAEE727" w14:textId="1A7D9DB6" w:rsidR="00451F90" w:rsidRPr="00C13262" w:rsidRDefault="00C13262" w:rsidP="00C13262">
      <w:pPr>
        <w:rPr>
          <w:rFonts w:ascii="Arial" w:hAnsi="Arial" w:cs="Arial"/>
          <w:sz w:val="20"/>
          <w:u w:val="single"/>
        </w:rPr>
      </w:pPr>
      <w:r w:rsidRPr="00C13262">
        <w:rPr>
          <w:rFonts w:ascii="Arial" w:eastAsia="Times New Roman" w:hAnsi="Arial" w:cs="Arial"/>
          <w:sz w:val="20"/>
        </w:rPr>
        <w:t> </w:t>
      </w:r>
      <w:r>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10"/>
    <w:rsid w:val="00087597"/>
    <w:rsid w:val="000B3006"/>
    <w:rsid w:val="000C47C2"/>
    <w:rsid w:val="001255D0"/>
    <w:rsid w:val="001277E2"/>
    <w:rsid w:val="00152FF8"/>
    <w:rsid w:val="00153539"/>
    <w:rsid w:val="00185599"/>
    <w:rsid w:val="001A37F1"/>
    <w:rsid w:val="001A521D"/>
    <w:rsid w:val="00231FCE"/>
    <w:rsid w:val="00244310"/>
    <w:rsid w:val="00266D2C"/>
    <w:rsid w:val="002957AD"/>
    <w:rsid w:val="002A3A40"/>
    <w:rsid w:val="002A669F"/>
    <w:rsid w:val="002B1D4A"/>
    <w:rsid w:val="002C0392"/>
    <w:rsid w:val="003141B2"/>
    <w:rsid w:val="0033285D"/>
    <w:rsid w:val="00342C7E"/>
    <w:rsid w:val="003476EB"/>
    <w:rsid w:val="00377653"/>
    <w:rsid w:val="003B1866"/>
    <w:rsid w:val="0040238F"/>
    <w:rsid w:val="00451F90"/>
    <w:rsid w:val="00480B97"/>
    <w:rsid w:val="00492E76"/>
    <w:rsid w:val="005415A8"/>
    <w:rsid w:val="00562F8D"/>
    <w:rsid w:val="005655BC"/>
    <w:rsid w:val="005E4ADB"/>
    <w:rsid w:val="006006BF"/>
    <w:rsid w:val="006319E3"/>
    <w:rsid w:val="006502F3"/>
    <w:rsid w:val="006760A1"/>
    <w:rsid w:val="00681374"/>
    <w:rsid w:val="006E0886"/>
    <w:rsid w:val="00716B38"/>
    <w:rsid w:val="007415A5"/>
    <w:rsid w:val="00777B1D"/>
    <w:rsid w:val="007E69BF"/>
    <w:rsid w:val="007F4904"/>
    <w:rsid w:val="00802F19"/>
    <w:rsid w:val="00825969"/>
    <w:rsid w:val="00840CE0"/>
    <w:rsid w:val="0087183A"/>
    <w:rsid w:val="00873EE6"/>
    <w:rsid w:val="008838A2"/>
    <w:rsid w:val="008925F0"/>
    <w:rsid w:val="0089612E"/>
    <w:rsid w:val="008A4C57"/>
    <w:rsid w:val="008B75E5"/>
    <w:rsid w:val="008E2899"/>
    <w:rsid w:val="009A3DD5"/>
    <w:rsid w:val="009D0DB5"/>
    <w:rsid w:val="009D2B1C"/>
    <w:rsid w:val="00A6542B"/>
    <w:rsid w:val="00A97A6D"/>
    <w:rsid w:val="00B01AC4"/>
    <w:rsid w:val="00B1351F"/>
    <w:rsid w:val="00B13F0B"/>
    <w:rsid w:val="00B52E1C"/>
    <w:rsid w:val="00B75819"/>
    <w:rsid w:val="00BB389E"/>
    <w:rsid w:val="00BC437F"/>
    <w:rsid w:val="00BD29F7"/>
    <w:rsid w:val="00BF1040"/>
    <w:rsid w:val="00C01256"/>
    <w:rsid w:val="00C044BD"/>
    <w:rsid w:val="00C13262"/>
    <w:rsid w:val="00C21F5D"/>
    <w:rsid w:val="00C33F49"/>
    <w:rsid w:val="00C50990"/>
    <w:rsid w:val="00C51196"/>
    <w:rsid w:val="00C87F63"/>
    <w:rsid w:val="00CA378B"/>
    <w:rsid w:val="00CD13CF"/>
    <w:rsid w:val="00CE5D11"/>
    <w:rsid w:val="00D37166"/>
    <w:rsid w:val="00D73206"/>
    <w:rsid w:val="00DA275A"/>
    <w:rsid w:val="00DA3F76"/>
    <w:rsid w:val="00E01551"/>
    <w:rsid w:val="00E528B5"/>
    <w:rsid w:val="00E55934"/>
    <w:rsid w:val="00EE3B0A"/>
    <w:rsid w:val="00F10EDF"/>
    <w:rsid w:val="00F12FC3"/>
    <w:rsid w:val="00F56483"/>
    <w:rsid w:val="00F96F2D"/>
    <w:rsid w:val="00FA5145"/>
    <w:rsid w:val="00FB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3091"/>
  <w15:chartTrackingRefBased/>
  <w15:docId w15:val="{9D1723F9-01DC-4311-9F09-C408C118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3">
    <w:name w:val="Plain Table 3"/>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C1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sysbio/article/65/1/82/2461506" TargetMode="External"/><Relationship Id="rId3" Type="http://schemas.openxmlformats.org/officeDocument/2006/relationships/settings" Target="settings.xml"/><Relationship Id="rId7" Type="http://schemas.openxmlformats.org/officeDocument/2006/relationships/hyperlink" Target="https://academic.oup.com/ve/article/4/1/vex042/479473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b.asm.org/content/185/11/3307.abstract" TargetMode="External"/><Relationship Id="rId11" Type="http://schemas.openxmlformats.org/officeDocument/2006/relationships/theme" Target="theme/theme1.xml"/><Relationship Id="rId5" Type="http://schemas.openxmlformats.org/officeDocument/2006/relationships/hyperlink" Target="https://search.proquest.com/docview/18655020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ic.oup.com/sysbio/advance-article/doi/10.1093/sysbio/syy007/4844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FC6CA-4FB0-48CD-B859-8B1D1E39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6</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14</cp:revision>
  <dcterms:created xsi:type="dcterms:W3CDTF">2018-04-28T11:30:00Z</dcterms:created>
  <dcterms:modified xsi:type="dcterms:W3CDTF">2018-05-03T19:06:00Z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rwuserstyle:59a56bbd872ecf07d6ed204a</vt:lpwstr>
  </property>
  <property fmtid="{D5CDD505-2E9C-101B-9397-08002B2CF9AE}" pid="5" name="RWProductId">
    <vt:lpwstr>Flow</vt:lpwstr>
  </property>
  <property fmtid="{D5CDD505-2E9C-101B-9397-08002B2CF9AE}" pid="6" name="WnC4Folder">
    <vt:lpwstr>Documents///grant_proposal_first_draft</vt:lpwstr>
  </property>
</Properties>
</file>