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1.png" ContentType="image/png"/>
  <Override PartName="/word/media/rId39.png" ContentType="image/png"/>
  <Override PartName="/word/media/rId45.png" ContentType="image/png"/>
  <Override PartName="/word/media/rId36.png" ContentType="image/png"/>
  <Override PartName="/word/media/rId54.png" ContentType="image/png"/>
  <Override PartName="/word/media/rId33.png" ContentType="image/png"/>
  <Override PartName="/word/media/rId42.png" ContentType="image/png"/>
  <Override PartName="/word/media/rId5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of Measles Case Trends Post-Vaccination Efforts in the United States</w:t>
      </w:r>
    </w:p>
    <w:p>
      <w:pPr>
        <w:pStyle w:val="Author"/>
      </w:pPr>
      <w:r>
        <w:t xml:space="preserve">Austin Hill, Joe Dainis</w:t>
      </w:r>
    </w:p>
    <w:p>
      <w:pPr>
        <w:pStyle w:val="SourceCode"/>
      </w:pPr>
      <w:r>
        <w:rPr>
          <w:rStyle w:val="VerbatimChar"/>
        </w:rPr>
        <w:t xml:space="preserve">Warning: package 'knitr' was built under R version 4.4.3</w:t>
      </w:r>
    </w:p>
    <w:p>
      <w:pPr>
        <w:pStyle w:val="FirstParagraph"/>
      </w:pPr>
      <w:r>
        <w:rPr>
          <w:b/>
          <w:bCs/>
        </w:rPr>
        <w:t xml:space="preserve">Authors</w:t>
      </w:r>
    </w:p>
    <w:p>
      <w:pPr>
        <w:pStyle w:val="Compact"/>
        <w:numPr>
          <w:ilvl w:val="0"/>
          <w:numId w:val="1001"/>
        </w:numPr>
      </w:pPr>
      <w:r>
        <w:t xml:space="preserve">Joe Dainis</w:t>
      </w:r>
      <m:oMath>
        <m:sSup>
          <m:e>
            <m:r>
              <m:t>​</m:t>
            </m:r>
          </m:e>
          <m:sup>
            <m:r>
              <m:t>1</m:t>
            </m:r>
            <m:r>
              <m:rPr>
                <m:sty m:val="p"/>
              </m:rPr>
              <m:t>,</m:t>
            </m:r>
            <m:r>
              <m:t>2</m:t>
            </m:r>
            <m:r>
              <m:rPr>
                <m:sty m:val="p"/>
              </m:rPr>
              <m:t>*</m:t>
            </m:r>
          </m:sup>
        </m:sSup>
      </m:oMath>
    </w:p>
    <w:p>
      <w:pPr>
        <w:pStyle w:val="Compact"/>
        <w:numPr>
          <w:ilvl w:val="0"/>
          <w:numId w:val="1001"/>
        </w:numPr>
      </w:pPr>
      <w:r>
        <w:t xml:space="preserve">Austin Hill</w:t>
      </w:r>
      <m:oMath>
        <m:sSup>
          <m:e>
            <m:r>
              <m:t>​</m:t>
            </m:r>
          </m:e>
          <m:sup>
            <m:r>
              <m:t>1</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Infectious Diseases, University of Georgia, Athens, GA, USA.</w:t>
      </w:r>
    </w:p>
    <w:p>
      <w:pPr>
        <w:pStyle w:val="Compact"/>
        <w:numPr>
          <w:ilvl w:val="0"/>
          <w:numId w:val="1002"/>
        </w:numPr>
      </w:pPr>
      <w:r>
        <w:t xml:space="preserve">Center for Tropical and Emerging Global Diseases, University of Georgia, Athens, GA, USA.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r>
        <w:br w:type="page"/>
      </w:r>
    </w:p>
    <w:bookmarkStart w:id="20" w:name="abstract"/>
    <w:p>
      <w:pPr>
        <w:pStyle w:val="Heading1"/>
      </w:pPr>
      <w:r>
        <w:t xml:space="preserve">1. Abstract</w:t>
      </w:r>
    </w:p>
    <w:p>
      <w:pPr>
        <w:pStyle w:val="FirstParagraph"/>
      </w:pPr>
      <w:r>
        <w:t xml:space="preserve">This study examines measles incidence trends in the United States, focusing on how vaccination coverage and demographic factors contribute to variation in case counts and whether more flexible modeling approaches improve predictive performance. Using publicly available data, demographic, socioeconomic, and vaccination-related variables were analyzed for their association with measles incidence. Linear and multivariable regression models show that lower vaccination coverage is associated with higher measles case counts, supporting the hypothesis that vaccination rates are a key driver of disease trends. Machine learning models were then used to improve prediction and capture nonlinear relationships, demonstrating stronger performance and revealing complex interactions among predictors. Across all approaches, vaccination coverage consistently emerged as the most influential factor. These findings highlight the importance of maintaining high immunization rates and demonstrate the value of machine learning methods in understanding and predicting epidemiological patterns.</w:t>
      </w:r>
      <w:r>
        <w:t xml:space="preserve"> </w:t>
      </w:r>
      <w:p>
        <w:r>
          <w:br w:type="page"/>
        </w:r>
      </w:p>
    </w:p>
    <w:bookmarkEnd w:id="20"/>
    <w:bookmarkStart w:id="24"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Measles is a globally distributed, highly contagious viral infection induced by the measles virus</w:t>
      </w:r>
      <w:r>
        <w:t xml:space="preserve"> </w:t>
      </w:r>
      <w:r>
        <w:t xml:space="preserve">(1)</w:t>
      </w:r>
      <w:r>
        <w:t xml:space="preserve">. Also known as the rubeola virus, this Paramyxoviridae virus, belonging to the Morbillivirus genus, induces upwards of 300,000 cases per year, with an estimated incidence of 29 per 1,000,000 individuals</w:t>
      </w:r>
      <w:r>
        <w:t xml:space="preserve"> </w:t>
      </w:r>
      <w:r>
        <w:t xml:space="preserve">(2)</w:t>
      </w:r>
      <w:r>
        <w:t xml:space="preserve">. The World Health Organization (WHO) estimated that the measles virus resulted in the death of 95,000 individuals</w:t>
      </w:r>
      <w:r>
        <w:t xml:space="preserve"> </w:t>
      </w:r>
      <w:r>
        <w:t xml:space="preserve">(3)</w:t>
      </w:r>
      <w:r>
        <w:t xml:space="preserve">.</w:t>
      </w:r>
    </w:p>
    <w:p>
      <w:pPr>
        <w:pStyle w:val="BodyText"/>
      </w:pPr>
      <w:r>
        <w:t xml:space="preserve">First introduced in 1963 in the United States, the measles vaccine, which was enhanced to also immunize against mumps and rubella in 1971 (coined the MMR vaccine), proved to be a very effective strategy to limit mortality and morbidity due to measles</w:t>
      </w:r>
      <w:r>
        <w:t xml:space="preserve"> </w:t>
      </w:r>
      <w:r>
        <w:t xml:space="preserve">(4)</w:t>
      </w:r>
      <w:r>
        <w:t xml:space="preserve">. As part of a study to investigate the impact of the Expanded Programme of Immunization (EPI), a WHO-initiated effort to provide common vaccinations globally, it was found that since 1974, an estimated 94 million out of 154 million lives were saved due to MMR vaccination</w:t>
      </w:r>
      <w:r>
        <w:t xml:space="preserve"> </w:t>
      </w:r>
      <w:r>
        <w:t xml:space="preserve">(5)</w:t>
      </w:r>
      <w:r>
        <w:t xml:space="preserve">. However, despite the proven benefits of MMR vaccinatation and the severe consequences of measles infection, vaccination rates are on the decline</w:t>
      </w:r>
      <w:r>
        <w:t xml:space="preserve"> </w:t>
      </w:r>
      <w:r>
        <w:t xml:space="preserve">(6)</w:t>
      </w:r>
      <w:r>
        <w:t xml:space="preserve">. To maintain herd immunity, a protective status where a certain vaccination rate in the population enables resistance to spread of a pathogen, measles vaccination rates must be at or above 95%, with a minimum threshold of 90%</w:t>
      </w:r>
      <w:r>
        <w:t xml:space="preserve"> </w:t>
      </w:r>
      <w:r>
        <w:t xml:space="preserve">(7)</w:t>
      </w:r>
      <w:r>
        <w:t xml:space="preserve">.</w:t>
      </w:r>
    </w:p>
    <w:p>
      <w:pPr>
        <w:pStyle w:val="BodyText"/>
      </w:pPr>
      <w:r>
        <w:t xml:space="preserve">Since peaking at a 86% global MMR vaccination rate in 2019, vaccination efforts have staggered and slightly dipped. Much progress was halted due to the COVID-19 pandemic, but even several years post-pandemic in 2024, global MMR vaccination rates have not exceeded 84%</w:t>
      </w:r>
      <w:r>
        <w:t xml:space="preserve"> </w:t>
      </w:r>
      <w:r>
        <w:t xml:space="preserve">(5)</w:t>
      </w:r>
      <w:r>
        <w:t xml:space="preserve">. Even in the United States, MMR vaccination rates have begun to decline; a recent study has shown of 2,066 interrogated counties in the United States that 78% of these counties reported a decline in MMR vaccination post-COVID-19 pandemic</w:t>
      </w:r>
      <w:r>
        <w:t xml:space="preserve"> </w:t>
      </w:r>
      <w:r>
        <w:t xml:space="preserve">(8)</w:t>
      </w:r>
      <w:r>
        <w:t xml:space="preserve">. This raises major concerns that the United States will trend towards not being able to maintain the critical minimum threshold of 90% vaccination for herd immunity protection from measles. In certain communities and states in the United States, measles outbreaks are occurring for the first time in decades, with cases surging past 1,000 cases so far in 2026. These alarming trends raise a need for researchers to better understand where this MMR vaccination distrust is coming from to provide actionable targets to rebuild that trust.</w:t>
      </w:r>
    </w:p>
    <w:bookmarkEnd w:id="21"/>
    <w:bookmarkStart w:id="22" w:name="description-of-data-and-data-source"/>
    <w:p>
      <w:pPr>
        <w:pStyle w:val="Heading2"/>
      </w:pPr>
      <w:r>
        <w:t xml:space="preserve">2.2 Description of data and data source</w:t>
      </w:r>
    </w:p>
    <w:p>
      <w:pPr>
        <w:pStyle w:val="FirstParagraph"/>
      </w:pPr>
      <w:r>
        <w:t xml:space="preserve">To investigate possible explanations of MMR vaccination trends and measles outbreaks in the United States, four datasets used in this study comes from two different sources. The first dataset, which looks at historical measles case rates from as early as the late 1800s, is sourced from Project Tycho, an open-access global health data resource offered and maintained by the University of Pittsburgh. This data repository offers a large set of pre- and self-compiled data spanning a variety of pathogenic diseases. This study self-compiled a measles dataset, sourced from the United States Nationally Notifiable Surveillance System, spanning 352,518 non-cumulative cases recorded from the 50 United States and multiple U.S. territories, including American Samoa, Guam, Northern Marina Islands, U.S. Virgin Islands and the District of Columbia. These cases cover an age range of 0-130 years of age and provides a number of cases reported within a given period start and end date.</w:t>
      </w:r>
    </w:p>
    <w:p>
      <w:pPr>
        <w:pStyle w:val="BodyText"/>
      </w:pPr>
      <w:r>
        <w:t xml:space="preserve">The second and third datasets were derived from the CDC’s website on measles cases and outbreaks</w:t>
      </w:r>
      <w:r>
        <w:t xml:space="preserve"> </w:t>
      </w:r>
      <w:r>
        <w:t xml:space="preserve">(9)</w:t>
      </w:r>
      <w:r>
        <w:t xml:space="preserve">. This resource offered two datasets analyzed in this study. First, a simple data table of detected measles cases in the 50 United States from 2024-2026. The second dataset is a data table compiling MMR vaccination rates in the 50 United States from 2009 through 2025. This data compiles 286,000 kindergarteners who reported receiving an MMR vaccine during the school year. This data is broken down based on the state, estimated vaccination rate, population size and the survey type used to obtain this data. The final dataset used in this study was sourced from a study from the National Center for Education Statistics, in which attainment rates for high school and post-graduation educations were assessed for all 50 U.S. states and Puerto Rico. This data was collected in two different years, 2012 and 2022, in an effort to match the time periods for the MMR vaccination rate dataset.</w:t>
      </w:r>
    </w:p>
    <w:bookmarkEnd w:id="22"/>
    <w:bookmarkStart w:id="23" w:name="questionshypotheses-to-be-addressed"/>
    <w:p>
      <w:pPr>
        <w:pStyle w:val="Heading2"/>
      </w:pPr>
      <w:r>
        <w:t xml:space="preserve">2.3 Questions/Hypotheses to be addressed</w:t>
      </w:r>
    </w:p>
    <w:p>
      <w:pPr>
        <w:pStyle w:val="FirstParagraph"/>
      </w:pPr>
      <w:r>
        <w:t xml:space="preserve">Through this analysis, we are investigating several different factors to assess whether they can be used as predictors for emerging measles cases/outbreaks and current trends in MMR vaccination rates. First, we investigated historical measles incidence to understand whether past history with measles, and a lingering presence of measles in a community, could influence current trends and attitudes towards vaccination. We hypothesize that states with shorter-lived burdens are more hesitant to vaccinate, due to it being normalized in their community as measles being a less severe threat. This normalization of measles as not a concern for their community then subsequently creates hesitancy to vaccinate, and we hypothesize that this trend in less vaccination correlates with states having outbreaks of measles cases in 2024-2026. Second, we sought to investigate whether education levels could predict MMR vaccination rates and current measles outbreaks. We hypothesized that states with higher rates of post-high school education could have higher rates of MMR vaccination, which could correlate with a lesser burden of measles cases.</w:t>
      </w:r>
    </w:p>
    <w:bookmarkEnd w:id="23"/>
    <w:bookmarkEnd w:id="24"/>
    <w:bookmarkStart w:id="32" w:name="methods"/>
    <w:p>
      <w:pPr>
        <w:pStyle w:val="Heading1"/>
      </w:pPr>
      <w:r>
        <w:t xml:space="preserve">3. Methods</w:t>
      </w:r>
    </w:p>
    <w:bookmarkStart w:id="25" w:name="data-acquisition"/>
    <w:p>
      <w:pPr>
        <w:pStyle w:val="Heading2"/>
      </w:pPr>
      <w:r>
        <w:t xml:space="preserve">3.1 Data acquisition</w:t>
      </w:r>
    </w:p>
    <w:p>
      <w:pPr>
        <w:pStyle w:val="FirstParagraph"/>
      </w:pPr>
      <w:r>
        <w:t xml:space="preserve">Data was obtained from Project Tycho and the CDC as previously mentioned. In brief, CDC data was downloaded from their weekly updated repository. Data was downloaded on February 3, 2026</w:t>
      </w:r>
      <w:r>
        <w:t xml:space="preserve">(9)</w:t>
      </w:r>
      <w:r>
        <w:t xml:space="preserve">. Non-cumulative measles case data from Project Tycho</w:t>
      </w:r>
      <w:r>
        <w:t xml:space="preserve">(10)</w:t>
      </w:r>
      <w:r>
        <w:t xml:space="preserve"> </w:t>
      </w:r>
      <w:r>
        <w:t xml:space="preserve">was downloaded with the following parameters: Condition = measles, Source name = US Nationally Notifiable Disease Surveillance System, Interval Type = Week, Cumulative = No. MMR vaccination rate data was downloaded from a CDC repository on Feburary 26, 2026</w:t>
      </w:r>
      <w:r>
        <w:t xml:space="preserve">(9)</w:t>
      </w:r>
      <w:r>
        <w:t xml:space="preserve">. The education attainment data was downloaded from the National Center for Education Statistics, titled</w:t>
      </w:r>
      <w:r>
        <w:t xml:space="preserve"> </w:t>
      </w:r>
      <w:r>
        <w:t xml:space="preserve">“Percentage of persons 18 to 24 years old and age 25 and over, by educational attainment and state or jurisdiction: 2012 and 2022”</w:t>
      </w:r>
      <w:r>
        <w:t xml:space="preserve"> </w:t>
      </w:r>
      <w:r>
        <w:t xml:space="preserve">(11)</w:t>
      </w:r>
      <w:r>
        <w:t xml:space="preserve">.</w:t>
      </w:r>
    </w:p>
    <w:bookmarkEnd w:id="25"/>
    <w:bookmarkStart w:id="30" w:name="data-import-and-cleaning"/>
    <w:p>
      <w:pPr>
        <w:pStyle w:val="Heading2"/>
      </w:pPr>
      <w:r>
        <w:t xml:space="preserve">3.2 Data import and cleaning</w:t>
      </w:r>
    </w:p>
    <w:p>
      <w:pPr>
        <w:pStyle w:val="FirstParagraph"/>
      </w:pPr>
      <w:r>
        <w:t xml:space="preserve">The code written in measle data processing file loads several raw datasets, including CDC measles cases by state, historical measles counts, MMR vaccination rates, and education data, and then standardizes column names and state labels so they match across files. The measles data is reshaped from wide to long format, years are extracted, case counts are converted to numeric values, and city locations are removed. Historical weekly measles data is aggregated into yearly totals per state and summarized to calculate persistence measures such as average cases, maximum cases, and longest streak of years with reported cases. The MMR vaccination data is cleaned by extracting school years, converting percentages to numeric values, removing city-level entries, and averaging duplicates to produce one row per state and year. Additional datasets are also cleaned by removing empty columns, renaming variables, and standardizing state names.</w:t>
      </w:r>
    </w:p>
    <w:bookmarkStart w:id="26" w:name="cdc-measles-2024-26-data"/>
    <w:p>
      <w:pPr>
        <w:pStyle w:val="Heading3"/>
      </w:pPr>
      <w:r>
        <w:t xml:space="preserve">3.2.1 CDC Measles 2024-26 Data</w:t>
      </w:r>
    </w:p>
    <w:bookmarkEnd w:id="26"/>
    <w:bookmarkStart w:id="27" w:name="project-tycho-historical-measles-data"/>
    <w:p>
      <w:pPr>
        <w:pStyle w:val="Heading3"/>
      </w:pPr>
      <w:r>
        <w:t xml:space="preserve">3.2.2 Project Tycho Historical Measles Data</w:t>
      </w:r>
    </w:p>
    <w:p>
      <w:pPr>
        <w:pStyle w:val="SourceCode"/>
      </w:pPr>
      <w:r>
        <w:rPr>
          <w:rStyle w:val="CommentTok"/>
        </w:rPr>
        <w:t xml:space="preserve">#Load Raw Historical Measles Data</w:t>
      </w:r>
      <w:r>
        <w:br/>
      </w:r>
      <w:r>
        <w:rPr>
          <w:rStyle w:val="NormalTok"/>
        </w:rPr>
        <w:t xml:space="preserve">hist_raw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"data/raw-data/measles-noncumulative.csv"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w:t>
      </w:r>
      <w:r>
        <w:br/>
      </w:r>
      <w:r>
        <w:br/>
      </w:r>
      <w:r>
        <w:rPr>
          <w:rStyle w:val="CommentTok"/>
        </w:rPr>
        <w:t xml:space="preserve">#Clean the Historical Measles Data</w:t>
      </w:r>
      <w:r>
        <w:br/>
      </w:r>
      <w:r>
        <w:rPr>
          <w:rStyle w:val="DocumentationTok"/>
        </w:rPr>
        <w:t xml:space="preserve">##Clean the raw data and make a new dataframe containing yearly measles data</w:t>
      </w:r>
      <w:r>
        <w:br/>
      </w:r>
      <w:r>
        <w:rPr>
          <w:rStyle w:val="NormalTok"/>
        </w:rPr>
        <w:t xml:space="preserve">hist_yearly </w:t>
      </w:r>
      <w:r>
        <w:rPr>
          <w:rStyle w:val="OtherTok"/>
        </w:rPr>
        <w:t xml:space="preserve">&lt;-</w:t>
      </w:r>
      <w:r>
        <w:rPr>
          <w:rStyle w:val="NormalTok"/>
        </w:rPr>
        <w:t xml:space="preserve"> hist_raw </w:t>
      </w:r>
      <w:r>
        <w:rPr>
          <w:rStyle w:val="SpecialCharTok"/>
        </w:rPr>
        <w:t xml:space="preserve">|&gt;</w:t>
      </w:r>
      <w:r>
        <w:br/>
      </w:r>
      <w:r>
        <w:rPr>
          <w:rStyle w:val="NormalTok"/>
        </w:rPr>
        <w:t xml:space="preserve">  </w:t>
      </w:r>
      <w:r>
        <w:rPr>
          <w:rStyle w:val="FunctionTok"/>
        </w:rPr>
        <w:t xml:space="preserve">transmute</w:t>
      </w:r>
      <w:r>
        <w:rPr>
          <w:rStyle w:val="NormalTok"/>
        </w:rPr>
        <w:t xml:space="preserve">( </w:t>
      </w:r>
      <w:r>
        <w:rPr>
          <w:rStyle w:val="DocumentationTok"/>
        </w:rPr>
        <w:t xml:space="preserve">###create new dataframe containing these variables</w:t>
      </w:r>
      <w:r>
        <w:br/>
      </w:r>
      <w:r>
        <w:rPr>
          <w:rStyle w:val="NormalTok"/>
        </w:rPr>
        <w:t xml:space="preserve">    </w:t>
      </w:r>
      <w:r>
        <w:rPr>
          <w:rStyle w:val="AttributeTok"/>
        </w:rPr>
        <w:t xml:space="preserve">state =</w:t>
      </w:r>
      <w:r>
        <w:rPr>
          <w:rStyle w:val="NormalTok"/>
        </w:rPr>
        <w:t xml:space="preserve"> </w:t>
      </w:r>
      <w:r>
        <w:rPr>
          <w:rStyle w:val="FunctionTok"/>
        </w:rPr>
        <w:t xml:space="preserve">str_to_title</w:t>
      </w:r>
      <w:r>
        <w:rPr>
          <w:rStyle w:val="NormalTok"/>
        </w:rPr>
        <w:t xml:space="preserve">(</w:t>
      </w:r>
      <w:r>
        <w:rPr>
          <w:rStyle w:val="FunctionTok"/>
        </w:rPr>
        <w:t xml:space="preserve">str_squish</w:t>
      </w:r>
      <w:r>
        <w:rPr>
          <w:rStyle w:val="NormalTok"/>
        </w:rPr>
        <w:t xml:space="preserve">(admin1name)), </w:t>
      </w:r>
      <w:r>
        <w:rPr>
          <w:rStyle w:val="DocumentationTok"/>
        </w:rPr>
        <w:t xml:space="preserve">###convert states to be in similar format to previous dataset</w:t>
      </w:r>
      <w:r>
        <w:br/>
      </w:r>
      <w:r>
        <w:rPr>
          <w:rStyle w:val="NormalTok"/>
        </w:rPr>
        <w:t xml:space="preserve">    </w:t>
      </w:r>
      <w:r>
        <w:rPr>
          <w:rStyle w:val="AttributeTok"/>
        </w:rPr>
        <w:t xml:space="preserve">start_date =</w:t>
      </w:r>
      <w:r>
        <w:rPr>
          <w:rStyle w:val="NormalTok"/>
        </w:rPr>
        <w:t xml:space="preserve"> </w:t>
      </w:r>
      <w:r>
        <w:rPr>
          <w:rStyle w:val="FunctionTok"/>
        </w:rPr>
        <w:t xml:space="preserve">ymd</w:t>
      </w:r>
      <w:r>
        <w:rPr>
          <w:rStyle w:val="NormalTok"/>
        </w:rPr>
        <w:t xml:space="preserve">(period_start_date), </w:t>
      </w:r>
      <w:r>
        <w:rPr>
          <w:rStyle w:val="DocumentationTok"/>
        </w:rPr>
        <w:t xml:space="preserve">###convert period state date variable to a proper start date</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(start_date), </w:t>
      </w:r>
      <w:r>
        <w:rPr>
          <w:rStyle w:val="DocumentationTok"/>
        </w:rPr>
        <w:t xml:space="preserve">###extract year from start_date</w:t>
      </w:r>
      <w:r>
        <w:br/>
      </w:r>
      <w:r>
        <w:rPr>
          <w:rStyle w:val="NormalTok"/>
        </w:rPr>
        <w:t xml:space="preserve">    </w:t>
      </w:r>
      <w:r>
        <w:rPr>
          <w:rStyle w:val="AttributeTok"/>
        </w:rPr>
        <w:t xml:space="preserve">cases =</w:t>
      </w:r>
      <w:r>
        <w:rPr>
          <w:rStyle w:val="NormalTok"/>
        </w:rPr>
        <w:t xml:space="preserve"> </w:t>
      </w:r>
      <w:r>
        <w:rPr>
          <w:rStyle w:val="FunctionTok"/>
        </w:rPr>
        <w:t xml:space="preserve">as.numeric</w:t>
      </w:r>
      <w:r>
        <w:rPr>
          <w:rStyle w:val="NormalTok"/>
        </w:rPr>
        <w:t xml:space="preserve">(count_value) </w:t>
      </w:r>
      <w:r>
        <w:rPr>
          <w:rStyle w:val="DocumentationTok"/>
        </w:rPr>
        <w:t xml:space="preserve">###make count_value a numeric variable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(state), </w:t>
      </w:r>
      <w:r>
        <w:br/>
      </w:r>
      <w:r>
        <w:rPr>
          <w:rStyle w:val="NormalTok"/>
        </w:rPr>
        <w:t xml:space="preserve">    </w:t>
      </w:r>
      <w:r>
        <w:rPr>
          <w:rStyle w:val="SpecialCharTok"/>
        </w:rPr>
        <w:t xml:space="preserve">!</w:t>
      </w:r>
      <w:r>
        <w:rPr>
          <w:rStyle w:val="FunctionTok"/>
        </w:rPr>
        <w:t xml:space="preserve">is.na</w:t>
      </w:r>
      <w:r>
        <w:rPr>
          <w:rStyle w:val="NormalTok"/>
        </w:rPr>
        <w:t xml:space="preserve">(year), </w:t>
      </w:r>
      <w:r>
        <w:br/>
      </w:r>
      <w:r>
        <w:rPr>
          <w:rStyle w:val="NormalTok"/>
        </w:rPr>
        <w:t xml:space="preserve">    </w:t>
      </w:r>
      <w:r>
        <w:rPr>
          <w:rStyle w:val="SpecialCharTok"/>
        </w:rPr>
        <w:t xml:space="preserve">!</w:t>
      </w:r>
      <w:r>
        <w:rPr>
          <w:rStyle w:val="FunctionTok"/>
        </w:rPr>
        <w:t xml:space="preserve">is.na</w:t>
      </w:r>
      <w:r>
        <w:rPr>
          <w:rStyle w:val="NormalTok"/>
        </w:rPr>
        <w:t xml:space="preserve">(cases),</w:t>
      </w:r>
      <w:r>
        <w:br/>
      </w:r>
      <w:r>
        <w:rPr>
          <w:rStyle w:val="NormalTok"/>
        </w:rPr>
        <w:t xml:space="preserve">    </w:t>
      </w:r>
      <w:r>
        <w:rPr>
          <w:rStyle w:val="SpecialCharTok"/>
        </w:rPr>
        <w:t xml:space="preserve">!</w:t>
      </w:r>
      <w:r>
        <w:rPr>
          <w:rStyle w:val="NormalTok"/>
        </w:rPr>
        <w:t xml:space="preserve">state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"American Samoa"</w:t>
      </w:r>
      <w:r>
        <w:rPr>
          <w:rStyle w:val="NormalTok"/>
        </w:rPr>
        <w:t xml:space="preserve">, </w:t>
      </w:r>
      <w:r>
        <w:rPr>
          <w:rStyle w:val="StringTok"/>
        </w:rPr>
        <w:t xml:space="preserve">"Guam"</w:t>
      </w:r>
      <w:r>
        <w:rPr>
          <w:rStyle w:val="NormalTok"/>
        </w:rPr>
        <w:t xml:space="preserve">, </w:t>
      </w:r>
      <w:r>
        <w:rPr>
          <w:rStyle w:val="StringTok"/>
        </w:rPr>
        <w:t xml:space="preserve">"District of Columbia"</w:t>
      </w:r>
      <w:r>
        <w:rPr>
          <w:rStyle w:val="NormalTok"/>
        </w:rPr>
        <w:t xml:space="preserve">, </w:t>
      </w:r>
      <w:r>
        <w:rPr>
          <w:rStyle w:val="StringTok"/>
        </w:rPr>
        <w:t xml:space="preserve">"Northern Mariana Islands"</w:t>
      </w:r>
      <w:r>
        <w:rPr>
          <w:rStyle w:val="NormalTok"/>
        </w:rPr>
        <w:t xml:space="preserve">, </w:t>
      </w:r>
      <w:r>
        <w:rPr>
          <w:rStyle w:val="StringTok"/>
        </w:rPr>
        <w:t xml:space="preserve">"Puerto Rico"</w:t>
      </w:r>
      <w:r>
        <w:rPr>
          <w:rStyle w:val="NormalTok"/>
        </w:rPr>
        <w:t xml:space="preserve">, </w:t>
      </w:r>
      <w:r>
        <w:rPr>
          <w:rStyle w:val="StringTok"/>
        </w:rPr>
        <w:t xml:space="preserve">"Virgin Islands, U.s."</w:t>
      </w:r>
      <w:r>
        <w:rPr>
          <w:rStyle w:val="NormalTok"/>
        </w:rPr>
        <w:t xml:space="preserve">)) </w:t>
      </w:r>
      <w:r>
        <w:rPr>
          <w:rStyle w:val="SpecialCharTok"/>
        </w:rPr>
        <w:t xml:space="preserve">|&gt;</w:t>
      </w:r>
      <w:r>
        <w:br/>
      </w:r>
      <w:r>
        <w:rPr>
          <w:rStyle w:val="NormalTok"/>
        </w:rPr>
        <w:t xml:space="preserve">    </w:t>
      </w:r>
      <w:r>
        <w:rPr>
          <w:rStyle w:val="DocumentationTok"/>
        </w:rPr>
        <w:t xml:space="preserve">###remove cities and U.S. territories</w:t>
      </w:r>
      <w:r>
        <w:br/>
      </w:r>
      <w:r>
        <w:rPr>
          <w:rStyle w:val="NormalTok"/>
        </w:rPr>
        <w:t xml:space="preserve">  </w:t>
      </w:r>
      <w:r>
        <w:rPr>
          <w:rStyle w:val="FunctionTok"/>
        </w:rPr>
        <w:t xml:space="preserve">group_by</w:t>
      </w:r>
      <w:r>
        <w:rPr>
          <w:rStyle w:val="NormalTok"/>
        </w:rPr>
        <w:t xml:space="preserve">(state, year) </w:t>
      </w:r>
      <w:r>
        <w:rPr>
          <w:rStyle w:val="SpecialCharTok"/>
        </w:rPr>
        <w:t xml:space="preserve">|&gt;</w:t>
      </w:r>
      <w:r>
        <w:rPr>
          <w:rStyle w:val="NormalTok"/>
        </w:rPr>
        <w:t xml:space="preserve"> </w:t>
      </w:r>
      <w:r>
        <w:rPr>
          <w:rStyle w:val="DocumentationTok"/>
        </w:rPr>
        <w:t xml:space="preserve">###group data by state and year</w:t>
      </w:r>
      <w:r>
        <w:br/>
      </w:r>
      <w:r>
        <w:rPr>
          <w:rStyle w:val="NormalTok"/>
        </w:rPr>
        <w:t xml:space="preserve">  </w:t>
      </w:r>
      <w:r>
        <w:rPr>
          <w:rStyle w:val="FunctionTok"/>
        </w:rPr>
        <w:t xml:space="preserve">summarise</w:t>
      </w:r>
      <w:r>
        <w:rPr>
          <w:rStyle w:val="NormalTok"/>
        </w:rPr>
        <w:t xml:space="preserve">(</w:t>
      </w:r>
      <w:r>
        <w:rPr>
          <w:rStyle w:val="AttributeTok"/>
        </w:rPr>
        <w:t xml:space="preserve">cases =</w:t>
      </w:r>
      <w:r>
        <w:rPr>
          <w:rStyle w:val="NormalTok"/>
        </w:rPr>
        <w:t xml:space="preserve"> </w:t>
      </w:r>
      <w:r>
        <w:rPr>
          <w:rStyle w:val="FunctionTok"/>
        </w:rPr>
        <w:t xml:space="preserve">sum</w:t>
      </w:r>
      <w:r>
        <w:rPr>
          <w:rStyle w:val="NormalTok"/>
        </w:rPr>
        <w:t xml:space="preserve">(cases,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DocumentationTok"/>
        </w:rPr>
        <w:t xml:space="preserve">###sum up number of cases by year for each state</w:t>
      </w:r>
    </w:p>
    <w:p>
      <w:pPr>
        <w:pStyle w:val="SourceCode"/>
      </w:pPr>
      <w:r>
        <w:rPr>
          <w:rStyle w:val="VerbatimChar"/>
        </w:rPr>
        <w:t xml:space="preserve">Warning: There was 1 warning in `transmute()`.</w:t>
      </w:r>
      <w:r>
        <w:br/>
      </w:r>
      <w:r>
        <w:rPr>
          <w:rStyle w:val="VerbatimChar"/>
        </w:rPr>
        <w:t xml:space="preserve">ℹ In argument: `start_date = ymd(period_start_date)`.</w:t>
      </w:r>
      <w:r>
        <w:br/>
      </w:r>
      <w:r>
        <w:rPr>
          <w:rStyle w:val="VerbatimChar"/>
        </w:rPr>
        <w:t xml:space="preserve">Caused by warning:</w:t>
      </w:r>
      <w:r>
        <w:br/>
      </w:r>
      <w:r>
        <w:rPr>
          <w:rStyle w:val="VerbatimChar"/>
        </w:rPr>
        <w:t xml:space="preserve">!  289892 failed to parse.</w:t>
      </w:r>
    </w:p>
    <w:bookmarkEnd w:id="27"/>
    <w:bookmarkStart w:id="28" w:name="mmr-vaccination-data-by-state-cdc"/>
    <w:p>
      <w:pPr>
        <w:pStyle w:val="Heading3"/>
      </w:pPr>
      <w:r>
        <w:t xml:space="preserve">3.2.3 MMR Vaccination Data By State (CDC)</w:t>
      </w:r>
    </w:p>
    <w:p>
      <w:pPr>
        <w:pStyle w:val="SourceCode"/>
      </w:pPr>
      <w:r>
        <w:rPr>
          <w:rStyle w:val="CommentTok"/>
        </w:rPr>
        <w:t xml:space="preserve">#Load Raw MMR Vaccination Data</w:t>
      </w:r>
      <w:r>
        <w:br/>
      </w:r>
      <w:r>
        <w:rPr>
          <w:rStyle w:val="NormalTok"/>
        </w:rPr>
        <w:t xml:space="preserve">mmr_raw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"data/raw-data/cdc-mmr2024.csv"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w:t>
      </w:r>
      <w:r>
        <w:br/>
      </w:r>
      <w:r>
        <w:br/>
      </w:r>
      <w:r>
        <w:rPr>
          <w:rStyle w:val="CommentTok"/>
        </w:rPr>
        <w:t xml:space="preserve">#Clean the MMR Vaccination Data</w:t>
      </w:r>
      <w:r>
        <w:br/>
      </w:r>
      <w:r>
        <w:rPr>
          <w:rStyle w:val="DocumentationTok"/>
        </w:rPr>
        <w:t xml:space="preserve">##Clean core variables</w:t>
      </w:r>
      <w:r>
        <w:br/>
      </w:r>
      <w:r>
        <w:rPr>
          <w:rStyle w:val="NormalTok"/>
        </w:rPr>
        <w:t xml:space="preserve">mmr_clean </w:t>
      </w:r>
      <w:r>
        <w:rPr>
          <w:rStyle w:val="OtherTok"/>
        </w:rPr>
        <w:t xml:space="preserve">&lt;-</w:t>
      </w:r>
      <w:r>
        <w:rPr>
          <w:rStyle w:val="NormalTok"/>
        </w:rPr>
        <w:t xml:space="preserve"> mmr_raw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str_to_title</w:t>
      </w:r>
      <w:r>
        <w:rPr>
          <w:rStyle w:val="NormalTok"/>
        </w:rPr>
        <w:t xml:space="preserve">(</w:t>
      </w:r>
      <w:r>
        <w:rPr>
          <w:rStyle w:val="FunctionTok"/>
        </w:rPr>
        <w:t xml:space="preserve">str_squish</w:t>
      </w:r>
      <w:r>
        <w:rPr>
          <w:rStyle w:val="NormalTok"/>
        </w:rPr>
        <w:t xml:space="preserve">(location)),                 </w:t>
      </w:r>
      <w:r>
        <w:rPr>
          <w:rStyle w:val="CommentTok"/>
        </w:rPr>
        <w:t xml:space="preserve"># standardize state names</w:t>
      </w:r>
      <w:r>
        <w:br/>
      </w:r>
      <w:r>
        <w:rPr>
          <w:rStyle w:val="NormalTok"/>
        </w:rPr>
        <w:t xml:space="preserve">    </w:t>
      </w:r>
      <w:r>
        <w:rPr>
          <w:rStyle w:val="AttributeTok"/>
        </w:rPr>
        <w:t xml:space="preserve">school_year =</w:t>
      </w:r>
      <w:r>
        <w:rPr>
          <w:rStyle w:val="NormalTok"/>
        </w:rPr>
        <w:t xml:space="preserve"> </w:t>
      </w:r>
      <w:r>
        <w:rPr>
          <w:rStyle w:val="FunctionTok"/>
        </w:rPr>
        <w:t xml:space="preserve">str_squish</w:t>
      </w:r>
      <w:r>
        <w:rPr>
          <w:rStyle w:val="NormalTok"/>
        </w:rPr>
        <w:t xml:space="preserve">(school_year),                      </w:t>
      </w:r>
      <w:r>
        <w:rPr>
          <w:rStyle w:val="CommentTok"/>
        </w:rPr>
        <w:t xml:space="preserve"># trim spaces</w:t>
      </w:r>
      <w:r>
        <w:br/>
      </w:r>
      <w:r>
        <w:rPr>
          <w:rStyle w:val="NormalTok"/>
        </w:rPr>
        <w:t xml:space="preserve">    </w:t>
      </w:r>
      <w:r>
        <w:rPr>
          <w:rStyle w:val="AttributeTok"/>
        </w:rPr>
        <w:t xml:space="preserve">school_year_start =</w:t>
      </w:r>
      <w:r>
        <w:rPr>
          <w:rStyle w:val="NormalTok"/>
        </w:rPr>
        <w:t xml:space="preserve"> </w:t>
      </w:r>
      <w:r>
        <w:rPr>
          <w:rStyle w:val="FunctionTok"/>
        </w:rPr>
        <w:t xml:space="preserve">as.integer</w:t>
      </w:r>
      <w:r>
        <w:rPr>
          <w:rStyle w:val="NormalTok"/>
        </w:rPr>
        <w:t xml:space="preserve">(</w:t>
      </w:r>
      <w:r>
        <w:rPr>
          <w:rStyle w:val="FunctionTok"/>
        </w:rPr>
        <w:t xml:space="preserve">str_extract</w:t>
      </w:r>
      <w:r>
        <w:rPr>
          <w:rStyle w:val="NormalTok"/>
        </w:rPr>
        <w:t xml:space="preserve">(school_year, </w:t>
      </w:r>
      <w:r>
        <w:rPr>
          <w:rStyle w:val="StringTok"/>
        </w:rPr>
        <w:t xml:space="preserve">"</w:t>
      </w:r>
      <w:r>
        <w:rPr>
          <w:rStyle w:val="SpecialCharTok"/>
        </w:rPr>
        <w:t xml:space="preserve">\\</w:t>
      </w:r>
      <w:r>
        <w:rPr>
          <w:rStyle w:val="StringTok"/>
        </w:rPr>
        <w:t xml:space="preserve">d{4}"</w:t>
      </w:r>
      <w:r>
        <w:rPr>
          <w:rStyle w:val="NormalTok"/>
        </w:rPr>
        <w:t xml:space="preserve">)), </w:t>
      </w:r>
      <w:r>
        <w:rPr>
          <w:rStyle w:val="CommentTok"/>
        </w:rPr>
        <w:t xml:space="preserve"># extract starting year</w:t>
      </w:r>
      <w:r>
        <w:br/>
      </w:r>
      <w:r>
        <w:rPr>
          <w:rStyle w:val="NormalTok"/>
        </w:rPr>
        <w:t xml:space="preserve">    </w:t>
      </w:r>
      <w:r>
        <w:rPr>
          <w:rStyle w:val="AttributeTok"/>
        </w:rPr>
        <w:t xml:space="preserve">mmr_pct =</w:t>
      </w:r>
      <w:r>
        <w:rPr>
          <w:rStyle w:val="NormalTok"/>
        </w:rPr>
        <w:t xml:space="preserve"> readr</w:t>
      </w:r>
      <w:r>
        <w:rPr>
          <w:rStyle w:val="SpecialCharTok"/>
        </w:rPr>
        <w:t xml:space="preserve">::</w:t>
      </w:r>
      <w:r>
        <w:rPr>
          <w:rStyle w:val="FunctionTok"/>
        </w:rPr>
        <w:t xml:space="preserve">parse_number</w:t>
      </w:r>
      <w:r>
        <w:rPr>
          <w:rStyle w:val="NormalTok"/>
        </w:rPr>
        <w:t xml:space="preserve">(estimated_percent_vaccinated),</w:t>
      </w:r>
      <w:r>
        <w:rPr>
          <w:rStyle w:val="CommentTok"/>
        </w:rPr>
        <w:t xml:space="preserve"># handles "95.4%" or "95.4"</w:t>
      </w:r>
      <w:r>
        <w:br/>
      </w:r>
      <w:r>
        <w:rPr>
          <w:rStyle w:val="NormalTok"/>
        </w:rPr>
        <w:t xml:space="preserve">    </w:t>
      </w:r>
      <w:r>
        <w:rPr>
          <w:rStyle w:val="AttributeTok"/>
        </w:rPr>
        <w:t xml:space="preserve">category =</w:t>
      </w:r>
      <w:r>
        <w:rPr>
          <w:rStyle w:val="NormalTok"/>
        </w:rPr>
        <w:t xml:space="preserve"> </w:t>
      </w:r>
      <w:r>
        <w:rPr>
          <w:rStyle w:val="ControlFlowTok"/>
        </w:rPr>
        <w:t xml:space="preserve">if</w:t>
      </w:r>
      <w:r>
        <w:rPr>
          <w:rStyle w:val="NormalTok"/>
        </w:rPr>
        <w:t xml:space="preserve"> (</w:t>
      </w:r>
      <w:r>
        <w:rPr>
          <w:rStyle w:val="StringTok"/>
        </w:rPr>
        <w:t xml:space="preserve">"category"</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(mmr_raw)) category </w:t>
      </w:r>
      <w:r>
        <w:rPr>
          <w:rStyle w:val="ControlFlowTok"/>
        </w:rPr>
        <w:t xml:space="preserve">else</w:t>
      </w:r>
      <w:r>
        <w:rPr>
          <w:rStyle w:val="NormalTok"/>
        </w:rPr>
        <w:t xml:space="preserve"> </w:t>
      </w:r>
      <w:r>
        <w:rPr>
          <w:rStyle w:val="ConstantTok"/>
        </w:rPr>
        <w:t xml:space="preserve">NA_character_</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(state), </w:t>
      </w:r>
      <w:r>
        <w:br/>
      </w:r>
      <w:r>
        <w:rPr>
          <w:rStyle w:val="NormalTok"/>
        </w:rPr>
        <w:t xml:space="preserve">  </w:t>
      </w:r>
      <w:r>
        <w:rPr>
          <w:rStyle w:val="SpecialCharTok"/>
        </w:rPr>
        <w:t xml:space="preserve">!</w:t>
      </w:r>
      <w:r>
        <w:rPr>
          <w:rStyle w:val="FunctionTok"/>
        </w:rPr>
        <w:t xml:space="preserve">is.na</w:t>
      </w:r>
      <w:r>
        <w:rPr>
          <w:rStyle w:val="NormalTok"/>
        </w:rPr>
        <w:t xml:space="preserve">(school_year_start), </w:t>
      </w:r>
      <w:r>
        <w:br/>
      </w:r>
      <w:r>
        <w:rPr>
          <w:rStyle w:val="NormalTok"/>
        </w:rPr>
        <w:t xml:space="preserve">  </w:t>
      </w:r>
      <w:r>
        <w:rPr>
          <w:rStyle w:val="SpecialCharTok"/>
        </w:rPr>
        <w:t xml:space="preserve">!</w:t>
      </w:r>
      <w:r>
        <w:rPr>
          <w:rStyle w:val="FunctionTok"/>
        </w:rPr>
        <w:t xml:space="preserve">is.na</w:t>
      </w:r>
      <w:r>
        <w:rPr>
          <w:rStyle w:val="NormalTok"/>
        </w:rPr>
        <w:t xml:space="preserve">(mmr_pct),</w:t>
      </w:r>
      <w:r>
        <w:br/>
      </w:r>
      <w:r>
        <w:rPr>
          <w:rStyle w:val="NormalTok"/>
        </w:rPr>
        <w:t xml:space="preserve">  </w:t>
      </w:r>
      <w:r>
        <w:rPr>
          <w:rStyle w:val="SpecialCharTok"/>
        </w:rPr>
        <w:t xml:space="preserve">!</w:t>
      </w:r>
      <w:r>
        <w:rPr>
          <w:rStyle w:val="NormalTok"/>
        </w:rPr>
        <w:t xml:space="preserve">state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"Houston"</w:t>
      </w:r>
      <w:r>
        <w:rPr>
          <w:rStyle w:val="NormalTok"/>
        </w:rPr>
        <w:t xml:space="preserve">, </w:t>
      </w:r>
      <w:r>
        <w:rPr>
          <w:rStyle w:val="StringTok"/>
        </w:rPr>
        <w:t xml:space="preserve">"San Antonio"</w:t>
      </w:r>
      <w:r>
        <w:rPr>
          <w:rStyle w:val="NormalTok"/>
        </w:rPr>
        <w:t xml:space="preserve">, </w:t>
      </w:r>
      <w:r>
        <w:rPr>
          <w:rStyle w:val="StringTok"/>
        </w:rPr>
        <w:t xml:space="preserve">"New York City"</w:t>
      </w:r>
      <w:r>
        <w:rPr>
          <w:rStyle w:val="NormalTok"/>
        </w:rPr>
        <w:t xml:space="preserve">, </w:t>
      </w:r>
      <w:r>
        <w:rPr>
          <w:rStyle w:val="StringTok"/>
        </w:rPr>
        <w:t xml:space="preserve">"District Of Columbia"</w:t>
      </w:r>
      <w:r>
        <w:rPr>
          <w:rStyle w:val="NormalTok"/>
        </w:rPr>
        <w:t xml:space="preserve"> </w:t>
      </w:r>
      <w:r>
        <w:br/>
      </w:r>
      <w:r>
        <w:rPr>
          <w:rStyle w:val="NormalTok"/>
        </w:rPr>
        <w:t xml:space="preserve">  )</w:t>
      </w:r>
      <w:r>
        <w:br/>
      </w:r>
      <w:r>
        <w:rPr>
          <w:rStyle w:val="NormalTok"/>
        </w:rPr>
        <w:t xml:space="preserve">  )</w:t>
      </w:r>
      <w:r>
        <w:br/>
      </w:r>
      <w:r>
        <w:rPr>
          <w:rStyle w:val="DocumentationTok"/>
        </w:rPr>
        <w:t xml:space="preserve">##Collapse to ONE row per state-year (handles duplicate categories/rows)</w:t>
      </w:r>
      <w:r>
        <w:br/>
      </w:r>
      <w:r>
        <w:rPr>
          <w:rStyle w:val="NormalTok"/>
        </w:rPr>
        <w:t xml:space="preserve">mmr_state_year </w:t>
      </w:r>
      <w:r>
        <w:rPr>
          <w:rStyle w:val="OtherTok"/>
        </w:rPr>
        <w:t xml:space="preserve">&lt;-</w:t>
      </w:r>
      <w:r>
        <w:rPr>
          <w:rStyle w:val="NormalTok"/>
        </w:rPr>
        <w:t xml:space="preserve"> mmr_clean </w:t>
      </w:r>
      <w:r>
        <w:rPr>
          <w:rStyle w:val="SpecialCharTok"/>
        </w:rPr>
        <w:t xml:space="preserve">|&gt;</w:t>
      </w:r>
      <w:r>
        <w:br/>
      </w:r>
      <w:r>
        <w:rPr>
          <w:rStyle w:val="NormalTok"/>
        </w:rPr>
        <w:t xml:space="preserve">  </w:t>
      </w:r>
      <w:r>
        <w:rPr>
          <w:rStyle w:val="FunctionTok"/>
        </w:rPr>
        <w:t xml:space="preserve">group_by</w:t>
      </w:r>
      <w:r>
        <w:rPr>
          <w:rStyle w:val="NormalTok"/>
        </w:rPr>
        <w:t xml:space="preserve">(state, school_year_start)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mmr_pct =</w:t>
      </w:r>
      <w:r>
        <w:rPr>
          <w:rStyle w:val="NormalTok"/>
        </w:rPr>
        <w:t xml:space="preserve"> </w:t>
      </w:r>
      <w:r>
        <w:rPr>
          <w:rStyle w:val="FunctionTok"/>
        </w:rPr>
        <w:t xml:space="preserve">mean</w:t>
      </w:r>
      <w:r>
        <w:rPr>
          <w:rStyle w:val="NormalTok"/>
        </w:rPr>
        <w:t xml:space="preserve">(mmr_pct,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CommentTok"/>
        </w:rPr>
        <w:t xml:space="preserve"># average across duplicates if present</w:t>
      </w:r>
      <w:r>
        <w:br/>
      </w:r>
      <w:r>
        <w:rPr>
          <w:rStyle w:val="NormalTok"/>
        </w:rPr>
        <w:t xml:space="preserve">    </w:t>
      </w:r>
      <w:r>
        <w:rPr>
          <w:rStyle w:val="AttributeTok"/>
        </w:rPr>
        <w:t xml:space="preserve">n_rows =</w:t>
      </w:r>
      <w:r>
        <w:rPr>
          <w:rStyle w:val="NormalTok"/>
        </w:rPr>
        <w:t xml:space="preserve"> </w:t>
      </w:r>
      <w:r>
        <w:rPr>
          <w:rStyle w:val="FunctionTok"/>
        </w:rPr>
        <w:t xml:space="preserve">n</w:t>
      </w:r>
      <w:r>
        <w:rPr>
          <w:rStyle w:val="NormalTok"/>
        </w:rPr>
        <w:t xml:space="preserve">(),                             </w:t>
      </w:r>
      <w:r>
        <w:rPr>
          <w:rStyle w:val="CommentTok"/>
        </w:rPr>
        <w:t xml:space="preserve"># how many rows contributed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bookmarkEnd w:id="28"/>
    <w:bookmarkStart w:id="29" w:name="educational-attainment-data"/>
    <w:p>
      <w:pPr>
        <w:pStyle w:val="Heading3"/>
      </w:pPr>
      <w:r>
        <w:t xml:space="preserve">3.2.4 Educational Attainment Data</w:t>
      </w:r>
    </w:p>
    <w:p>
      <w:pPr>
        <w:pStyle w:val="SourceCode"/>
      </w:pPr>
      <w:r>
        <w:rPr>
          <w:rStyle w:val="CommentTok"/>
        </w:rPr>
        <w:t xml:space="preserve">#Load Raw Educational Attainment Data</w:t>
      </w:r>
      <w:r>
        <w:br/>
      </w:r>
      <w:r>
        <w:rPr>
          <w:rStyle w:val="NormalTok"/>
        </w:rPr>
        <w:t xml:space="preserve">education_raw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"data/raw-data/educationattainment.xlsx"</w:t>
      </w:r>
      <w:r>
        <w:rPr>
          <w:rStyle w:val="NormalTok"/>
        </w:rPr>
        <w:t xml:space="preserve">), </w:t>
      </w:r>
      <w:r>
        <w:rPr>
          <w:rStyle w:val="AttributeTok"/>
        </w:rPr>
        <w:t xml:space="preserve">skip =</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w:t>
      </w:r>
    </w:p>
    <w:p>
      <w:pPr>
        <w:pStyle w:val="SourceCode"/>
      </w:pPr>
      <w:r>
        <w:rPr>
          <w:rStyle w:val="VerbatimChar"/>
        </w:rPr>
        <w:t xml:space="preserve">New names:</w:t>
      </w:r>
      <w:r>
        <w:br/>
      </w:r>
      <w:r>
        <w:rPr>
          <w:rStyle w:val="VerbatimChar"/>
        </w:rPr>
        <w:t xml:space="preserve">• `` -&gt; `...3`</w:t>
      </w:r>
      <w:r>
        <w:br/>
      </w:r>
      <w:r>
        <w:rPr>
          <w:rStyle w:val="VerbatimChar"/>
        </w:rPr>
        <w:t xml:space="preserve">• `` -&gt; `...4`</w:t>
      </w:r>
      <w:r>
        <w:br/>
      </w:r>
      <w:r>
        <w:rPr>
          <w:rStyle w:val="VerbatimChar"/>
        </w:rPr>
        <w:t xml:space="preserve">• `` -&gt; `...6`</w:t>
      </w:r>
      <w:r>
        <w:br/>
      </w:r>
      <w:r>
        <w:rPr>
          <w:rStyle w:val="VerbatimChar"/>
        </w:rPr>
        <w:t xml:space="preserve">• `` -&gt; `...7`</w:t>
      </w:r>
      <w:r>
        <w:br/>
      </w:r>
      <w:r>
        <w:rPr>
          <w:rStyle w:val="VerbatimChar"/>
        </w:rPr>
        <w:t xml:space="preserve">• `` -&gt; `...9`</w:t>
      </w:r>
      <w:r>
        <w:br/>
      </w:r>
      <w:r>
        <w:rPr>
          <w:rStyle w:val="VerbatimChar"/>
        </w:rPr>
        <w:t xml:space="preserve">• `` -&gt; `...10`</w:t>
      </w:r>
      <w:r>
        <w:br/>
      </w:r>
      <w:r>
        <w:rPr>
          <w:rStyle w:val="VerbatimChar"/>
        </w:rPr>
        <w:t xml:space="preserve">• `` -&gt; `...12`</w:t>
      </w:r>
      <w:r>
        <w:br/>
      </w:r>
      <w:r>
        <w:rPr>
          <w:rStyle w:val="VerbatimChar"/>
        </w:rPr>
        <w:t xml:space="preserve">• `` -&gt; `...13`</w:t>
      </w:r>
      <w:r>
        <w:br/>
      </w:r>
      <w:r>
        <w:rPr>
          <w:rStyle w:val="VerbatimChar"/>
        </w:rPr>
        <w:t xml:space="preserve">• `` -&gt; `...15`</w:t>
      </w:r>
      <w:r>
        <w:br/>
      </w:r>
      <w:r>
        <w:rPr>
          <w:rStyle w:val="VerbatimChar"/>
        </w:rPr>
        <w:t xml:space="preserve">• `` -&gt; `...16`</w:t>
      </w:r>
      <w:r>
        <w:br/>
      </w:r>
      <w:r>
        <w:rPr>
          <w:rStyle w:val="VerbatimChar"/>
        </w:rPr>
        <w:t xml:space="preserve">• `` -&gt; `...18`</w:t>
      </w:r>
      <w:r>
        <w:br/>
      </w:r>
      <w:r>
        <w:rPr>
          <w:rStyle w:val="VerbatimChar"/>
        </w:rPr>
        <w:t xml:space="preserve">• `` -&gt; `...19`</w:t>
      </w:r>
      <w:r>
        <w:br/>
      </w:r>
      <w:r>
        <w:rPr>
          <w:rStyle w:val="VerbatimChar"/>
        </w:rPr>
        <w:t xml:space="preserve">• `` -&gt; `...21`</w:t>
      </w:r>
      <w:r>
        <w:br/>
      </w:r>
      <w:r>
        <w:rPr>
          <w:rStyle w:val="VerbatimChar"/>
        </w:rPr>
        <w:t xml:space="preserve">• `` -&gt; `...22`</w:t>
      </w:r>
      <w:r>
        <w:br/>
      </w:r>
      <w:r>
        <w:rPr>
          <w:rStyle w:val="VerbatimChar"/>
        </w:rPr>
        <w:t xml:space="preserve">• `` -&gt; `...24`</w:t>
      </w:r>
      <w:r>
        <w:br/>
      </w:r>
      <w:r>
        <w:rPr>
          <w:rStyle w:val="VerbatimChar"/>
        </w:rPr>
        <w:t xml:space="preserve">• `` -&gt; `...25`</w:t>
      </w:r>
      <w:r>
        <w:br/>
      </w:r>
      <w:r>
        <w:rPr>
          <w:rStyle w:val="VerbatimChar"/>
        </w:rPr>
        <w:t xml:space="preserve">• `` -&gt; `...27`</w:t>
      </w:r>
      <w:r>
        <w:br/>
      </w:r>
      <w:r>
        <w:rPr>
          <w:rStyle w:val="VerbatimChar"/>
        </w:rPr>
        <w:t xml:space="preserve">• `` -&gt; `...28`</w:t>
      </w:r>
      <w:r>
        <w:br/>
      </w:r>
      <w:r>
        <w:rPr>
          <w:rStyle w:val="VerbatimChar"/>
        </w:rPr>
        <w:t xml:space="preserve">• `` -&gt; `...30`</w:t>
      </w:r>
      <w:r>
        <w:br/>
      </w:r>
      <w:r>
        <w:rPr>
          <w:rStyle w:val="VerbatimChar"/>
        </w:rPr>
        <w:t xml:space="preserve">• `` -&gt; `...31`</w:t>
      </w:r>
      <w:r>
        <w:br/>
      </w:r>
      <w:r>
        <w:rPr>
          <w:rStyle w:val="VerbatimChar"/>
        </w:rPr>
        <w:t xml:space="preserve">• `12` -&gt; `12...32`</w:t>
      </w:r>
      <w:r>
        <w:br/>
      </w:r>
      <w:r>
        <w:rPr>
          <w:rStyle w:val="VerbatimChar"/>
        </w:rPr>
        <w:t xml:space="preserve">• `` -&gt; `...33`</w:t>
      </w:r>
      <w:r>
        <w:br/>
      </w:r>
      <w:r>
        <w:rPr>
          <w:rStyle w:val="VerbatimChar"/>
        </w:rPr>
        <w:t xml:space="preserve">• `12` -&gt; `12...34`</w:t>
      </w:r>
      <w:r>
        <w:br/>
      </w:r>
      <w:r>
        <w:rPr>
          <w:rStyle w:val="VerbatimChar"/>
        </w:rPr>
        <w:t xml:space="preserve">• `` -&gt; `...36`</w:t>
      </w:r>
      <w:r>
        <w:br/>
      </w:r>
      <w:r>
        <w:rPr>
          <w:rStyle w:val="VerbatimChar"/>
        </w:rPr>
        <w:t xml:space="preserve">• `` -&gt; `...37`</w:t>
      </w:r>
      <w:r>
        <w:br/>
      </w:r>
      <w:r>
        <w:rPr>
          <w:rStyle w:val="VerbatimChar"/>
        </w:rPr>
        <w:t xml:space="preserve">• `` -&gt; `...39`</w:t>
      </w:r>
      <w:r>
        <w:br/>
      </w:r>
      <w:r>
        <w:rPr>
          <w:rStyle w:val="VerbatimChar"/>
        </w:rPr>
        <w:t xml:space="preserve">• `` -&gt; `...40`</w:t>
      </w:r>
      <w:r>
        <w:br/>
      </w:r>
      <w:r>
        <w:rPr>
          <w:rStyle w:val="VerbatimChar"/>
        </w:rPr>
        <w:t xml:space="preserve">• `` -&gt; `...42`</w:t>
      </w:r>
      <w:r>
        <w:br/>
      </w:r>
      <w:r>
        <w:rPr>
          <w:rStyle w:val="VerbatimChar"/>
        </w:rPr>
        <w:t xml:space="preserve">• `` -&gt; `...43`</w:t>
      </w:r>
    </w:p>
    <w:p>
      <w:pPr>
        <w:pStyle w:val="SourceCode"/>
      </w:pPr>
      <w:r>
        <w:rPr>
          <w:rStyle w:val="CommentTok"/>
        </w:rPr>
        <w:t xml:space="preserve">#Clean the Educational Attainment Data</w:t>
      </w:r>
      <w:r>
        <w:br/>
      </w:r>
      <w:r>
        <w:rPr>
          <w:rStyle w:val="DocumentationTok"/>
        </w:rPr>
        <w:t xml:space="preserve">##Remove NA columns due to how the data is loaded in</w:t>
      </w:r>
      <w:r>
        <w:br/>
      </w:r>
      <w:r>
        <w:rPr>
          <w:rStyle w:val="NormalTok"/>
        </w:rPr>
        <w:t xml:space="preserve">education_clean </w:t>
      </w:r>
      <w:r>
        <w:rPr>
          <w:rStyle w:val="OtherTok"/>
        </w:rPr>
        <w:t xml:space="preserve">&lt;-</w:t>
      </w:r>
      <w:r>
        <w:rPr>
          <w:rStyle w:val="NormalTok"/>
        </w:rPr>
        <w:t xml:space="preserve"> education_raw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w:t>
      </w:r>
      <w:r>
        <w:rPr>
          <w:rStyle w:val="StringTok"/>
        </w:rPr>
        <w:t xml:space="preserve">"x3"</w:t>
      </w:r>
      <w:r>
        <w:rPr>
          <w:rStyle w:val="NormalTok"/>
        </w:rPr>
        <w:t xml:space="preserve">, </w:t>
      </w:r>
      <w:r>
        <w:rPr>
          <w:rStyle w:val="StringTok"/>
        </w:rPr>
        <w:t xml:space="preserve">"x6"</w:t>
      </w:r>
      <w:r>
        <w:rPr>
          <w:rStyle w:val="NormalTok"/>
        </w:rPr>
        <w:t xml:space="preserve">, </w:t>
      </w:r>
      <w:r>
        <w:rPr>
          <w:rStyle w:val="StringTok"/>
        </w:rPr>
        <w:t xml:space="preserve">"x9"</w:t>
      </w:r>
      <w:r>
        <w:rPr>
          <w:rStyle w:val="NormalTok"/>
        </w:rPr>
        <w:t xml:space="preserve">, </w:t>
      </w:r>
      <w:r>
        <w:rPr>
          <w:rStyle w:val="StringTok"/>
        </w:rPr>
        <w:t xml:space="preserve">"x12"</w:t>
      </w:r>
      <w:r>
        <w:rPr>
          <w:rStyle w:val="NormalTok"/>
        </w:rPr>
        <w:t xml:space="preserve">, </w:t>
      </w:r>
      <w:r>
        <w:rPr>
          <w:rStyle w:val="StringTok"/>
        </w:rPr>
        <w:t xml:space="preserve">"x15"</w:t>
      </w:r>
      <w:r>
        <w:rPr>
          <w:rStyle w:val="NormalTok"/>
        </w:rPr>
        <w:t xml:space="preserve">, </w:t>
      </w:r>
      <w:r>
        <w:rPr>
          <w:rStyle w:val="StringTok"/>
        </w:rPr>
        <w:t xml:space="preserve">"x18"</w:t>
      </w:r>
      <w:r>
        <w:rPr>
          <w:rStyle w:val="NormalTok"/>
        </w:rPr>
        <w:t xml:space="preserve">, </w:t>
      </w:r>
      <w:r>
        <w:rPr>
          <w:rStyle w:val="StringTok"/>
        </w:rPr>
        <w:t xml:space="preserve">"x21"</w:t>
      </w:r>
      <w:r>
        <w:rPr>
          <w:rStyle w:val="NormalTok"/>
        </w:rPr>
        <w:t xml:space="preserve">, </w:t>
      </w:r>
      <w:r>
        <w:rPr>
          <w:rStyle w:val="StringTok"/>
        </w:rPr>
        <w:t xml:space="preserve">"x24"</w:t>
      </w:r>
      <w:r>
        <w:rPr>
          <w:rStyle w:val="NormalTok"/>
        </w:rPr>
        <w:t xml:space="preserve">, </w:t>
      </w:r>
      <w:r>
        <w:rPr>
          <w:rStyle w:val="StringTok"/>
        </w:rPr>
        <w:t xml:space="preserve">"x27"</w:t>
      </w:r>
      <w:r>
        <w:rPr>
          <w:rStyle w:val="NormalTok"/>
        </w:rPr>
        <w:t xml:space="preserve">, </w:t>
      </w:r>
      <w:r>
        <w:rPr>
          <w:rStyle w:val="StringTok"/>
        </w:rPr>
        <w:t xml:space="preserve">"x30"</w:t>
      </w:r>
      <w:r>
        <w:rPr>
          <w:rStyle w:val="NormalTok"/>
        </w:rPr>
        <w:t xml:space="preserve">, </w:t>
      </w:r>
      <w:r>
        <w:rPr>
          <w:rStyle w:val="StringTok"/>
        </w:rPr>
        <w:t xml:space="preserve">"x33"</w:t>
      </w:r>
      <w:r>
        <w:rPr>
          <w:rStyle w:val="NormalTok"/>
        </w:rPr>
        <w:t xml:space="preserve">, </w:t>
      </w:r>
      <w:r>
        <w:rPr>
          <w:rStyle w:val="StringTok"/>
        </w:rPr>
        <w:t xml:space="preserve">"x36"</w:t>
      </w:r>
      <w:r>
        <w:rPr>
          <w:rStyle w:val="NormalTok"/>
        </w:rPr>
        <w:t xml:space="preserve">, </w:t>
      </w:r>
      <w:r>
        <w:rPr>
          <w:rStyle w:val="StringTok"/>
        </w:rPr>
        <w:t xml:space="preserve">"x39"</w:t>
      </w:r>
      <w:r>
        <w:rPr>
          <w:rStyle w:val="NormalTok"/>
        </w:rPr>
        <w:t xml:space="preserve">, </w:t>
      </w:r>
      <w:r>
        <w:rPr>
          <w:rStyle w:val="StringTok"/>
        </w:rPr>
        <w:t xml:space="preserve">"x42"</w:t>
      </w:r>
      <w:r>
        <w:rPr>
          <w:rStyle w:val="NormalTok"/>
        </w:rPr>
        <w:t xml:space="preserve">))</w:t>
      </w:r>
      <w:r>
        <w:br/>
      </w:r>
      <w:r>
        <w:rPr>
          <w:rStyle w:val="DocumentationTok"/>
        </w:rPr>
        <w:t xml:space="preserve">##Rename the columns due to the structure of the excel datasheet</w:t>
      </w:r>
      <w:r>
        <w:br/>
      </w:r>
      <w:r>
        <w:rPr>
          <w:rStyle w:val="NormalTok"/>
        </w:rPr>
        <w:t xml:space="preserve">education_clean </w:t>
      </w:r>
      <w:r>
        <w:rPr>
          <w:rStyle w:val="OtherTok"/>
        </w:rPr>
        <w:t xml:space="preserve">&lt;-</w:t>
      </w:r>
      <w:r>
        <w:rPr>
          <w:rStyle w:val="NormalTok"/>
        </w:rPr>
        <w:t xml:space="preserve"> </w:t>
      </w:r>
      <w:r>
        <w:rPr>
          <w:rStyle w:val="FunctionTok"/>
        </w:rPr>
        <w:t xml:space="preserve">rename</w:t>
      </w:r>
      <w:r>
        <w:rPr>
          <w:rStyle w:val="NormalTok"/>
        </w:rPr>
        <w:t xml:space="preserve">(</w:t>
      </w:r>
      <w:r>
        <w:br/>
      </w:r>
      <w:r>
        <w:rPr>
          <w:rStyle w:val="NormalTok"/>
        </w:rPr>
        <w:t xml:space="preserve">  education_clean,</w:t>
      </w:r>
      <w:r>
        <w:br/>
      </w:r>
      <w:r>
        <w:rPr>
          <w:rStyle w:val="NormalTok"/>
        </w:rPr>
        <w:t xml:space="preserve">  </w:t>
      </w:r>
      <w:r>
        <w:rPr>
          <w:rStyle w:val="StringTok"/>
        </w:rPr>
        <w:t xml:space="preserve">"state"</w:t>
      </w:r>
      <w:r>
        <w:rPr>
          <w:rStyle w:val="NormalTok"/>
        </w:rPr>
        <w:t xml:space="preserve"> </w:t>
      </w:r>
      <w:r>
        <w:rPr>
          <w:rStyle w:val="OtherTok"/>
        </w:rPr>
        <w:t xml:space="preserve">=</w:t>
      </w:r>
      <w:r>
        <w:rPr>
          <w:rStyle w:val="NormalTok"/>
        </w:rPr>
        <w:t xml:space="preserve"> </w:t>
      </w:r>
      <w:r>
        <w:rPr>
          <w:rStyle w:val="StringTok"/>
        </w:rPr>
        <w:t xml:space="preserve">"x1"</w:t>
      </w:r>
      <w:r>
        <w:rPr>
          <w:rStyle w:val="NormalTok"/>
        </w:rPr>
        <w:t xml:space="preserve">,</w:t>
      </w:r>
      <w:r>
        <w:br/>
      </w:r>
      <w:r>
        <w:rPr>
          <w:rStyle w:val="NormalTok"/>
        </w:rPr>
        <w:t xml:space="preserve">  </w:t>
      </w:r>
      <w:r>
        <w:rPr>
          <w:rStyle w:val="StringTok"/>
        </w:rPr>
        <w:t xml:space="preserve">"2012_18to24hs_percent"</w:t>
      </w:r>
      <w:r>
        <w:rPr>
          <w:rStyle w:val="NormalTok"/>
        </w:rPr>
        <w:t xml:space="preserve"> </w:t>
      </w:r>
      <w:r>
        <w:rPr>
          <w:rStyle w:val="OtherTok"/>
        </w:rPr>
        <w:t xml:space="preserve">=</w:t>
      </w:r>
      <w:r>
        <w:rPr>
          <w:rStyle w:val="NormalTok"/>
        </w:rPr>
        <w:t xml:space="preserve"> </w:t>
      </w:r>
      <w:r>
        <w:rPr>
          <w:rStyle w:val="StringTok"/>
        </w:rPr>
        <w:t xml:space="preserve">"x2"</w:t>
      </w:r>
      <w:r>
        <w:rPr>
          <w:rStyle w:val="NormalTok"/>
        </w:rPr>
        <w:t xml:space="preserve">,</w:t>
      </w:r>
      <w:r>
        <w:br/>
      </w:r>
      <w:r>
        <w:rPr>
          <w:rStyle w:val="NormalTok"/>
        </w:rPr>
        <w:t xml:space="preserve">  </w:t>
      </w:r>
      <w:r>
        <w:rPr>
          <w:rStyle w:val="StringTok"/>
        </w:rPr>
        <w:t xml:space="preserve">"2012_18to24hs_sd"</w:t>
      </w:r>
      <w:r>
        <w:rPr>
          <w:rStyle w:val="NormalTok"/>
        </w:rPr>
        <w:t xml:space="preserve"> </w:t>
      </w:r>
      <w:r>
        <w:rPr>
          <w:rStyle w:val="OtherTok"/>
        </w:rPr>
        <w:t xml:space="preserve">=</w:t>
      </w:r>
      <w:r>
        <w:rPr>
          <w:rStyle w:val="NormalTok"/>
        </w:rPr>
        <w:t xml:space="preserve"> </w:t>
      </w:r>
      <w:r>
        <w:rPr>
          <w:rStyle w:val="StringTok"/>
        </w:rPr>
        <w:t xml:space="preserve">"x4"</w:t>
      </w:r>
      <w:r>
        <w:rPr>
          <w:rStyle w:val="NormalTok"/>
        </w:rPr>
        <w:t xml:space="preserve">,</w:t>
      </w:r>
      <w:r>
        <w:br/>
      </w:r>
      <w:r>
        <w:rPr>
          <w:rStyle w:val="NormalTok"/>
        </w:rPr>
        <w:t xml:space="preserve">  </w:t>
      </w:r>
      <w:r>
        <w:rPr>
          <w:rStyle w:val="StringTok"/>
        </w:rPr>
        <w:t xml:space="preserve">"2022_18to24hs_percent"</w:t>
      </w:r>
      <w:r>
        <w:rPr>
          <w:rStyle w:val="NormalTok"/>
        </w:rPr>
        <w:t xml:space="preserve"> </w:t>
      </w:r>
      <w:r>
        <w:rPr>
          <w:rStyle w:val="OtherTok"/>
        </w:rPr>
        <w:t xml:space="preserve">=</w:t>
      </w:r>
      <w:r>
        <w:rPr>
          <w:rStyle w:val="NormalTok"/>
        </w:rPr>
        <w:t xml:space="preserve"> </w:t>
      </w:r>
      <w:r>
        <w:rPr>
          <w:rStyle w:val="StringTok"/>
        </w:rPr>
        <w:t xml:space="preserve">"x3_2"</w:t>
      </w:r>
      <w:r>
        <w:rPr>
          <w:rStyle w:val="NormalTok"/>
        </w:rPr>
        <w:t xml:space="preserve">,</w:t>
      </w:r>
      <w:r>
        <w:br/>
      </w:r>
      <w:r>
        <w:rPr>
          <w:rStyle w:val="NormalTok"/>
        </w:rPr>
        <w:t xml:space="preserve">  </w:t>
      </w:r>
      <w:r>
        <w:rPr>
          <w:rStyle w:val="StringTok"/>
        </w:rPr>
        <w:t xml:space="preserve">"2022_18to24hs_sd"</w:t>
      </w:r>
      <w:r>
        <w:rPr>
          <w:rStyle w:val="NormalTok"/>
        </w:rPr>
        <w:t xml:space="preserve"> </w:t>
      </w:r>
      <w:r>
        <w:rPr>
          <w:rStyle w:val="OtherTok"/>
        </w:rPr>
        <w:t xml:space="preserve">=</w:t>
      </w:r>
      <w:r>
        <w:rPr>
          <w:rStyle w:val="NormalTok"/>
        </w:rPr>
        <w:t xml:space="preserve"> </w:t>
      </w:r>
      <w:r>
        <w:rPr>
          <w:rStyle w:val="StringTok"/>
        </w:rPr>
        <w:t xml:space="preserve">"x7"</w:t>
      </w:r>
      <w:r>
        <w:rPr>
          <w:rStyle w:val="NormalTok"/>
        </w:rPr>
        <w:t xml:space="preserve">,</w:t>
      </w:r>
      <w:r>
        <w:br/>
      </w:r>
      <w:r>
        <w:rPr>
          <w:rStyle w:val="NormalTok"/>
        </w:rPr>
        <w:t xml:space="preserve">  </w:t>
      </w:r>
      <w:r>
        <w:rPr>
          <w:rStyle w:val="StringTok"/>
        </w:rPr>
        <w:t xml:space="preserve">"2012_25pluslessthanhs_percent"</w:t>
      </w:r>
      <w:r>
        <w:rPr>
          <w:rStyle w:val="NormalTok"/>
        </w:rPr>
        <w:t xml:space="preserve"> </w:t>
      </w:r>
      <w:r>
        <w:rPr>
          <w:rStyle w:val="OtherTok"/>
        </w:rPr>
        <w:t xml:space="preserve">=</w:t>
      </w:r>
      <w:r>
        <w:rPr>
          <w:rStyle w:val="NormalTok"/>
        </w:rPr>
        <w:t xml:space="preserve"> </w:t>
      </w:r>
      <w:r>
        <w:rPr>
          <w:rStyle w:val="StringTok"/>
        </w:rPr>
        <w:t xml:space="preserve">"x4_2"</w:t>
      </w:r>
      <w:r>
        <w:rPr>
          <w:rStyle w:val="NormalTok"/>
        </w:rPr>
        <w:t xml:space="preserve">,</w:t>
      </w:r>
      <w:r>
        <w:br/>
      </w:r>
      <w:r>
        <w:rPr>
          <w:rStyle w:val="NormalTok"/>
        </w:rPr>
        <w:t xml:space="preserve">  </w:t>
      </w:r>
      <w:r>
        <w:rPr>
          <w:rStyle w:val="StringTok"/>
        </w:rPr>
        <w:t xml:space="preserve">"2012_25pluslessthanhs_sd"</w:t>
      </w:r>
      <w:r>
        <w:rPr>
          <w:rStyle w:val="NormalTok"/>
        </w:rPr>
        <w:t xml:space="preserve"> </w:t>
      </w:r>
      <w:r>
        <w:rPr>
          <w:rStyle w:val="OtherTok"/>
        </w:rPr>
        <w:t xml:space="preserve">=</w:t>
      </w:r>
      <w:r>
        <w:rPr>
          <w:rStyle w:val="NormalTok"/>
        </w:rPr>
        <w:t xml:space="preserve"> </w:t>
      </w:r>
      <w:r>
        <w:rPr>
          <w:rStyle w:val="StringTok"/>
        </w:rPr>
        <w:t xml:space="preserve">"x10"</w:t>
      </w:r>
      <w:r>
        <w:rPr>
          <w:rStyle w:val="NormalTok"/>
        </w:rPr>
        <w:t xml:space="preserve">,</w:t>
      </w:r>
      <w:r>
        <w:br/>
      </w:r>
      <w:r>
        <w:rPr>
          <w:rStyle w:val="NormalTok"/>
        </w:rPr>
        <w:t xml:space="preserve">  </w:t>
      </w:r>
      <w:r>
        <w:rPr>
          <w:rStyle w:val="StringTok"/>
        </w:rPr>
        <w:t xml:space="preserve">"2012_25plushsorhigher_percent"</w:t>
      </w:r>
      <w:r>
        <w:rPr>
          <w:rStyle w:val="NormalTok"/>
        </w:rPr>
        <w:t xml:space="preserve"> </w:t>
      </w:r>
      <w:r>
        <w:rPr>
          <w:rStyle w:val="OtherTok"/>
        </w:rPr>
        <w:t xml:space="preserve">=</w:t>
      </w:r>
      <w:r>
        <w:rPr>
          <w:rStyle w:val="NormalTok"/>
        </w:rPr>
        <w:t xml:space="preserve"> </w:t>
      </w:r>
      <w:r>
        <w:rPr>
          <w:rStyle w:val="StringTok"/>
        </w:rPr>
        <w:t xml:space="preserve">"x5"</w:t>
      </w:r>
      <w:r>
        <w:rPr>
          <w:rStyle w:val="NormalTok"/>
        </w:rPr>
        <w:t xml:space="preserve">,</w:t>
      </w:r>
      <w:r>
        <w:br/>
      </w:r>
      <w:r>
        <w:rPr>
          <w:rStyle w:val="NormalTok"/>
        </w:rPr>
        <w:t xml:space="preserve">  </w:t>
      </w:r>
      <w:r>
        <w:rPr>
          <w:rStyle w:val="StringTok"/>
        </w:rPr>
        <w:t xml:space="preserve">"2012_25plushsorhigher_sd"</w:t>
      </w:r>
      <w:r>
        <w:rPr>
          <w:rStyle w:val="NormalTok"/>
        </w:rPr>
        <w:t xml:space="preserve"> </w:t>
      </w:r>
      <w:r>
        <w:rPr>
          <w:rStyle w:val="OtherTok"/>
        </w:rPr>
        <w:t xml:space="preserve">=</w:t>
      </w:r>
      <w:r>
        <w:rPr>
          <w:rStyle w:val="NormalTok"/>
        </w:rPr>
        <w:t xml:space="preserve"> </w:t>
      </w:r>
      <w:r>
        <w:rPr>
          <w:rStyle w:val="StringTok"/>
        </w:rPr>
        <w:t xml:space="preserve">"x13"</w:t>
      </w:r>
      <w:r>
        <w:rPr>
          <w:rStyle w:val="NormalTok"/>
        </w:rPr>
        <w:t xml:space="preserve">,</w:t>
      </w:r>
      <w:r>
        <w:br/>
      </w:r>
      <w:r>
        <w:rPr>
          <w:rStyle w:val="NormalTok"/>
        </w:rPr>
        <w:t xml:space="preserve">  </w:t>
      </w:r>
      <w:r>
        <w:rPr>
          <w:rStyle w:val="StringTok"/>
        </w:rPr>
        <w:t xml:space="preserve">"2012_25plustotalbachgrad_percent"</w:t>
      </w:r>
      <w:r>
        <w:rPr>
          <w:rStyle w:val="NormalTok"/>
        </w:rPr>
        <w:t xml:space="preserve"> </w:t>
      </w:r>
      <w:r>
        <w:rPr>
          <w:rStyle w:val="OtherTok"/>
        </w:rPr>
        <w:t xml:space="preserve">=</w:t>
      </w:r>
      <w:r>
        <w:rPr>
          <w:rStyle w:val="NormalTok"/>
        </w:rPr>
        <w:t xml:space="preserve"> </w:t>
      </w:r>
      <w:r>
        <w:rPr>
          <w:rStyle w:val="StringTok"/>
        </w:rPr>
        <w:t xml:space="preserve">"x6_2"</w:t>
      </w:r>
      <w:r>
        <w:rPr>
          <w:rStyle w:val="NormalTok"/>
        </w:rPr>
        <w:t xml:space="preserve">,</w:t>
      </w:r>
      <w:r>
        <w:br/>
      </w:r>
      <w:r>
        <w:rPr>
          <w:rStyle w:val="NormalTok"/>
        </w:rPr>
        <w:t xml:space="preserve">  </w:t>
      </w:r>
      <w:r>
        <w:rPr>
          <w:rStyle w:val="StringTok"/>
        </w:rPr>
        <w:t xml:space="preserve">"2012_25plustotalbachgrad_sd"</w:t>
      </w:r>
      <w:r>
        <w:rPr>
          <w:rStyle w:val="NormalTok"/>
        </w:rPr>
        <w:t xml:space="preserve"> </w:t>
      </w:r>
      <w:r>
        <w:rPr>
          <w:rStyle w:val="OtherTok"/>
        </w:rPr>
        <w:t xml:space="preserve">=</w:t>
      </w:r>
      <w:r>
        <w:rPr>
          <w:rStyle w:val="NormalTok"/>
        </w:rPr>
        <w:t xml:space="preserve"> </w:t>
      </w:r>
      <w:r>
        <w:rPr>
          <w:rStyle w:val="StringTok"/>
        </w:rPr>
        <w:t xml:space="preserve">"x16"</w:t>
      </w:r>
      <w:r>
        <w:rPr>
          <w:rStyle w:val="NormalTok"/>
        </w:rPr>
        <w:t xml:space="preserve">,</w:t>
      </w:r>
      <w:r>
        <w:br/>
      </w:r>
      <w:r>
        <w:rPr>
          <w:rStyle w:val="NormalTok"/>
        </w:rPr>
        <w:t xml:space="preserve">  </w:t>
      </w:r>
      <w:r>
        <w:rPr>
          <w:rStyle w:val="StringTok"/>
        </w:rPr>
        <w:t xml:space="preserve">"2012_25plusbachonly_percent"</w:t>
      </w:r>
      <w:r>
        <w:rPr>
          <w:rStyle w:val="NormalTok"/>
        </w:rPr>
        <w:t xml:space="preserve"> </w:t>
      </w:r>
      <w:r>
        <w:rPr>
          <w:rStyle w:val="OtherTok"/>
        </w:rPr>
        <w:t xml:space="preserve">=</w:t>
      </w:r>
      <w:r>
        <w:rPr>
          <w:rStyle w:val="NormalTok"/>
        </w:rPr>
        <w:t xml:space="preserve"> </w:t>
      </w:r>
      <w:r>
        <w:rPr>
          <w:rStyle w:val="StringTok"/>
        </w:rPr>
        <w:t xml:space="preserve">"x7_2"</w:t>
      </w:r>
      <w:r>
        <w:rPr>
          <w:rStyle w:val="NormalTok"/>
        </w:rPr>
        <w:t xml:space="preserve">,</w:t>
      </w:r>
      <w:r>
        <w:br/>
      </w:r>
      <w:r>
        <w:rPr>
          <w:rStyle w:val="NormalTok"/>
        </w:rPr>
        <w:t xml:space="preserve">  </w:t>
      </w:r>
      <w:r>
        <w:rPr>
          <w:rStyle w:val="StringTok"/>
        </w:rPr>
        <w:t xml:space="preserve">"2012_25plusto24bachonly_sd"</w:t>
      </w:r>
      <w:r>
        <w:rPr>
          <w:rStyle w:val="NormalTok"/>
        </w:rPr>
        <w:t xml:space="preserve"> </w:t>
      </w:r>
      <w:r>
        <w:rPr>
          <w:rStyle w:val="OtherTok"/>
        </w:rPr>
        <w:t xml:space="preserve">=</w:t>
      </w:r>
      <w:r>
        <w:rPr>
          <w:rStyle w:val="NormalTok"/>
        </w:rPr>
        <w:t xml:space="preserve"> </w:t>
      </w:r>
      <w:r>
        <w:rPr>
          <w:rStyle w:val="StringTok"/>
        </w:rPr>
        <w:t xml:space="preserve">"x19"</w:t>
      </w:r>
      <w:r>
        <w:rPr>
          <w:rStyle w:val="NormalTok"/>
        </w:rPr>
        <w:t xml:space="preserve">,</w:t>
      </w:r>
      <w:r>
        <w:br/>
      </w:r>
      <w:r>
        <w:rPr>
          <w:rStyle w:val="NormalTok"/>
        </w:rPr>
        <w:t xml:space="preserve">  </w:t>
      </w:r>
      <w:r>
        <w:rPr>
          <w:rStyle w:val="StringTok"/>
        </w:rPr>
        <w:t xml:space="preserve">"2012_25plusgraddegree_percent"</w:t>
      </w:r>
      <w:r>
        <w:rPr>
          <w:rStyle w:val="NormalTok"/>
        </w:rPr>
        <w:t xml:space="preserve"> </w:t>
      </w:r>
      <w:r>
        <w:rPr>
          <w:rStyle w:val="OtherTok"/>
        </w:rPr>
        <w:t xml:space="preserve">=</w:t>
      </w:r>
      <w:r>
        <w:rPr>
          <w:rStyle w:val="NormalTok"/>
        </w:rPr>
        <w:t xml:space="preserve"> </w:t>
      </w:r>
      <w:r>
        <w:rPr>
          <w:rStyle w:val="StringTok"/>
        </w:rPr>
        <w:t xml:space="preserve">"x8"</w:t>
      </w:r>
      <w:r>
        <w:rPr>
          <w:rStyle w:val="NormalTok"/>
        </w:rPr>
        <w:t xml:space="preserve">,</w:t>
      </w:r>
      <w:r>
        <w:br/>
      </w:r>
      <w:r>
        <w:rPr>
          <w:rStyle w:val="NormalTok"/>
        </w:rPr>
        <w:t xml:space="preserve">  </w:t>
      </w:r>
      <w:r>
        <w:rPr>
          <w:rStyle w:val="StringTok"/>
        </w:rPr>
        <w:t xml:space="preserve">"2012_25plusto24graddegree_sd"</w:t>
      </w:r>
      <w:r>
        <w:rPr>
          <w:rStyle w:val="NormalTok"/>
        </w:rPr>
        <w:t xml:space="preserve"> </w:t>
      </w:r>
      <w:r>
        <w:rPr>
          <w:rStyle w:val="OtherTok"/>
        </w:rPr>
        <w:t xml:space="preserve">=</w:t>
      </w:r>
      <w:r>
        <w:rPr>
          <w:rStyle w:val="NormalTok"/>
        </w:rPr>
        <w:t xml:space="preserve"> </w:t>
      </w:r>
      <w:r>
        <w:rPr>
          <w:rStyle w:val="StringTok"/>
        </w:rPr>
        <w:t xml:space="preserve">"x22"</w:t>
      </w:r>
      <w:r>
        <w:rPr>
          <w:rStyle w:val="NormalTok"/>
        </w:rPr>
        <w:t xml:space="preserve">,</w:t>
      </w:r>
      <w:r>
        <w:br/>
      </w:r>
      <w:r>
        <w:rPr>
          <w:rStyle w:val="NormalTok"/>
        </w:rPr>
        <w:t xml:space="preserve">  </w:t>
      </w:r>
      <w:r>
        <w:rPr>
          <w:rStyle w:val="StringTok"/>
        </w:rPr>
        <w:t xml:space="preserve">"2022_25pluslessthanhs_percent"</w:t>
      </w:r>
      <w:r>
        <w:rPr>
          <w:rStyle w:val="NormalTok"/>
        </w:rPr>
        <w:t xml:space="preserve"> </w:t>
      </w:r>
      <w:r>
        <w:rPr>
          <w:rStyle w:val="OtherTok"/>
        </w:rPr>
        <w:t xml:space="preserve">=</w:t>
      </w:r>
      <w:r>
        <w:rPr>
          <w:rStyle w:val="NormalTok"/>
        </w:rPr>
        <w:t xml:space="preserve"> </w:t>
      </w:r>
      <w:r>
        <w:rPr>
          <w:rStyle w:val="StringTok"/>
        </w:rPr>
        <w:t xml:space="preserve">"x9_2"</w:t>
      </w:r>
      <w:r>
        <w:rPr>
          <w:rStyle w:val="NormalTok"/>
        </w:rPr>
        <w:t xml:space="preserve">,</w:t>
      </w:r>
      <w:r>
        <w:br/>
      </w:r>
      <w:r>
        <w:rPr>
          <w:rStyle w:val="NormalTok"/>
        </w:rPr>
        <w:t xml:space="preserve">  </w:t>
      </w:r>
      <w:r>
        <w:rPr>
          <w:rStyle w:val="StringTok"/>
        </w:rPr>
        <w:t xml:space="preserve">"2022_25pluslessthanhs_sd"</w:t>
      </w:r>
      <w:r>
        <w:rPr>
          <w:rStyle w:val="NormalTok"/>
        </w:rPr>
        <w:t xml:space="preserve"> </w:t>
      </w:r>
      <w:r>
        <w:rPr>
          <w:rStyle w:val="OtherTok"/>
        </w:rPr>
        <w:t xml:space="preserve">=</w:t>
      </w:r>
      <w:r>
        <w:rPr>
          <w:rStyle w:val="NormalTok"/>
        </w:rPr>
        <w:t xml:space="preserve"> </w:t>
      </w:r>
      <w:r>
        <w:rPr>
          <w:rStyle w:val="StringTok"/>
        </w:rPr>
        <w:t xml:space="preserve">"x25"</w:t>
      </w:r>
      <w:r>
        <w:rPr>
          <w:rStyle w:val="NormalTok"/>
        </w:rPr>
        <w:t xml:space="preserve">,</w:t>
      </w:r>
      <w:r>
        <w:br/>
      </w:r>
      <w:r>
        <w:rPr>
          <w:rStyle w:val="NormalTok"/>
        </w:rPr>
        <w:t xml:space="preserve">  </w:t>
      </w:r>
      <w:r>
        <w:rPr>
          <w:rStyle w:val="StringTok"/>
        </w:rPr>
        <w:t xml:space="preserve">"2022_25plushsorhighertotal_percent"</w:t>
      </w:r>
      <w:r>
        <w:rPr>
          <w:rStyle w:val="NormalTok"/>
        </w:rPr>
        <w:t xml:space="preserve"> </w:t>
      </w:r>
      <w:r>
        <w:rPr>
          <w:rStyle w:val="OtherTok"/>
        </w:rPr>
        <w:t xml:space="preserve">=</w:t>
      </w:r>
      <w:r>
        <w:rPr>
          <w:rStyle w:val="NormalTok"/>
        </w:rPr>
        <w:t xml:space="preserve"> </w:t>
      </w:r>
      <w:r>
        <w:rPr>
          <w:rStyle w:val="StringTok"/>
        </w:rPr>
        <w:t xml:space="preserve">"x10_2"</w:t>
      </w:r>
      <w:r>
        <w:rPr>
          <w:rStyle w:val="NormalTok"/>
        </w:rPr>
        <w:t xml:space="preserve">,</w:t>
      </w:r>
      <w:r>
        <w:br/>
      </w:r>
      <w:r>
        <w:rPr>
          <w:rStyle w:val="NormalTok"/>
        </w:rPr>
        <w:t xml:space="preserve">  </w:t>
      </w:r>
      <w:r>
        <w:rPr>
          <w:rStyle w:val="StringTok"/>
        </w:rPr>
        <w:t xml:space="preserve">"2022_25plushsorhighertotal_sd"</w:t>
      </w:r>
      <w:r>
        <w:rPr>
          <w:rStyle w:val="NormalTok"/>
        </w:rPr>
        <w:t xml:space="preserve"> </w:t>
      </w:r>
      <w:r>
        <w:rPr>
          <w:rStyle w:val="OtherTok"/>
        </w:rPr>
        <w:t xml:space="preserve">=</w:t>
      </w:r>
      <w:r>
        <w:rPr>
          <w:rStyle w:val="NormalTok"/>
        </w:rPr>
        <w:t xml:space="preserve"> </w:t>
      </w:r>
      <w:r>
        <w:rPr>
          <w:rStyle w:val="StringTok"/>
        </w:rPr>
        <w:t xml:space="preserve">"x28"</w:t>
      </w:r>
      <w:r>
        <w:rPr>
          <w:rStyle w:val="NormalTok"/>
        </w:rPr>
        <w:t xml:space="preserve">,</w:t>
      </w:r>
      <w:r>
        <w:br/>
      </w:r>
      <w:r>
        <w:rPr>
          <w:rStyle w:val="NormalTok"/>
        </w:rPr>
        <w:t xml:space="preserve">  </w:t>
      </w:r>
      <w:r>
        <w:rPr>
          <w:rStyle w:val="StringTok"/>
        </w:rPr>
        <w:t xml:space="preserve">"2022_25plushsorhigherhsonly_percent"</w:t>
      </w:r>
      <w:r>
        <w:rPr>
          <w:rStyle w:val="NormalTok"/>
        </w:rPr>
        <w:t xml:space="preserve"> </w:t>
      </w:r>
      <w:r>
        <w:rPr>
          <w:rStyle w:val="OtherTok"/>
        </w:rPr>
        <w:t xml:space="preserve">=</w:t>
      </w:r>
      <w:r>
        <w:rPr>
          <w:rStyle w:val="NormalTok"/>
        </w:rPr>
        <w:t xml:space="preserve"> </w:t>
      </w:r>
      <w:r>
        <w:rPr>
          <w:rStyle w:val="StringTok"/>
        </w:rPr>
        <w:t xml:space="preserve">"x11"</w:t>
      </w:r>
      <w:r>
        <w:rPr>
          <w:rStyle w:val="NormalTok"/>
        </w:rPr>
        <w:t xml:space="preserve">,</w:t>
      </w:r>
      <w:r>
        <w:br/>
      </w:r>
      <w:r>
        <w:rPr>
          <w:rStyle w:val="NormalTok"/>
        </w:rPr>
        <w:t xml:space="preserve">  </w:t>
      </w:r>
      <w:r>
        <w:rPr>
          <w:rStyle w:val="StringTok"/>
        </w:rPr>
        <w:t xml:space="preserve">"2022_25plushsorhigherhsonly_sd"</w:t>
      </w:r>
      <w:r>
        <w:rPr>
          <w:rStyle w:val="NormalTok"/>
        </w:rPr>
        <w:t xml:space="preserve"> </w:t>
      </w:r>
      <w:r>
        <w:rPr>
          <w:rStyle w:val="OtherTok"/>
        </w:rPr>
        <w:t xml:space="preserve">=</w:t>
      </w:r>
      <w:r>
        <w:rPr>
          <w:rStyle w:val="NormalTok"/>
        </w:rPr>
        <w:t xml:space="preserve"> </w:t>
      </w:r>
      <w:r>
        <w:rPr>
          <w:rStyle w:val="StringTok"/>
        </w:rPr>
        <w:t xml:space="preserve">"x31"</w:t>
      </w:r>
      <w:r>
        <w:rPr>
          <w:rStyle w:val="NormalTok"/>
        </w:rPr>
        <w:t xml:space="preserve">,</w:t>
      </w:r>
      <w:r>
        <w:br/>
      </w:r>
      <w:r>
        <w:rPr>
          <w:rStyle w:val="NormalTok"/>
        </w:rPr>
        <w:t xml:space="preserve">  </w:t>
      </w:r>
      <w:r>
        <w:rPr>
          <w:rStyle w:val="StringTok"/>
        </w:rPr>
        <w:t xml:space="preserve">"2022_25plussomecolldegree_percent"</w:t>
      </w:r>
      <w:r>
        <w:rPr>
          <w:rStyle w:val="NormalTok"/>
        </w:rPr>
        <w:t xml:space="preserve"> </w:t>
      </w:r>
      <w:r>
        <w:rPr>
          <w:rStyle w:val="OtherTok"/>
        </w:rPr>
        <w:t xml:space="preserve">=</w:t>
      </w:r>
      <w:r>
        <w:rPr>
          <w:rStyle w:val="NormalTok"/>
        </w:rPr>
        <w:t xml:space="preserve"> </w:t>
      </w:r>
      <w:r>
        <w:rPr>
          <w:rStyle w:val="StringTok"/>
        </w:rPr>
        <w:t xml:space="preserve">"x12_32"</w:t>
      </w:r>
      <w:r>
        <w:rPr>
          <w:rStyle w:val="NormalTok"/>
        </w:rPr>
        <w:t xml:space="preserve">,</w:t>
      </w:r>
      <w:r>
        <w:br/>
      </w:r>
      <w:r>
        <w:rPr>
          <w:rStyle w:val="NormalTok"/>
        </w:rPr>
        <w:t xml:space="preserve">  </w:t>
      </w:r>
      <w:r>
        <w:rPr>
          <w:rStyle w:val="StringTok"/>
        </w:rPr>
        <w:t xml:space="preserve">"2022_25plussomecolldegree_sd"</w:t>
      </w:r>
      <w:r>
        <w:rPr>
          <w:rStyle w:val="NormalTok"/>
        </w:rPr>
        <w:t xml:space="preserve"> </w:t>
      </w:r>
      <w:r>
        <w:rPr>
          <w:rStyle w:val="OtherTok"/>
        </w:rPr>
        <w:t xml:space="preserve">=</w:t>
      </w:r>
      <w:r>
        <w:rPr>
          <w:rStyle w:val="NormalTok"/>
        </w:rPr>
        <w:t xml:space="preserve"> </w:t>
      </w:r>
      <w:r>
        <w:rPr>
          <w:rStyle w:val="StringTok"/>
        </w:rPr>
        <w:t xml:space="preserve">"x12_34"</w:t>
      </w:r>
      <w:r>
        <w:rPr>
          <w:rStyle w:val="NormalTok"/>
        </w:rPr>
        <w:t xml:space="preserve">,</w:t>
      </w:r>
      <w:r>
        <w:br/>
      </w:r>
      <w:r>
        <w:rPr>
          <w:rStyle w:val="NormalTok"/>
        </w:rPr>
        <w:t xml:space="preserve">  </w:t>
      </w:r>
      <w:r>
        <w:rPr>
          <w:rStyle w:val="StringTok"/>
        </w:rPr>
        <w:t xml:space="preserve">"2022_25plusbachorhighertotal_percent"</w:t>
      </w:r>
      <w:r>
        <w:rPr>
          <w:rStyle w:val="NormalTok"/>
        </w:rPr>
        <w:t xml:space="preserve"> </w:t>
      </w:r>
      <w:r>
        <w:rPr>
          <w:rStyle w:val="OtherTok"/>
        </w:rPr>
        <w:t xml:space="preserve">=</w:t>
      </w:r>
      <w:r>
        <w:rPr>
          <w:rStyle w:val="NormalTok"/>
        </w:rPr>
        <w:t xml:space="preserve"> </w:t>
      </w:r>
      <w:r>
        <w:rPr>
          <w:rStyle w:val="StringTok"/>
        </w:rPr>
        <w:t xml:space="preserve">"x13_2"</w:t>
      </w:r>
      <w:r>
        <w:rPr>
          <w:rStyle w:val="NormalTok"/>
        </w:rPr>
        <w:t xml:space="preserve">,</w:t>
      </w:r>
      <w:r>
        <w:br/>
      </w:r>
      <w:r>
        <w:rPr>
          <w:rStyle w:val="NormalTok"/>
        </w:rPr>
        <w:t xml:space="preserve">  </w:t>
      </w:r>
      <w:r>
        <w:rPr>
          <w:rStyle w:val="StringTok"/>
        </w:rPr>
        <w:t xml:space="preserve">"2022_25plusto24bachorhighertotal_sd"</w:t>
      </w:r>
      <w:r>
        <w:rPr>
          <w:rStyle w:val="NormalTok"/>
        </w:rPr>
        <w:t xml:space="preserve"> </w:t>
      </w:r>
      <w:r>
        <w:rPr>
          <w:rStyle w:val="OtherTok"/>
        </w:rPr>
        <w:t xml:space="preserve">=</w:t>
      </w:r>
      <w:r>
        <w:rPr>
          <w:rStyle w:val="NormalTok"/>
        </w:rPr>
        <w:t xml:space="preserve"> </w:t>
      </w:r>
      <w:r>
        <w:rPr>
          <w:rStyle w:val="StringTok"/>
        </w:rPr>
        <w:t xml:space="preserve">"x37"</w:t>
      </w:r>
      <w:r>
        <w:rPr>
          <w:rStyle w:val="NormalTok"/>
        </w:rPr>
        <w:t xml:space="preserve">,</w:t>
      </w:r>
      <w:r>
        <w:br/>
      </w:r>
      <w:r>
        <w:rPr>
          <w:rStyle w:val="NormalTok"/>
        </w:rPr>
        <w:t xml:space="preserve">  </w:t>
      </w:r>
      <w:r>
        <w:rPr>
          <w:rStyle w:val="StringTok"/>
        </w:rPr>
        <w:t xml:space="preserve">"2022_25plusbachonly_percent"</w:t>
      </w:r>
      <w:r>
        <w:rPr>
          <w:rStyle w:val="NormalTok"/>
        </w:rPr>
        <w:t xml:space="preserve"> </w:t>
      </w:r>
      <w:r>
        <w:rPr>
          <w:rStyle w:val="OtherTok"/>
        </w:rPr>
        <w:t xml:space="preserve">=</w:t>
      </w:r>
      <w:r>
        <w:rPr>
          <w:rStyle w:val="NormalTok"/>
        </w:rPr>
        <w:t xml:space="preserve"> </w:t>
      </w:r>
      <w:r>
        <w:rPr>
          <w:rStyle w:val="StringTok"/>
        </w:rPr>
        <w:t xml:space="preserve">"x14"</w:t>
      </w:r>
      <w:r>
        <w:rPr>
          <w:rStyle w:val="NormalTok"/>
        </w:rPr>
        <w:t xml:space="preserve">,</w:t>
      </w:r>
      <w:r>
        <w:br/>
      </w:r>
      <w:r>
        <w:rPr>
          <w:rStyle w:val="NormalTok"/>
        </w:rPr>
        <w:t xml:space="preserve">  </w:t>
      </w:r>
      <w:r>
        <w:rPr>
          <w:rStyle w:val="StringTok"/>
        </w:rPr>
        <w:t xml:space="preserve">"2022_25plusto24bachonly_sd"</w:t>
      </w:r>
      <w:r>
        <w:rPr>
          <w:rStyle w:val="NormalTok"/>
        </w:rPr>
        <w:t xml:space="preserve"> </w:t>
      </w:r>
      <w:r>
        <w:rPr>
          <w:rStyle w:val="OtherTok"/>
        </w:rPr>
        <w:t xml:space="preserve">=</w:t>
      </w:r>
      <w:r>
        <w:rPr>
          <w:rStyle w:val="NormalTok"/>
        </w:rPr>
        <w:t xml:space="preserve"> </w:t>
      </w:r>
      <w:r>
        <w:rPr>
          <w:rStyle w:val="StringTok"/>
        </w:rPr>
        <w:t xml:space="preserve">"x40"</w:t>
      </w:r>
      <w:r>
        <w:rPr>
          <w:rStyle w:val="NormalTok"/>
        </w:rPr>
        <w:t xml:space="preserve">,</w:t>
      </w:r>
      <w:r>
        <w:br/>
      </w:r>
      <w:r>
        <w:rPr>
          <w:rStyle w:val="NormalTok"/>
        </w:rPr>
        <w:t xml:space="preserve">  </w:t>
      </w:r>
      <w:r>
        <w:rPr>
          <w:rStyle w:val="StringTok"/>
        </w:rPr>
        <w:t xml:space="preserve">"2022_25plusgraddegree_percent"</w:t>
      </w:r>
      <w:r>
        <w:rPr>
          <w:rStyle w:val="NormalTok"/>
        </w:rPr>
        <w:t xml:space="preserve"> </w:t>
      </w:r>
      <w:r>
        <w:rPr>
          <w:rStyle w:val="OtherTok"/>
        </w:rPr>
        <w:t xml:space="preserve">=</w:t>
      </w:r>
      <w:r>
        <w:rPr>
          <w:rStyle w:val="NormalTok"/>
        </w:rPr>
        <w:t xml:space="preserve"> </w:t>
      </w:r>
      <w:r>
        <w:rPr>
          <w:rStyle w:val="StringTok"/>
        </w:rPr>
        <w:t xml:space="preserve">"x15_2"</w:t>
      </w:r>
      <w:r>
        <w:rPr>
          <w:rStyle w:val="NormalTok"/>
        </w:rPr>
        <w:t xml:space="preserve">,</w:t>
      </w:r>
      <w:r>
        <w:br/>
      </w:r>
      <w:r>
        <w:rPr>
          <w:rStyle w:val="NormalTok"/>
        </w:rPr>
        <w:t xml:space="preserve">  </w:t>
      </w:r>
      <w:r>
        <w:rPr>
          <w:rStyle w:val="StringTok"/>
        </w:rPr>
        <w:t xml:space="preserve">"2022_25plusto24graddegree_sd"</w:t>
      </w:r>
      <w:r>
        <w:rPr>
          <w:rStyle w:val="NormalTok"/>
        </w:rPr>
        <w:t xml:space="preserve"> </w:t>
      </w:r>
      <w:r>
        <w:rPr>
          <w:rStyle w:val="OtherTok"/>
        </w:rPr>
        <w:t xml:space="preserve">=</w:t>
      </w:r>
      <w:r>
        <w:rPr>
          <w:rStyle w:val="NormalTok"/>
        </w:rPr>
        <w:t xml:space="preserve"> </w:t>
      </w:r>
      <w:r>
        <w:rPr>
          <w:rStyle w:val="StringTok"/>
        </w:rPr>
        <w:t xml:space="preserve">"x43"</w:t>
      </w:r>
      <w:r>
        <w:br/>
      </w:r>
      <w:r>
        <w:rPr>
          <w:rStyle w:val="NormalTok"/>
        </w:rPr>
        <w:t xml:space="preserve">)</w:t>
      </w:r>
      <w:r>
        <w:br/>
      </w:r>
      <w:r>
        <w:rPr>
          <w:rStyle w:val="DocumentationTok"/>
        </w:rPr>
        <w:t xml:space="preserve">##Remove rows of data not affiliated with the 50 U.S. States</w:t>
      </w:r>
      <w:r>
        <w:br/>
      </w:r>
      <w:r>
        <w:rPr>
          <w:rStyle w:val="DocumentationTok"/>
        </w:rPr>
        <w:t xml:space="preserve">###Make a df which contains United States, District of Columbia, Other Jurisdictions, Puerto Rico and final three rows</w:t>
      </w:r>
      <w:r>
        <w:br/>
      </w:r>
      <w:r>
        <w:rPr>
          <w:rStyle w:val="NormalTok"/>
        </w:rPr>
        <w:t xml:space="preserve">rows_to_remove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53</w:t>
      </w:r>
      <w:r>
        <w:rPr>
          <w:rStyle w:val="NormalTok"/>
        </w:rPr>
        <w:t xml:space="preserve">, </w:t>
      </w:r>
      <w:r>
        <w:rPr>
          <w:rStyle w:val="DecValTok"/>
        </w:rPr>
        <w:t xml:space="preserve">54</w:t>
      </w:r>
      <w:r>
        <w:rPr>
          <w:rStyle w:val="NormalTok"/>
        </w:rPr>
        <w:t xml:space="preserve">, </w:t>
      </w:r>
      <w:r>
        <w:rPr>
          <w:rStyle w:val="DecValTok"/>
        </w:rPr>
        <w:t xml:space="preserve">55</w:t>
      </w:r>
      <w:r>
        <w:rPr>
          <w:rStyle w:val="NormalTok"/>
        </w:rPr>
        <w:t xml:space="preserve">, </w:t>
      </w:r>
      <w:r>
        <w:rPr>
          <w:rStyle w:val="DecValTok"/>
        </w:rPr>
        <w:t xml:space="preserve">56</w:t>
      </w:r>
      <w:r>
        <w:rPr>
          <w:rStyle w:val="NormalTok"/>
        </w:rPr>
        <w:t xml:space="preserve">, </w:t>
      </w:r>
      <w:r>
        <w:rPr>
          <w:rStyle w:val="DecValTok"/>
        </w:rPr>
        <w:t xml:space="preserve">57</w:t>
      </w:r>
      <w:r>
        <w:rPr>
          <w:rStyle w:val="NormalTok"/>
        </w:rPr>
        <w:t xml:space="preserve">)</w:t>
      </w:r>
      <w:r>
        <w:br/>
      </w:r>
      <w:r>
        <w:rPr>
          <w:rStyle w:val="DocumentationTok"/>
        </w:rPr>
        <w:t xml:space="preserve">###Use rows_to_remove to remove the certain jurisdictions using slice()</w:t>
      </w:r>
      <w:r>
        <w:br/>
      </w:r>
      <w:r>
        <w:rPr>
          <w:rStyle w:val="NormalTok"/>
        </w:rPr>
        <w:t xml:space="preserve">education_clean </w:t>
      </w:r>
      <w:r>
        <w:rPr>
          <w:rStyle w:val="OtherTok"/>
        </w:rPr>
        <w:t xml:space="preserve">&lt;-</w:t>
      </w:r>
      <w:r>
        <w:rPr>
          <w:rStyle w:val="NormalTok"/>
        </w:rPr>
        <w:t xml:space="preserve"> education_clean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SpecialCharTok"/>
        </w:rPr>
        <w:t xml:space="preserve">-</w:t>
      </w:r>
      <w:r>
        <w:rPr>
          <w:rStyle w:val="NormalTok"/>
        </w:rPr>
        <w:t xml:space="preserve">rows_to_remove)</w:t>
      </w:r>
      <w:r>
        <w:br/>
      </w:r>
      <w:r>
        <w:rPr>
          <w:rStyle w:val="DocumentationTok"/>
        </w:rPr>
        <w:t xml:space="preserve">##Add a column which calculates the difference between 2012 and 2022 high school graduation rates for individuals aged 18-24</w:t>
      </w:r>
      <w:r>
        <w:br/>
      </w:r>
      <w:r>
        <w:rPr>
          <w:rStyle w:val="NormalTok"/>
        </w:rPr>
        <w:t xml:space="preserve">education_clean </w:t>
      </w:r>
      <w:r>
        <w:rPr>
          <w:rStyle w:val="OtherTok"/>
        </w:rPr>
        <w:t xml:space="preserve">&lt;-</w:t>
      </w:r>
      <w:r>
        <w:rPr>
          <w:rStyle w:val="NormalTok"/>
        </w:rPr>
        <w:t xml:space="preserve"> education_clean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hsgradratediff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2022_18to24hs_percent</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2012_18to24hs_percent</w:t>
      </w:r>
      <w:r>
        <w:rPr>
          <w:rStyle w:val="StringTok"/>
        </w:rPr>
        <w:t xml:space="preserve">`</w:t>
      </w:r>
      <w:r>
        <w:br/>
      </w:r>
      <w:r>
        <w:rPr>
          <w:rStyle w:val="NormalTok"/>
        </w:rPr>
        <w:t xml:space="preserve">  )</w:t>
      </w:r>
    </w:p>
    <w:bookmarkEnd w:id="29"/>
    <w:bookmarkEnd w:id="30"/>
    <w:bookmarkStart w:id="31" w:name="statistical-analysis"/>
    <w:p>
      <w:pPr>
        <w:pStyle w:val="Heading2"/>
      </w:pPr>
      <w:r>
        <w:t xml:space="preserve">3.3 Statistical analysis</w:t>
      </w:r>
    </w:p>
    <w:p>
      <w:pPr>
        <w:pStyle w:val="FirstParagraph"/>
      </w:pPr>
      <w:r>
        <w:t xml:space="preserve">Linear regressions were applied to explore whether certain predictor variables, such as educational attainment, historical measles burden and MMR vaccination rates, could predict current measles burden in the 50 U.S. states.</w:t>
      </w:r>
    </w:p>
    <w:p>
      <w:r>
        <w:br w:type="page"/>
      </w:r>
    </w:p>
    <w:bookmarkEnd w:id="31"/>
    <w:bookmarkEnd w:id="32"/>
    <w:bookmarkStart w:id="66" w:name="results"/>
    <w:p>
      <w:pPr>
        <w:pStyle w:val="Heading1"/>
      </w:pPr>
      <w:r>
        <w:t xml:space="preserve">4. Results</w:t>
      </w:r>
    </w:p>
    <w:bookmarkStart w:id="57" w:name="exploratorydescriptive-analysis"/>
    <w:p>
      <w:pPr>
        <w:pStyle w:val="Heading2"/>
      </w:pPr>
      <w:r>
        <w:t xml:space="preserve">4.1 Exploratory/Descriptive analysis</w:t>
      </w:r>
    </w:p>
    <w:p>
      <w:pPr>
        <w:pStyle w:val="FirstParagraph"/>
      </w:pPr>
      <w:r>
        <w:t xml:space="preserve">Measles outbreaks are occurring across the United States, with several states reporting hundreds of cases. Since 2024, 5 states have reported having 100 or more cases, with 4 of these 5 states reporting more than 200 cases (Figure 1). These states include Arizona, Utah, South Carolina and Texas, with the latter two states having over 700+ cases respectively.</w:t>
      </w:r>
    </w:p>
    <w:p>
      <w:pPr>
        <w:pStyle w:val="CaptionedFigure"/>
      </w:pPr>
      <w:r>
        <w:drawing>
          <wp:inline>
            <wp:extent cx="5334000" cy="3556000"/>
            <wp:effectExtent b="0" l="0" r="0" t="0"/>
            <wp:docPr descr="Figure 1: A Select Few States are Experiencing Major Measles Outbreaks Since 2024" title="" id="34" name="Picture"/>
            <a:graphic>
              <a:graphicData uri="http://schemas.openxmlformats.org/drawingml/2006/picture">
                <pic:pic>
                  <pic:nvPicPr>
                    <pic:cNvPr descr="figures/top_states_measles.png" id="35"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A Select Few States are Experiencing Major Measles Outbreaks Since 2024</w:t>
      </w:r>
    </w:p>
    <w:p>
      <w:pPr>
        <w:pStyle w:val="BodyText"/>
      </w:pPr>
      <w:r>
        <w:t xml:space="preserve">To confirm whether the data used in this study reflects nationally reported trends in declining MMR vaccination rates, we first sought to test the national MMR vaccination trends in the dataset. Indeed, we see a declining rate in MMR vaccination rate in kindergartners, staggering at a 94% median vaccination rate until 2020, where we see a declining trend in MMR vaccination rate (Figure 2).</w:t>
      </w:r>
    </w:p>
    <w:p>
      <w:pPr>
        <w:pStyle w:val="CaptionedFigure"/>
      </w:pPr>
      <w:r>
        <w:drawing>
          <wp:inline>
            <wp:extent cx="5334000" cy="3556000"/>
            <wp:effectExtent b="0" l="0" r="0" t="0"/>
            <wp:docPr descr="Figure 2: National MMR Vaccination Data Reveal Declining Trend in Median Vaccination Rate in Kindergartners" title="" id="37" name="Picture"/>
            <a:graphic>
              <a:graphicData uri="http://schemas.openxmlformats.org/drawingml/2006/picture">
                <pic:pic>
                  <pic:nvPicPr>
                    <pic:cNvPr descr="figures/national_MMR_trends.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National MMR Vaccination Data Reveal Declining Trend in Median Vaccination Rate in Kindergartners</w:t>
      </w:r>
    </w:p>
    <w:p>
      <w:pPr>
        <w:pStyle w:val="BodyText"/>
      </w:pPr>
      <w:r>
        <w:t xml:space="preserve">We next wanted to test whether current measles outbreaks could be correlated to recent MMR vaccination trends. In a certain subset of states, exemplified by New York and California, MMR vaccination rates either slightly increased since 2012 or hovered at or above the 95% target rate for measles herd immunity (Figure 3). The other trend seen, exemplified by Arizona, South Carolina, Texas, and Utah, is a steady decline, with many of the states in this starting above the 95% herd immunity rate and dropping below by 2024.</w:t>
      </w:r>
    </w:p>
    <w:p>
      <w:pPr>
        <w:pStyle w:val="CaptionedFigure"/>
      </w:pPr>
      <w:r>
        <w:drawing>
          <wp:inline>
            <wp:extent cx="5334000" cy="3556000"/>
            <wp:effectExtent b="0" l="0" r="0" t="0"/>
            <wp:docPr descr="Figure 3: Two Distinct Trends in MMR Vaccination Rate in Kindergarteners since 2012" title="" id="40" name="Picture"/>
            <a:graphic>
              <a:graphicData uri="http://schemas.openxmlformats.org/drawingml/2006/picture">
                <pic:pic>
                  <pic:nvPicPr>
                    <pic:cNvPr descr="figures/focus_states_MMR_trends.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3: Two Distinct Trends in MMR Vaccination Rate in Kindergarteners since 2012</w:t>
      </w:r>
    </w:p>
    <w:p>
      <w:pPr>
        <w:pStyle w:val="BodyText"/>
      </w:pPr>
      <w:r>
        <w:t xml:space="preserve">After noting potential trends in the data between measles burden and MMR vaccination rates, we looked to develop a model which explored this correlartion. A bivariate model using mean MMR vaccination coverage as a predictor of total measles cases showed a slight negative correlation, with higher MMR coverage having a lesser measles burden.</w:t>
      </w:r>
    </w:p>
    <w:p>
      <w:pPr>
        <w:pStyle w:val="CaptionedFigure"/>
      </w:pPr>
      <w:r>
        <w:drawing>
          <wp:inline>
            <wp:extent cx="5334000" cy="3556000"/>
            <wp:effectExtent b="0" l="0" r="0" t="0"/>
            <wp:docPr descr="Figure 4: Bivariate Modeling Shows Mean MMR Coverage as a Weak Predictor of Measles Burden" title="" id="43" name="Picture"/>
            <a:graphic>
              <a:graphicData uri="http://schemas.openxmlformats.org/drawingml/2006/picture">
                <pic:pic>
                  <pic:nvPicPr>
                    <pic:cNvPr descr="figures/totalcases_vs_MMR_biovar.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4: Bivariate Modeling Shows Mean MMR Coverage as a Weak Predictor of Measles Burden</w:t>
      </w:r>
    </w:p>
    <w:p>
      <w:pPr>
        <w:pStyle w:val="BodyText"/>
      </w:pPr>
      <w:r>
        <w:t xml:space="preserve">Being a highly contagious pathogen, measles presents itself as a disease that would likely have many factors that could influence total burden in U.S. communities. As a result, we sought additional variables that could be used as additional predictors of total measles case burdens. Many of these additional factors rely on variables inherent to the virus, including its pathogenicity, mutagenesis capability and virulence. For this study, we focused on societal variables inherent to the human hosts of this virus. First, we focused on educational attainment to better understand whether differences in highest achieved education level could influence measles burden, as these rates vary from state-to-state. The dataset used for education attainment, obtained from the National Center for Education Statistics, contained data from both 2012 to 2022, allowing us to do comparisons to not only attainment in those years but also with changes over time. Plotting differences in high school graduation over time reveals that a large majority of states are having higher graduation rates in 2022, whereas only a few states showed lower graduation rates compared to 2012, with Wyoming and Hawaii seeing the most negative change (Figure 5).</w:t>
      </w:r>
    </w:p>
    <w:p>
      <w:pPr>
        <w:pStyle w:val="CaptionedFigure"/>
      </w:pPr>
      <w:r>
        <w:drawing>
          <wp:inline>
            <wp:extent cx="5334000" cy="3556000"/>
            <wp:effectExtent b="0" l="0" r="0" t="0"/>
            <wp:docPr descr="Figure 5: High School Graduation Trends Over Time" title="" id="46" name="Picture"/>
            <a:graphic>
              <a:graphicData uri="http://schemas.openxmlformats.org/drawingml/2006/picture">
                <pic:pic>
                  <pic:nvPicPr>
                    <pic:cNvPr descr="figures/grad_rate_trends.png" id="47" name="Picture"/>
                    <pic:cNvPicPr>
                      <a:picLocks noChangeArrowheads="1" noChangeAspect="1"/>
                    </pic:cNvPicPr>
                  </pic:nvPicPr>
                  <pic:blipFill>
                    <a:blip r:embed="rId4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5: High School Graduation Trends Over Time</w:t>
      </w:r>
    </w:p>
    <w:p>
      <w:pPr>
        <w:pStyle w:val="BodyText"/>
      </w:pPr>
      <w:r>
        <w:t xml:space="preserve">Next, we investigated if there were any correlations between the high school graduation rate change variable and two predicted variables: total measles cases and MMR vaccine rate. There appeared to be a weakly positive association between the change in high school graduation rate and mean MMR vaccination rate (Figure 6).</w:t>
      </w:r>
    </w:p>
    <w:p>
      <w:pPr>
        <w:pStyle w:val="CaptionedFigure"/>
      </w:pPr>
      <w:r>
        <w:drawing>
          <wp:inline>
            <wp:extent cx="5334000" cy="3556000"/>
            <wp:effectExtent b="0" l="0" r="0" t="0"/>
            <wp:docPr descr="Figure 6: High School Graduation Trends Over Time Weakly Associate with Mean MMR Vaccination Rates" title="" id="49" name="Picture"/>
            <a:graphic>
              <a:graphicData uri="http://schemas.openxmlformats.org/drawingml/2006/picture">
                <pic:pic>
                  <pic:nvPicPr>
                    <pic:cNvPr descr="figures/vacc_posneghsgrad.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6: High School Graduation Trends Over Time Weakly Associate with Mean MMR Vaccination Rates</w:t>
      </w:r>
    </w:p>
    <w:p>
      <w:pPr>
        <w:pStyle w:val="BodyText"/>
      </w:pPr>
      <w:r>
        <w:t xml:space="preserve">A bivariate analysis between these changing graduation rates over time revealed no association between this variable and measles outbreaks. (This variable was log transformed to reduce the impact of the strong Texas and South Carolina outliers.)</w:t>
      </w:r>
    </w:p>
    <w:p>
      <w:pPr>
        <w:pStyle w:val="CaptionedFigure"/>
      </w:pPr>
      <w:r>
        <w:drawing>
          <wp:inline>
            <wp:extent cx="5334000" cy="3556000"/>
            <wp:effectExtent b="0" l="0" r="0" t="0"/>
            <wp:docPr descr="Figure 7: A Bivariate Analysis with High School Graduation Trends Over Time Shows No Predictive Power of Total Measles Burden" title="" id="52" name="Picture"/>
            <a:graphic>
              <a:graphicData uri="http://schemas.openxmlformats.org/drawingml/2006/picture">
                <pic:pic>
                  <pic:nvPicPr>
                    <pic:cNvPr descr="figures/totalcases_vs_edu_log_trans_biovar.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7: A Bivariate Analysis with High School Graduation Trends Over Time Shows No Predictive Power of Total Measles Burden</w:t>
      </w:r>
    </w:p>
    <w:p>
      <w:pPr>
        <w:pStyle w:val="BodyText"/>
      </w:pPr>
      <w:r>
        <w:t xml:space="preserve">The final variable we sought to incorporate into this analysis is historical measles burden. We hypothesized that lingering measles cases over time might account for differences in behaviors in the community, which could account for current differences U.S. states currently experiencing measles outbreaks. We first investigated whether any correlation existed between total measles burden currently seen between 2024-2026 and the maximum number of cases yearly from 1980-2009. This revealed a positive correlation, with states having higher measles burden in the past having higher current measles burdens (Figure 8). However, it did not appear as though the states having the highest burdens followed this trend perfectly, with South Carolina, Utah and Arizona having higher burdens currently but a lesser historical burden.</w:t>
      </w:r>
    </w:p>
    <w:p>
      <w:pPr>
        <w:pStyle w:val="CaptionedFigure"/>
      </w:pPr>
      <w:r>
        <w:drawing>
          <wp:inline>
            <wp:extent cx="5334000" cy="3556000"/>
            <wp:effectExtent b="0" l="0" r="0" t="0"/>
            <wp:docPr descr="Figure 8: Historical Measles Burden as a Predictor of Current Measles Burden" title="" id="55" name="Picture"/>
            <a:graphic>
              <a:graphicData uri="http://schemas.openxmlformats.org/drawingml/2006/picture">
                <pic:pic>
                  <pic:nvPicPr>
                    <pic:cNvPr descr="figures/peak_measles_historical_peak.png" id="56" name="Picture"/>
                    <pic:cNvPicPr>
                      <a:picLocks noChangeArrowheads="1" noChangeAspect="1"/>
                    </pic:cNvPicPr>
                  </pic:nvPicPr>
                  <pic:blipFill>
                    <a:blip r:embed="rId5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8: Historical Measles Burden as a Predictor of Current Measles Burden</w:t>
      </w:r>
    </w:p>
    <w:p>
      <w:pPr>
        <w:pStyle w:val="BodyText"/>
      </w:pPr>
      <w:r>
        <w:t xml:space="preserve">Running a simple bivariate analysis using a percent of years with a positive historical measles burden shows a very weak association, indicating that this historical measles burden might not be a good predictor of current measles burden.</w:t>
      </w:r>
    </w:p>
    <w:bookmarkEnd w:id="57"/>
    <w:bookmarkStart w:id="64" w:name="multivariable-analysis"/>
    <w:p>
      <w:pPr>
        <w:pStyle w:val="Heading2"/>
      </w:pPr>
      <w:r>
        <w:t xml:space="preserve">4.2 Multivariable analysis</w:t>
      </w:r>
    </w:p>
    <w:p>
      <w:pPr>
        <w:pStyle w:val="FirstParagraph"/>
      </w:pPr>
      <w:r>
        <w:t xml:space="preserve">The multivariable analysis started by creating a dataset that included the outcome variable (recent measles case totals) and four predictors: historical measles persistence, average MMR vaccination rate, the proportion of years below 95% vaccination coverage, and change in high school graduation rates. Because the data contained large differences between states, the variables were log-transformed to make them more suitable for modeling. The dataset was then split into training and testing sets, and 10-fold cross-validation was used to evaluate model performance more reliably. A linear regression model using all four predictors was fit to the training data, and performance was measured using mean absolute error (MAE). To understand which predictors mattered most, additional models were created by removing one predictor at a time and comparing their performance. Based on these comparisons, a simpler two-predictor model using only vaccination-related variables was created. Finally, predicted values were compared to actual values using a scatter plot to visually assess how well the model performed.</w:t>
      </w:r>
    </w:p>
    <w:p>
      <w:pPr>
        <w:pStyle w:val="BodyText"/>
      </w:pPr>
      <w:r>
        <w:t xml:space="preserve">The MAE summary table for the full model shows that the training, cross-validation, and test errors are fairly similar, which suggests the model is not overfitting and performs consistently across datasets.</w:t>
      </w:r>
    </w:p>
    <w:p>
      <w:pPr>
        <w:pStyle w:val="CaptionedFigure"/>
      </w:pPr>
      <w:r>
        <w:drawing>
          <wp:inline>
            <wp:extent cx="5334000" cy="3556000"/>
            <wp:effectExtent b="0" l="0" r="0" t="0"/>
            <wp:docPr descr="Figure 9: Determining the best predictors" title="" id="59" name="Picture"/>
            <a:graphic>
              <a:graphicData uri="http://schemas.openxmlformats.org/drawingml/2006/picture">
                <pic:pic>
                  <pic:nvPicPr>
                    <pic:cNvPr descr="figures/Predictor_Importance.png"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9: Determining the best predictors</w:t>
      </w:r>
    </w:p>
    <w:p>
      <w:pPr>
        <w:pStyle w:val="BodyText"/>
      </w:pPr>
      <w:r>
        <w:t xml:space="preserve">Figure 9: The predictor importance table shows that removing vaccination-related predictors increases the error more than removing the other variables, indicating that MMR coverage and the frequency of vaccination rates below 95% are the most important predictors. The table for this graph can be found in results/tables/which_of_the_4_predictors_performs_best.csv</w:t>
      </w:r>
    </w:p>
    <w:p>
      <w:pPr>
        <w:pStyle w:val="BodyText"/>
      </w:pPr>
      <w:r>
        <w:t xml:space="preserve">The simpler two-predictor model produces MAE values close to the full model, showing that vaccination variables alone explain much of the variation in measles cases. The table for this can be found in results/tables/Two-Predictor_Model_Summary.csv</w:t>
      </w:r>
    </w:p>
    <w:p>
      <w:pPr>
        <w:pStyle w:val="CaptionedFigure"/>
      </w:pPr>
      <w:r>
        <w:drawing>
          <wp:inline>
            <wp:extent cx="5334000" cy="3556000"/>
            <wp:effectExtent b="0" l="0" r="0" t="0"/>
            <wp:docPr descr="Figure 10: Two-Predictor model" title="" id="62" name="Picture"/>
            <a:graphic>
              <a:graphicData uri="http://schemas.openxmlformats.org/drawingml/2006/picture">
                <pic:pic>
                  <pic:nvPicPr>
                    <pic:cNvPr descr="figures/Two-Predictor_Model.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10: Two-Predictor model</w:t>
      </w:r>
    </w:p>
    <w:p>
      <w:pPr>
        <w:pStyle w:val="BodyText"/>
      </w:pPr>
      <w:r>
        <w:t xml:space="preserve">Figure 10: The predicted vs. actual plot shows a general upward trend, meaning states with higher predicted values also tend to have higher observed measles cases, although the points are somewhat spread out, indicating moderate prediction error. Overall, these results suggest that vaccination coverage is the strongest factor in predicting measles case counts.</w:t>
      </w:r>
    </w:p>
    <w:bookmarkEnd w:id="64"/>
    <w:bookmarkStart w:id="65" w:name="random-forest-modeling"/>
    <w:p>
      <w:pPr>
        <w:pStyle w:val="Heading2"/>
      </w:pPr>
      <w:r>
        <w:t xml:space="preserve">4.3 Random Forest Modeling</w:t>
      </w:r>
    </w:p>
    <w:p>
      <w:pPr>
        <w:pStyle w:val="FirstParagraph"/>
      </w:pPr>
      <w:r>
        <w:t xml:space="preserve">Next, we sought to use machine learning and modeling to test whether any of the aforementioned variables could be used to predict our main outcome of interest, which is total case burdens from 2024 to 2026. The random forest model was chosen for this modeling due to its ability to handle extreme outliers, which we see in certain states in our datasets, and reduce overfitting. It was then compared to a linear regression model. To test the metrics of the Random Forest model, we used the Mean Absolute Error, or MAE, as this metric is commonly used for datasets with extreme outliers.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Comparison: Random Forest vs Linear Regression</w:t>
      </w:r>
    </w:p>
    <w:p>
      <w:pPr>
        <w:spacing w:before="0" w:after="60"/>
        <w:keepNext/>
        <w:jc w:val="start"/>
        <w:pStyle w:val="caption"/>
      </w:pPr>
      <w:r>
        <w:rPr>
          <w:rFonts w:ascii="Calibri" w:hAnsi="Calibri"/>
          <w:sz w:val="20"/>
          <w:color w:val="333333"/>
        </w:rPr>
        <w:t xml:space="default">Mean Absolute Error (MAE) Across Three Predictor Variable Combinations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Dataset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RF MAE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LM MAE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LM - RF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4 Predictor Variables</w:t>
            </w:r>
          </w:p>
        </w:tc>
        <w:tc>
          <w:tcPr>
            <w:tcBorders>
              <w:top w:val="single" w:space="0" w:color="D3D3D3"/>
              <w:bottom w:val="single" w:space="0" w:color="D3D3D3"/>
              <w:start w:val="single" w:space="0" w:color="D3D3D3"/>
              <w:end w:val="single" w:space="0" w:color="D3D3D3"/>
            </w:tcBorders>
            <w:shd w:val="clear" w:color="auto" w:fill="FAFEF9"/>
          </w:tcPr>
          <w:p>
            <w:pPr>
              <w:spacing w:before="0" w:after="60"/>
              <w:keepNext/>
              <w:jc w:val="center"/>
            </w:pPr>
            <w:r>
              <w:rPr>
                <w:rFonts w:ascii="Calibri" w:hAnsi="Calibri"/>
                <w:sz w:val="20"/>
                <w:color w:val="000000"/>
              </w:rPr>
              <w:t xml:space="default">100.54</w:t>
            </w:r>
          </w:p>
        </w:tc>
        <w:tc>
          <w:tcPr>
            <w:tcBorders>
              <w:top w:val="single" w:space="0" w:color="D3D3D3"/>
              <w:bottom w:val="single" w:space="0" w:color="D3D3D3"/>
              <w:start w:val="single" w:space="0" w:color="D3D3D3"/>
              <w:end w:val="single" w:space="0" w:color="D3D3D3"/>
            </w:tcBorders>
            <w:shd w:val="clear" w:color="auto" w:fill="AEF3AB"/>
          </w:tcPr>
          <w:p>
            <w:pPr>
              <w:spacing w:before="0" w:after="60"/>
              <w:keepNext/>
              <w:jc w:val="center"/>
            </w:pPr>
            <w:r>
              <w:rPr>
                <w:rFonts w:ascii="Calibri" w:hAnsi="Calibri"/>
                <w:sz w:val="20"/>
                <w:color w:val="000000"/>
              </w:rPr>
              <w:t xml:space="default">94.86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Historical Burdens + High School Graduation Rates</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color w:val="000000"/>
              </w:rPr>
              <w:t xml:space="default">100.84</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center"/>
            </w:pPr>
            <w:r>
              <w:rPr>
                <w:rFonts w:ascii="Calibri" w:hAnsi="Calibri"/>
                <w:sz w:val="20"/>
                <w:color w:val="000000"/>
              </w:rPr>
              <w:t xml:space="default">92.78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MMR Vaccination Mean + Fraction of Years Below 95% Vaccination</w:t>
            </w:r>
          </w:p>
        </w:tc>
        <w:tc>
          <w:tcPr>
            <w:tcBorders>
              <w:top w:val="single" w:space="0" w:color="D3D3D3"/>
              <w:bottom w:val="single" w:space="0" w:color="D3D3D3"/>
              <w:start w:val="single" w:space="0" w:color="D3D3D3"/>
              <w:end w:val="single" w:space="0" w:color="D3D3D3"/>
            </w:tcBorders>
            <w:shd w:val="clear" w:color="auto" w:fill="90EE90"/>
          </w:tcPr>
          <w:p>
            <w:pPr>
              <w:spacing w:before="0" w:after="60"/>
              <w:keepNext/>
              <w:jc w:val="center"/>
            </w:pPr>
            <w:r>
              <w:rPr>
                <w:rFonts w:ascii="Calibri" w:hAnsi="Calibri"/>
                <w:sz w:val="20"/>
                <w:color w:val="000000"/>
              </w:rPr>
              <w:t xml:space="default">95.23</w:t>
            </w:r>
          </w:p>
        </w:tc>
        <w:tc>
          <w:tcPr>
            <w:tcBorders>
              <w:top w:val="single" w:space="0" w:color="D3D3D3"/>
              <w:bottom w:val="single" w:space="0" w:color="D3D3D3"/>
              <w:start w:val="single" w:space="0" w:color="D3D3D3"/>
              <w:end w:val="single" w:space="0" w:color="D3D3D3"/>
            </w:tcBorders>
            <w:shd w:val="clear" w:color="auto" w:fill="FFFFFF"/>
          </w:tcPr>
          <w:p>
            <w:pPr>
              <w:spacing w:before="0" w:after="60"/>
              <w:keepNext/>
              <w:jc w:val="center"/>
            </w:pPr>
            <w:r>
              <w:rPr>
                <w:rFonts w:ascii="Calibri" w:hAnsi="Calibri"/>
                <w:sz w:val="20"/>
                <w:color w:val="000000"/>
              </w:rPr>
              <w:t xml:space="default">101.35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6.11</w:t>
            </w:r>
          </w:p>
        </w:tc>
      </w:tr>
      <w:tr>
        <w:trPr>
          <w:cantSplit/>
        </w:trPr>
        <w:tc>
          <w:tcPr>
            <w:gridSpan w:val="4"/>
          </w:tcPr>
          <w:p>
            <w:pPr>
              <w:spacing w:before="0" w:after="60"/>
              <w:keepNext/>
            </w:pPr>
            <w:r>
              <w:rPr>
                <w:rFonts w:ascii="Calibri" w:hAnsi="Calibri"/>
                <w:sz w:val="20"/>
              </w:rPr>
              <w:t xml:space="default">All 4 predictor variables include the combination of Historical Burdens, High School Graduation Rates, MMR Vaccination Means and Fraction of Years Below 95% Vacciantion. Historical Burdens is the maximum measles case burden between 1980 and 2009. High School Graduation Rates is the difference in high school graduation rates over time between 2012 and 2022. MMR Vaccination Mean is the mean MMR vaccination rate amongst kindergarteners from 2012 to 2024. Fraction of Years Below 95% Vaccination is a measure of the years a state was below the target goal of 95% MMR vaccination coverage from 2012 to 2024.</w:t>
            </w:r>
          </w:p>
        </w:tc>
      </w:tr>
    </w:tbl>
    <w:p>
      <w:pPr>
        <w:pStyle w:val="BodyText"/>
      </w:pPr>
      <w:r>
        <w:t xml:space="preserve">Table 1: Model Comparison between Random Forest and Linear Regression Models</w:t>
      </w:r>
    </w:p>
    <w:p>
      <w:pPr>
        <w:pStyle w:val="BodyText"/>
      </w:pPr>
      <w:r>
        <w:t xml:space="preserve">The comparison table in Table 1 highlights how the four variables performed in predicting current measles cases in 2024-2026. Using all 4 predictor variables best predicted case measles using a linear regression model as compared to the random forest model, as indicated by the smaller Mean Absolute Error. This was also the case when only the</w:t>
      </w:r>
      <w:r>
        <w:t xml:space="preserve"> </w:t>
      </w:r>
      <w:r>
        <w:t xml:space="preserve">“Historical Burdens”</w:t>
      </w:r>
      <w:r>
        <w:t xml:space="preserve"> </w:t>
      </w:r>
      <w:r>
        <w:t xml:space="preserve">and</w:t>
      </w:r>
      <w:r>
        <w:t xml:space="preserve"> </w:t>
      </w:r>
      <w:r>
        <w:t xml:space="preserve">“High School Graduation Rates”</w:t>
      </w:r>
      <w:r>
        <w:t xml:space="preserve"> </w:t>
      </w:r>
      <w:r>
        <w:t xml:space="preserve">variables were used as predictors, with a slight improvement in MAE. However, when using the</w:t>
      </w:r>
      <w:r>
        <w:t xml:space="preserve"> </w:t>
      </w:r>
      <w:r>
        <w:t xml:space="preserve">“MMR vaccination means”</w:t>
      </w:r>
      <w:r>
        <w:t xml:space="preserve"> </w:t>
      </w:r>
      <w:r>
        <w:t xml:space="preserve">and</w:t>
      </w:r>
      <w:r>
        <w:t xml:space="preserve"> </w:t>
      </w:r>
      <w:r>
        <w:t xml:space="preserve">“Fraction of Years Below 95% Vaccination”</w:t>
      </w:r>
      <w:r>
        <w:t xml:space="preserve"> </w:t>
      </w:r>
      <w:r>
        <w:t xml:space="preserve">variables, the opposite was true: we see a smaller MAE when using the Random Forest Model as compared to the linear regression model. This indicates the both linear and non-linear variables are impacting the model’s ability to predict current case burdens in the U.S. In addition, the Mean Absolute Error is quite high, with the MAE hovering at ~95 cases, indicating that the model is predicting the true burden for these states within a threshold of +/- 95 cases. This is semi-decent for states with high burdens, such as Texas and South Carolina, but for other states with low case burdens this model is not suitable for predictions. This additionally indicates that there are likely other variables that explain the outbreaks currently happening in communities across the United States.</w:t>
      </w:r>
    </w:p>
    <w:bookmarkEnd w:id="65"/>
    <w:bookmarkEnd w:id="66"/>
    <w:bookmarkStart w:id="68" w:name="discussion"/>
    <w:p>
      <w:pPr>
        <w:pStyle w:val="Heading1"/>
      </w:pPr>
      <w:r>
        <w:t xml:space="preserve">5. Discussion</w:t>
      </w:r>
    </w:p>
    <w:p>
      <w:pPr>
        <w:pStyle w:val="FirstParagraph"/>
      </w:pPr>
      <w:r>
        <w:t xml:space="preserve">The results of this analysis reinforce the well-established relationship between vaccination coverage and measles incidence</w:t>
      </w:r>
      <w:r>
        <w:t xml:space="preserve"> </w:t>
      </w:r>
      <w:r>
        <w:t xml:space="preserve">(5)</w:t>
      </w:r>
      <w:r>
        <w:t xml:space="preserve">. The overall decline in reported cases over time aligns with the introduction and widespread adoption of the measles vaccine, demonstrating its effectiveness as a public health intervention. However, the presence of periodic increases in case counts suggests that measles has not been fully eliminated as a public health concern within the United States.</w:t>
      </w:r>
    </w:p>
    <w:p>
      <w:pPr>
        <w:pStyle w:val="BodyText"/>
      </w:pPr>
      <w:r>
        <w:t xml:space="preserve">The data patterns observed in this study start to support the idea that even small reductions in vaccination coverage can lead to disproportionately large increases in outbreak risk due to the highly contagious nature of measles. In particular, localized spikes in cases may reflect areas where herd immunity thresholds are not consistently maintained. We also found it quite curious that the linear regression model was a better fit for predictive factors like historical measles burden and educational attainment, whereas the Random Forest model fit better for MMR vaccination variables. This emphasizes the need to fully consider all variables in your model, and to consider deeper models when combining a multitude of factors to predict an outcome.</w:t>
      </w:r>
    </w:p>
    <w:p>
      <w:pPr>
        <w:pStyle w:val="BodyText"/>
      </w:pPr>
      <w:r>
        <w:t xml:space="preserve">It is also important to consider limitations in the data and analysis. Reported case counts may be influenced by changes in surveillance practices, reporting accuracy, and public health infrastructure over time</w:t>
      </w:r>
      <w:r>
        <w:t xml:space="preserve"> </w:t>
      </w:r>
      <w:r>
        <w:t xml:space="preserve">(2)</w:t>
      </w:r>
      <w:r>
        <w:t xml:space="preserve">. As well, these data sets were combined post-collection, meaning that the same participants who were surveyed for educational attainment are not the same individuals being screened for vaccination status. This makes interpretations of trends much more difficult to fully interpret, but our preliminary investigations propose that a larger, more comprehensive study surveying the same individuals for these factors and measles vaccination could strengthen our initial findings. In the same vein, this study did not look at other factors that could have a larger influence on measles incidence and/or MMR vaccination rates, such as age, sex, political beliefs and religious affiliation. Additionally, this analysis is primarily descriptive and does not establish causal relationships between vaccination rates and measles incidence. More advanced modeling approaches could further clarify these relationships and account for confounding variables such as demographic shifts and access to healthcare.</w:t>
      </w:r>
    </w:p>
    <w:p>
      <w:pPr>
        <w:pStyle w:val="BodyText"/>
      </w:pPr>
      <w:r>
        <w:t xml:space="preserve">Despite these limitations, the observed trends provide meaningful insight into the dynamics of measles transmission in a post-vaccination context. The findings emphasize that maintaining high vaccination coverage is essential not only for preventing individual cases but also for protecting population-level immunity.</w:t>
      </w:r>
    </w:p>
    <w:bookmarkStart w:id="67" w:name="conclusions"/>
    <w:p>
      <w:pPr>
        <w:pStyle w:val="Heading2"/>
      </w:pPr>
      <w:r>
        <w:t xml:space="preserve">5.1 Conclusions</w:t>
      </w:r>
    </w:p>
    <w:p>
      <w:pPr>
        <w:pStyle w:val="FirstParagraph"/>
      </w:pPr>
      <w:r>
        <w:t xml:space="preserve">This study demonstrates that vaccination efforts have played a critical role in reducing measles incidence in the United States, resulting in a substantial long-term decline in reported cases. However, the persistence of periodic outbreaks indicates that measles remains a potential public health threat, particularly in areas with lower vaccination coverage.</w:t>
      </w:r>
    </w:p>
    <w:p>
      <w:pPr>
        <w:pStyle w:val="BodyText"/>
      </w:pPr>
      <w:r>
        <w:t xml:space="preserve">The results highlight the importance of continued investment in vaccination programs, public health education, and surveillance systems. Ensuring high and consistent immunization rates is essential to preventing future outbreaks and sustaining the progress achieved over past decades. Future research should focus on identifying specific factors contributing to localized declines in vaccination coverage and developing targeted interventions to address these gaps.</w:t>
      </w:r>
    </w:p>
    <w:p>
      <w:r>
        <w:br w:type="page"/>
      </w:r>
    </w:p>
    <w:bookmarkEnd w:id="67"/>
    <w:bookmarkEnd w:id="68"/>
    <w:bookmarkStart w:id="87" w:name="references"/>
    <w:p>
      <w:pPr>
        <w:pStyle w:val="Heading1"/>
      </w:pPr>
      <w:r>
        <w:t xml:space="preserve">6. References</w:t>
      </w:r>
    </w:p>
    <w:bookmarkStart w:id="86" w:name="refs"/>
    <w:bookmarkStart w:id="70" w:name="ref-misin2020"/>
    <w:p>
      <w:pPr>
        <w:pStyle w:val="Bibliography"/>
      </w:pPr>
      <w:r>
        <w:t xml:space="preserve">1.</w:t>
      </w:r>
      <w:r>
        <w:t xml:space="preserve"> </w:t>
      </w:r>
      <w:r>
        <w:t xml:space="preserve">	</w:t>
      </w:r>
      <w:r>
        <w:t xml:space="preserve">Misin A A.</w:t>
      </w:r>
      <w:r>
        <w:t xml:space="preserve"> </w:t>
      </w:r>
      <w:hyperlink r:id="rId69">
        <w:r>
          <w:rPr>
            <w:rStyle w:val="Hyperlink"/>
          </w:rPr>
          <w:t xml:space="preserve">Measles: An overview of a re-emerging disease in children and immunocompromised patients</w:t>
        </w:r>
      </w:hyperlink>
      <w:r>
        <w:t xml:space="preserve">.</w:t>
      </w:r>
      <w:r>
        <w:t xml:space="preserve"> </w:t>
      </w:r>
      <w:r>
        <w:rPr>
          <w:i/>
          <w:iCs/>
        </w:rPr>
        <w:t xml:space="preserve">Microorganisms</w:t>
      </w:r>
      <w:r>
        <w:t xml:space="preserve">. 2020;8(2):276.</w:t>
      </w:r>
      <w:r>
        <w:t xml:space="preserve"> </w:t>
      </w:r>
    </w:p>
    <w:bookmarkEnd w:id="70"/>
    <w:bookmarkStart w:id="72" w:name="ref-klose2024"/>
    <w:p>
      <w:pPr>
        <w:pStyle w:val="Bibliography"/>
      </w:pPr>
      <w:r>
        <w:t xml:space="preserve">2.</w:t>
      </w:r>
      <w:r>
        <w:t xml:space="preserve"> </w:t>
      </w:r>
      <w:r>
        <w:t xml:space="preserve">	</w:t>
      </w:r>
      <w:r>
        <w:t xml:space="preserve">Matysiak-Klose M D.</w:t>
      </w:r>
      <w:r>
        <w:t xml:space="preserve"> </w:t>
      </w:r>
      <w:hyperlink r:id="rId71">
        <w:r>
          <w:rPr>
            <w:rStyle w:val="Hyperlink"/>
          </w:rPr>
          <w:t xml:space="preserve">The epidemiology and diagnosis of measles—special aspects relating to low incidence</w:t>
        </w:r>
      </w:hyperlink>
      <w:r>
        <w:t xml:space="preserve">.</w:t>
      </w:r>
      <w:r>
        <w:t xml:space="preserve"> </w:t>
      </w:r>
      <w:r>
        <w:rPr>
          <w:i/>
          <w:iCs/>
        </w:rPr>
        <w:t xml:space="preserve">Deutsches Arzteblatt international</w:t>
      </w:r>
      <w:r>
        <w:t xml:space="preserve">. 2024;121(26):875–881.</w:t>
      </w:r>
      <w:r>
        <w:t xml:space="preserve"> </w:t>
      </w:r>
    </w:p>
    <w:bookmarkEnd w:id="72"/>
    <w:bookmarkStart w:id="74" w:name="ref-minta2023"/>
    <w:p>
      <w:pPr>
        <w:pStyle w:val="Bibliography"/>
      </w:pPr>
      <w:r>
        <w:t xml:space="preserve">3.</w:t>
      </w:r>
      <w:r>
        <w:t xml:space="preserve"> </w:t>
      </w:r>
      <w:r>
        <w:t xml:space="preserve">	</w:t>
      </w:r>
      <w:r>
        <w:t xml:space="preserve">Minta F A. A.</w:t>
      </w:r>
      <w:r>
        <w:t xml:space="preserve"> </w:t>
      </w:r>
      <w:hyperlink r:id="rId73">
        <w:r>
          <w:rPr>
            <w:rStyle w:val="Hyperlink"/>
          </w:rPr>
          <w:t xml:space="preserve">Progress toward measles elimination - worldwide, 2000-2022</w:t>
        </w:r>
      </w:hyperlink>
      <w:r>
        <w:t xml:space="preserve">.</w:t>
      </w:r>
      <w:r>
        <w:t xml:space="preserve"> </w:t>
      </w:r>
      <w:r>
        <w:rPr>
          <w:i/>
          <w:iCs/>
        </w:rPr>
        <w:t xml:space="preserve">MMWR</w:t>
      </w:r>
      <w:r>
        <w:t xml:space="preserve">. 2023;72(46):1262–1268.</w:t>
      </w:r>
      <w:r>
        <w:t xml:space="preserve"> </w:t>
      </w:r>
    </w:p>
    <w:bookmarkEnd w:id="74"/>
    <w:bookmarkStart w:id="75" w:name="ref-who2025"/>
    <w:p>
      <w:pPr>
        <w:pStyle w:val="Bibliography"/>
      </w:pPr>
      <w:r>
        <w:t xml:space="preserve">4.</w:t>
      </w:r>
      <w:r>
        <w:t xml:space="preserve"> </w:t>
      </w:r>
      <w:r>
        <w:t xml:space="preserve">	</w:t>
      </w:r>
      <w:r>
        <w:t xml:space="preserve">Organization WH. Measles. 2025;</w:t>
      </w:r>
    </w:p>
    <w:bookmarkEnd w:id="75"/>
    <w:bookmarkStart w:id="77" w:name="ref-shattock2024"/>
    <w:p>
      <w:pPr>
        <w:pStyle w:val="Bibliography"/>
      </w:pPr>
      <w:r>
        <w:t xml:space="preserve">5.</w:t>
      </w:r>
      <w:r>
        <w:t xml:space="preserve"> </w:t>
      </w:r>
      <w:r>
        <w:t xml:space="preserve">	</w:t>
      </w:r>
      <w:r>
        <w:t xml:space="preserve">Shattock J A. J.</w:t>
      </w:r>
      <w:r>
        <w:t xml:space="preserve"> </w:t>
      </w:r>
      <w:hyperlink r:id="rId76">
        <w:r>
          <w:rPr>
            <w:rStyle w:val="Hyperlink"/>
          </w:rPr>
          <w:t xml:space="preserve">Contribution of vaccination to improved survival and health: Modelling 50 years of the expanded programme on immunization</w:t>
        </w:r>
      </w:hyperlink>
      <w:r>
        <w:t xml:space="preserve">.</w:t>
      </w:r>
      <w:r>
        <w:t xml:space="preserve"> </w:t>
      </w:r>
      <w:r>
        <w:rPr>
          <w:i/>
          <w:iCs/>
        </w:rPr>
        <w:t xml:space="preserve">Lancet</w:t>
      </w:r>
      <w:r>
        <w:t xml:space="preserve">. 2024;403(10441):2307–2316.</w:t>
      </w:r>
      <w:r>
        <w:t xml:space="preserve"> </w:t>
      </w:r>
    </w:p>
    <w:bookmarkEnd w:id="77"/>
    <w:bookmarkStart w:id="79" w:name="ref-gambrell2022"/>
    <w:p>
      <w:pPr>
        <w:pStyle w:val="Bibliography"/>
      </w:pPr>
      <w:r>
        <w:t xml:space="preserve">6.</w:t>
      </w:r>
      <w:r>
        <w:t xml:space="preserve"> </w:t>
      </w:r>
      <w:r>
        <w:t xml:space="preserve">	</w:t>
      </w:r>
      <w:r>
        <w:t xml:space="preserve">Gambrell S A.</w:t>
      </w:r>
      <w:r>
        <w:t xml:space="preserve"> </w:t>
      </w:r>
      <w:hyperlink r:id="rId78">
        <w:r>
          <w:rPr>
            <w:rStyle w:val="Hyperlink"/>
          </w:rPr>
          <w:t xml:space="preserve">Estimating the number of US children susceptible to measles resulting from COVID-19-related vaccination coverage declines</w:t>
        </w:r>
      </w:hyperlink>
      <w:r>
        <w:t xml:space="preserve">.</w:t>
      </w:r>
      <w:r>
        <w:t xml:space="preserve"> </w:t>
      </w:r>
      <w:r>
        <w:rPr>
          <w:i/>
          <w:iCs/>
        </w:rPr>
        <w:t xml:space="preserve">Vaccine</w:t>
      </w:r>
      <w:r>
        <w:t xml:space="preserve">. 2022;40(32):4574–4579.</w:t>
      </w:r>
      <w:r>
        <w:t xml:space="preserve"> </w:t>
      </w:r>
    </w:p>
    <w:bookmarkEnd w:id="79"/>
    <w:bookmarkStart w:id="80" w:name="ref-whoimmun2025"/>
    <w:p>
      <w:pPr>
        <w:pStyle w:val="Bibliography"/>
      </w:pPr>
      <w:r>
        <w:t xml:space="preserve">7.</w:t>
      </w:r>
      <w:r>
        <w:t xml:space="preserve"> </w:t>
      </w:r>
      <w:r>
        <w:t xml:space="preserve">	</w:t>
      </w:r>
      <w:r>
        <w:t xml:space="preserve">Organization WH. Immunization coverage. 2025;</w:t>
      </w:r>
    </w:p>
    <w:bookmarkEnd w:id="80"/>
    <w:bookmarkStart w:id="82" w:name="ref-dong2025"/>
    <w:p>
      <w:pPr>
        <w:pStyle w:val="Bibliography"/>
      </w:pPr>
      <w:r>
        <w:t xml:space="preserve">8.</w:t>
      </w:r>
      <w:r>
        <w:t xml:space="preserve"> </w:t>
      </w:r>
      <w:r>
        <w:t xml:space="preserve">	</w:t>
      </w:r>
      <w:r>
        <w:t xml:space="preserve">Dong E NA Saiyed S.</w:t>
      </w:r>
      <w:r>
        <w:t xml:space="preserve"> </w:t>
      </w:r>
      <w:hyperlink r:id="rId81">
        <w:r>
          <w:rPr>
            <w:rStyle w:val="Hyperlink"/>
          </w:rPr>
          <w:t xml:space="preserve">Trends in county-level MMR vaccination coverage in children in the united states</w:t>
        </w:r>
      </w:hyperlink>
      <w:r>
        <w:t xml:space="preserve">.</w:t>
      </w:r>
      <w:r>
        <w:t xml:space="preserve"> </w:t>
      </w:r>
      <w:r>
        <w:rPr>
          <w:i/>
          <w:iCs/>
        </w:rPr>
        <w:t xml:space="preserve">Journal of Medical American Association</w:t>
      </w:r>
      <w:r>
        <w:t xml:space="preserve">. 2025;334(8):730–732.</w:t>
      </w:r>
      <w:r>
        <w:t xml:space="preserve"> </w:t>
      </w:r>
    </w:p>
    <w:bookmarkEnd w:id="82"/>
    <w:bookmarkStart w:id="83" w:name="ref-cdc2026"/>
    <w:p>
      <w:pPr>
        <w:pStyle w:val="Bibliography"/>
      </w:pPr>
      <w:r>
        <w:t xml:space="preserve">9.</w:t>
      </w:r>
      <w:r>
        <w:t xml:space="preserve"> </w:t>
      </w:r>
      <w:r>
        <w:t xml:space="preserve">	</w:t>
      </w:r>
      <w:r>
        <w:t xml:space="preserve">Disease Control USC for. Measles cases and outbreaks. 2026;</w:t>
      </w:r>
    </w:p>
    <w:bookmarkEnd w:id="83"/>
    <w:bookmarkStart w:id="84" w:name="ref-tycho2026"/>
    <w:p>
      <w:pPr>
        <w:pStyle w:val="Bibliography"/>
      </w:pPr>
      <w:r>
        <w:t xml:space="preserve">10.</w:t>
      </w:r>
      <w:r>
        <w:t xml:space="preserve"> </w:t>
      </w:r>
      <w:r>
        <w:t xml:space="preserve">	</w:t>
      </w:r>
      <w:r>
        <w:t xml:space="preserve">Pittsburgh U of. Compile your own project tycho dataset. 2026;</w:t>
      </w:r>
    </w:p>
    <w:bookmarkEnd w:id="84"/>
    <w:bookmarkStart w:id="85" w:name="ref-nces2023"/>
    <w:p>
      <w:pPr>
        <w:pStyle w:val="Bibliography"/>
      </w:pPr>
      <w:r>
        <w:t xml:space="preserve">11.</w:t>
      </w:r>
      <w:r>
        <w:t xml:space="preserve"> </w:t>
      </w:r>
      <w:r>
        <w:t xml:space="preserve">	</w:t>
      </w:r>
      <w:r>
        <w:t xml:space="preserve">Education Statistics NC for. Percentage of persons 18 to 24 years old and age 25 and over, by educational attainment and state or jurisdiction: 2012 and 2022. 2023;</w:t>
      </w:r>
    </w:p>
    <w:bookmarkEnd w:id="85"/>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36" Target="media/rId36.png" /><Relationship Type="http://schemas.openxmlformats.org/officeDocument/2006/relationships/image" Id="rId54" Target="media/rId54.png"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hyperlink" Id="rId81" Target="https://doi.org/10.1001/jama.2025.8952" TargetMode="External" /><Relationship Type="http://schemas.openxmlformats.org/officeDocument/2006/relationships/hyperlink" Id="rId76" Target="https://doi.org/10.1016/S0140-6736(24)00850-X" TargetMode="External" /><Relationship Type="http://schemas.openxmlformats.org/officeDocument/2006/relationships/hyperlink" Id="rId78" Target="https://doi.org/10.1016/j.vaccine.2022.06.033" TargetMode="External" /><Relationship Type="http://schemas.openxmlformats.org/officeDocument/2006/relationships/hyperlink" Id="rId73" Target="https://doi.org/10.15585/mmwr.mm7246a3" TargetMode="External" /><Relationship Type="http://schemas.openxmlformats.org/officeDocument/2006/relationships/hyperlink" Id="rId71" Target="https://doi.org/10.3238/arztebl.m2024.0211" TargetMode="External" /><Relationship Type="http://schemas.openxmlformats.org/officeDocument/2006/relationships/hyperlink" Id="rId69" Target="https://doi.org/10.3390/microorganisms8020276"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01/jama.2025.8952" TargetMode="External" /><Relationship Type="http://schemas.openxmlformats.org/officeDocument/2006/relationships/hyperlink" Id="rId76" Target="https://doi.org/10.1016/S0140-6736(24)00850-X" TargetMode="External" /><Relationship Type="http://schemas.openxmlformats.org/officeDocument/2006/relationships/hyperlink" Id="rId78" Target="https://doi.org/10.1016/j.vaccine.2022.06.033" TargetMode="External" /><Relationship Type="http://schemas.openxmlformats.org/officeDocument/2006/relationships/hyperlink" Id="rId73" Target="https://doi.org/10.15585/mmwr.mm7246a3" TargetMode="External" /><Relationship Type="http://schemas.openxmlformats.org/officeDocument/2006/relationships/hyperlink" Id="rId71" Target="https://doi.org/10.3238/arztebl.m2024.0211" TargetMode="External" /><Relationship Type="http://schemas.openxmlformats.org/officeDocument/2006/relationships/hyperlink" Id="rId69" Target="https://doi.org/10.3390/microorganisms80202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 Measles Case Trends Post-Vaccination Efforts in the United States</dc:title>
  <dc:creator>Austin Hill, Joe Dainis</dc:creator>
  <cp:keywords/>
  <dcterms:created xsi:type="dcterms:W3CDTF">2026-05-05T21:09:30Z</dcterms:created>
  <dcterms:modified xsi:type="dcterms:W3CDTF">2026-05-05T21:09:30Z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resources">
    <vt:lpwstr/>
  </property>
  <property fmtid="{D5CDD505-2E9C-101B-9397-08002B2CF9AE}" pid="12" name="toc-title">
    <vt:lpwstr>Table of contents</vt:lpwstr>
  </property>
</Properties>
</file>