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France JRC vs Gaspar Flood Comparison</w:t>
      </w:r>
    </w:p>
    <w:p>
      <w:pPr>
        <w:jc w:val="center"/>
      </w:pPr>
      <w:r>
        <w:rPr>
          <w:color w:val="475569"/>
          <w:sz w:val="26"/>
        </w:rPr>
        <w:t>JRC flood-depth maps, Gaspar CATNAT recognitions, and match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2E8F0"/>
            <w:vAlign w:val="center"/>
          </w:tcPr>
          <w:p>
            <w:r>
              <w:rPr>
                <w:b/>
              </w:rPr>
              <w:t>Report scope</w:t>
            </w:r>
          </w:p>
        </w:tc>
        <w:tc>
          <w:tcPr>
            <w:tcW w:type="dxa" w:w="6912"/>
            <w:vAlign w:val="center"/>
          </w:tcPr>
          <w:p>
            <w:r>
              <w:t>France, JRC flood-depth maps vs Gaspar flood recognitions</w:t>
            </w:r>
          </w:p>
        </w:tc>
      </w:tr>
      <w:tr>
        <w:tc>
          <w:tcPr>
            <w:tcW w:type="dxa" w:w="2880"/>
            <w:shd w:fill="E2E8F0"/>
            <w:vAlign w:val="center"/>
          </w:tcPr>
          <w:p>
            <w:r>
              <w:rPr>
                <w:b/>
              </w:rPr>
              <w:t>Main result folders</w:t>
            </w:r>
          </w:p>
        </w:tc>
        <w:tc>
          <w:tcPr>
            <w:tcW w:type="dxa" w:w="6912"/>
            <w:vAlign w:val="center"/>
          </w:tcPr>
          <w:p>
            <w:r>
              <w:t>data/processed/jrc_gaspar_comparison_flexible_7d and ..._30d</w:t>
            </w:r>
          </w:p>
        </w:tc>
      </w:tr>
      <w:tr>
        <w:tc>
          <w:tcPr>
            <w:tcW w:type="dxa" w:w="2880"/>
            <w:shd w:fill="E2E8F0"/>
            <w:vAlign w:val="center"/>
          </w:tcPr>
          <w:p>
            <w:r>
              <w:rPr>
                <w:b/>
              </w:rPr>
              <w:t>Prepared from</w:t>
            </w:r>
          </w:p>
        </w:tc>
        <w:tc>
          <w:tcPr>
            <w:tcW w:type="dxa" w:w="6912"/>
            <w:vAlign w:val="center"/>
          </w:tcPr>
          <w:p>
            <w:r>
              <w:t>Current processed outputs and JRC source documentation</w:t>
            </w:r>
          </w:p>
        </w:tc>
      </w:tr>
    </w:tbl>
    <w:p/>
    <w:p>
      <w:pPr>
        <w:jc w:val="center"/>
      </w:pPr>
      <w:r>
        <w:rPr>
          <w:i/>
          <w:color w:val="475569"/>
        </w:rPr>
        <w:t>This document explains what the comparison outputs mean, how the matching logic works, and how to interpret the strict 7-day and flexible 30-day variants.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vAlign w:val="center"/>
          </w:tcPr>
          <w:p>
            <w:pPr>
              <w:spacing w:after="80"/>
            </w:pPr>
            <w:r>
              <w:rPr>
                <w:b/>
              </w:rPr>
              <w:t xml:space="preserve">• </w:t>
            </w:r>
            <w:r>
              <w:t>The France comparison uses 288 JRC flood events and 3505 Gaspar recognition-period groups derived from 164 CATNAT decree IDs.</w:t>
            </w:r>
          </w:p>
        </w:tc>
      </w:tr>
      <w:tr>
        <w:tc>
          <w:tcPr>
            <w:tcW w:type="dxa" w:w="9936"/>
            <w:shd w:fill="EEF2FF"/>
            <w:vAlign w:val="center"/>
          </w:tcPr>
          <w:p>
            <w:pPr>
              <w:spacing w:after="80"/>
            </w:pPr>
            <w:r>
              <w:rPr>
                <w:b/>
              </w:rPr>
              <w:t xml:space="preserve">• </w:t>
            </w:r>
            <w:r>
              <w:t>At the department level, the strict 7-day rule matches 125 of 288 JRC events (43.4%), while the flexible 30-day rule matches 171 (59.4%).</w:t>
            </w:r>
          </w:p>
        </w:tc>
      </w:tr>
      <w:tr>
        <w:tc>
          <w:tcPr>
            <w:tcW w:type="dxa" w:w="9936"/>
            <w:shd w:fill="F8FAFC"/>
            <w:vAlign w:val="center"/>
          </w:tcPr>
          <w:p>
            <w:pPr>
              <w:spacing w:after="80"/>
            </w:pPr>
            <w:r>
              <w:rPr>
                <w:b/>
              </w:rPr>
              <w:t xml:space="preserve">• </w:t>
            </w:r>
            <w:r>
              <w:t>At the commune level, match rates remain much lower: 66 JRC events under the 7-day rule and 80 under the 30-day rule.</w:t>
            </w:r>
          </w:p>
        </w:tc>
      </w:tr>
      <w:tr>
        <w:tc>
          <w:tcPr>
            <w:tcW w:type="dxa" w:w="9936"/>
            <w:shd w:fill="EEF2FF"/>
            <w:vAlign w:val="center"/>
          </w:tcPr>
          <w:p>
            <w:pPr>
              <w:spacing w:after="80"/>
            </w:pPr>
            <w:r>
              <w:rPr>
                <w:b/>
              </w:rPr>
              <w:t xml:space="preserve">• </w:t>
            </w:r>
            <w:r>
              <w:t>The department-level comparison is easier to interpret than the commune-level comparison because the two sources break the same flood episode into space and time differently.</w:t>
            </w:r>
          </w:p>
        </w:tc>
      </w:tr>
      <w:tr>
        <w:tc>
          <w:tcPr>
            <w:tcW w:type="dxa" w:w="9936"/>
            <w:shd w:fill="F8FAFC"/>
            <w:vAlign w:val="center"/>
          </w:tcPr>
          <w:p>
            <w:pPr>
              <w:spacing w:after="80"/>
            </w:pPr>
            <w:r>
              <w:rPr>
                <w:b/>
              </w:rPr>
              <w:t xml:space="preserve">• </w:t>
            </w:r>
            <w:r>
              <w:t>The flexible 30-day outputs are the best operational baseline, but event-level Gaspar counts should be read as administrative recognition-period proxies rather than true physical disaster-event IDs.</w:t>
            </w:r>
          </w:p>
        </w:tc>
      </w:tr>
    </w:tbl>
    <w:p>
      <w:pPr>
        <w:pStyle w:val="Heading1"/>
      </w:pPr>
      <w:r>
        <w:t>Data sources used in the comparison</w:t>
      </w:r>
    </w:p>
    <w:p>
      <w:r>
        <w:t>This report documents the processed France comparison between the European Satellite-Derived Flood Depth Maps published by the Joint Research Centre (JRC) and the French Gaspar CATNAT recognition database.</w:t>
      </w:r>
    </w:p>
    <w:p>
      <w:pPr>
        <w:pStyle w:val="Heading2"/>
      </w:pPr>
      <w:r>
        <w:t>JRC flood-depth maps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BEAFE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BEAF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Dataset name</w:t>
            </w:r>
          </w:p>
        </w:tc>
        <w:tc>
          <w:tcPr>
            <w:tcW w:type="dxa" w:w="4968"/>
          </w:tcPr>
          <w:p>
            <w:r>
              <w:t>European Satellite-Derived Flood Depth Maps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Maintainer</w:t>
            </w:r>
          </w:p>
        </w:tc>
        <w:tc>
          <w:tcPr>
            <w:tcW w:type="dxa" w:w="4968"/>
          </w:tcPr>
          <w:p>
            <w:r>
              <w:t>Copernicus Emergency Management Service / JRC catalogue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DOI</w:t>
            </w:r>
          </w:p>
        </w:tc>
        <w:tc>
          <w:tcPr>
            <w:tcW w:type="dxa" w:w="4968"/>
          </w:tcPr>
          <w:p>
            <w:r>
              <w:t>10.2905/0bc96690-b89c-4909-9166-c2c322a20130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968"/>
          </w:tcPr>
          <w:p>
            <w:r>
              <w:t>Europe and surroundings, land only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Time span</w:t>
            </w:r>
          </w:p>
        </w:tc>
        <w:tc>
          <w:tcPr>
            <w:tcW w:type="dxa" w:w="4968"/>
          </w:tcPr>
          <w:p>
            <w:r>
              <w:t>2015-01-01 to 2024-12-31 in the official release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4968"/>
          </w:tcPr>
          <w:p>
            <w:r>
              <w:t>20 m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Projection</w:t>
            </w:r>
          </w:p>
        </w:tc>
        <w:tc>
          <w:tcPr>
            <w:tcW w:type="dxa" w:w="4968"/>
          </w:tcPr>
          <w:p>
            <w:r>
              <w:t>Azimuthal equidistant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File format</w:t>
            </w:r>
          </w:p>
        </w:tc>
        <w:tc>
          <w:tcPr>
            <w:tcW w:type="dxa" w:w="4968"/>
          </w:tcPr>
          <w:p>
            <w:r>
              <w:t>GeoTIFF, water depth in cm, uint16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Important dummy value</w:t>
            </w:r>
          </w:p>
        </w:tc>
        <w:tc>
          <w:tcPr>
            <w:tcW w:type="dxa" w:w="4968"/>
          </w:tcPr>
          <w:p>
            <w:r>
              <w:t>9999 indicates permanent or seasonal water bodies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Method summary</w:t>
            </w:r>
          </w:p>
        </w:tc>
        <w:tc>
          <w:tcPr>
            <w:tcW w:type="dxa" w:w="4968"/>
          </w:tcPr>
          <w:p>
            <w:r>
              <w:t>Flood extents from Copernicus GFM aggregated with terrain topography using FLEXTH to estimate depth and enhance extent</w:t>
            </w:r>
          </w:p>
        </w:tc>
      </w:tr>
    </w:tbl>
    <w:p>
      <w:r>
        <w:rPr>
          <w:b/>
        </w:rPr>
        <w:t xml:space="preserve">Method reference: </w:t>
      </w:r>
      <w:r>
        <w:t>Andrea Betterle, Peter Salamon (2024), Water depth estimate and flood extent enhancement  for satellite-based inundation maps, Natural Hazards and Earth System Sciences, DOI 10.5194/nhess-24-2817-2024.</w:t>
      </w:r>
    </w:p>
    <w:p>
      <w:r>
        <w:rPr>
          <w:b/>
        </w:rPr>
        <w:t xml:space="preserve">Paper takeaway: </w:t>
      </w:r>
      <w:r>
        <w:t>The NHESS paper explains that FLEXTH expands flood masks into no-data areas using morphology and estimates water depths from terrain elevation along the flood boundary, allowing large-scale unsupervised processing.</w:t>
      </w:r>
    </w:p>
    <w:p>
      <w:pPr>
        <w:pStyle w:val="Heading2"/>
      </w:pPr>
      <w:r>
        <w:t>Gaspar source used here</w:t>
      </w:r>
    </w:p>
    <w:p>
      <w:pPr>
        <w:pStyle w:val="ListBullet"/>
      </w:pPr>
      <w:r>
        <w:t>Processed workbook: data/processed/Gaspar_2015_2024.xlsx, sheet Gaspar20152024FloodsClean.</w:t>
      </w:r>
    </w:p>
    <w:p>
      <w:pPr>
        <w:pStyle w:val="ListBullet"/>
      </w:pPr>
      <w:r>
        <w:t>Risk filter used in preprocessing: Inondations et/ou Coulees de Boue, Inondations Remontee Nappe, and Chocs Mecaniques lies a l'action des Vagues.</w:t>
      </w:r>
    </w:p>
    <w:p>
      <w:pPr>
        <w:pStyle w:val="ListBullet"/>
      </w:pPr>
      <w:r>
        <w:t>Comparison geography: commune level first, then department level derived from commune INSEE codes.</w:t>
      </w:r>
    </w:p>
    <w:p>
      <w:pPr>
        <w:pStyle w:val="ListBullet"/>
      </w:pPr>
      <w:r>
        <w:t>Gaspar is an administrative recognition database. It does not provide a ready-made physical flood-event ID comparable to JRC jrc_event_id.</w:t>
      </w:r>
    </w:p>
    <w:p>
      <w:pPr>
        <w:pStyle w:val="Heading1"/>
      </w:pPr>
      <w:r>
        <w:t>Comparison workflow</w:t>
      </w:r>
    </w:p>
    <w:p>
      <w:pPr>
        <w:pStyle w:val="ListBullet"/>
      </w:pPr>
      <w:r>
        <w:t>1. JRC rasters are tabularized to LAU, then harmonized to France INSEE communes in data/processed/france_lau_insee_documentation/events_fr_insee_long.csv.</w:t>
      </w:r>
    </w:p>
    <w:p>
      <w:pPr>
        <w:pStyle w:val="ListBullet"/>
      </w:pPr>
      <w:r>
        <w:t>2. Gaspar rows are cleaned, deduplicated, and filtered to flood-related hazards in the preprocessing notebook.</w:t>
      </w:r>
    </w:p>
    <w:p>
      <w:pPr>
        <w:pStyle w:val="ListBullet"/>
      </w:pPr>
      <w:r>
        <w:t>3. The strict run matches the same commune or department when both start and end dates are within 7 days.</w:t>
      </w:r>
    </w:p>
    <w:p>
      <w:pPr>
        <w:pStyle w:val="ListBullet"/>
      </w:pPr>
      <w:r>
        <w:t>4. The flexible run uses a 30-day window and also accepts cross start/end proximity and expanded interval overlap inside the same 30-day tolerance.</w:t>
      </w:r>
    </w:p>
    <w:p>
      <w:pPr>
        <w:pStyle w:val="ListBullet"/>
      </w:pPr>
      <w:r>
        <w:t>5. Department tables are derived from commune INSEE codes; best-match overviews then suggest one strongest Gaspar partner per JRC event.</w:t>
      </w:r>
    </w:p>
    <w:p>
      <w:pPr>
        <w:pStyle w:val="ListBullet"/>
      </w:pPr>
      <w:r>
        <w:t>6. unmatched_jrc_events_* tables count unique JRC events with no match at the chosen level, whereas unmatched_jrc_*_events tables count every unmatched commune or department row.</w:t>
      </w:r>
    </w:p>
    <w:p>
      <w:pPr>
        <w:pStyle w:val="Heading1"/>
      </w:pPr>
      <w:r>
        <w:t>JRC France subset used for this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BEAFE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BEAF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Unique JRC events</w:t>
            </w:r>
          </w:p>
        </w:tc>
        <w:tc>
          <w:tcPr>
            <w:tcW w:type="dxa" w:w="4968"/>
          </w:tcPr>
          <w:p>
            <w:r>
              <w:t>288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Canonical commune rows</w:t>
            </w:r>
          </w:p>
        </w:tc>
        <w:tc>
          <w:tcPr>
            <w:tcW w:type="dxa" w:w="4968"/>
          </w:tcPr>
          <w:p>
            <w:r>
              <w:t>64327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Unique communes touched</w:t>
            </w:r>
          </w:p>
        </w:tc>
        <w:tc>
          <w:tcPr>
            <w:tcW w:type="dxa" w:w="4968"/>
          </w:tcPr>
          <w:p>
            <w:r>
              <w:t>9829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Unique departments touched</w:t>
            </w:r>
          </w:p>
        </w:tc>
        <w:tc>
          <w:tcPr>
            <w:tcW w:type="dxa" w:w="4968"/>
          </w:tcPr>
          <w:p>
            <w:r>
              <w:t>90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First start date in France subset</w:t>
            </w:r>
          </w:p>
        </w:tc>
        <w:tc>
          <w:tcPr>
            <w:tcW w:type="dxa" w:w="4968"/>
          </w:tcPr>
          <w:p>
            <w:r>
              <w:t>2015-01-12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Last end date in France subset</w:t>
            </w:r>
          </w:p>
        </w:tc>
        <w:tc>
          <w:tcPr>
            <w:tcW w:type="dxa" w:w="4968"/>
          </w:tcPr>
          <w:p>
            <w:r>
              <w:t>2025-01-06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3197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rc_events_by_y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97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1. Unique JRC event IDs by start year after France harmonization. The highest count in the current France subset is 2024 (35 starts).</w:t>
      </w:r>
    </w:p>
    <w:p>
      <w:pPr>
        <w:pStyle w:val="Heading1"/>
      </w:pPr>
      <w:r>
        <w:t>Annual profile of the two sources</w:t>
      </w:r>
    </w:p>
    <w:p>
      <w:r>
        <w:rPr>
          <w:b/>
        </w:rPr>
        <w:t xml:space="preserve">Important caveat: </w:t>
      </w:r>
      <w:r>
        <w:t>JRC counts are unique physical map events. Gaspar counts below are recognition-period proxies built as cod_nat_catnat + start date + end date, so they are not directly equivalent to physical disaster episodes.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BEAFE"/>
          </w:tcPr>
          <w:p>
            <w:r>
              <w:rPr>
                <w:b/>
              </w:rPr>
              <w:t>Start year</w:t>
            </w:r>
          </w:p>
        </w:tc>
        <w:tc>
          <w:tcPr>
            <w:tcW w:type="dxa" w:w="3312"/>
            <w:shd w:fill="DBEAFE"/>
          </w:tcPr>
          <w:p>
            <w:r>
              <w:rPr>
                <w:b/>
              </w:rPr>
              <w:t>JRC unique events</w:t>
            </w:r>
          </w:p>
        </w:tc>
        <w:tc>
          <w:tcPr>
            <w:tcW w:type="dxa" w:w="3312"/>
            <w:shd w:fill="DBEAFE"/>
          </w:tcPr>
          <w:p>
            <w:r>
              <w:rPr>
                <w:b/>
              </w:rPr>
              <w:t>Gaspar recognition-period groups</w:t>
            </w:r>
          </w:p>
        </w:tc>
      </w:tr>
      <w:tr>
        <w:tc>
          <w:tcPr>
            <w:tcW w:type="dxa" w:w="3312"/>
          </w:tcPr>
          <w:p>
            <w:r>
              <w:t>2015</w:t>
            </w:r>
          </w:p>
        </w:tc>
        <w:tc>
          <w:tcPr>
            <w:tcW w:type="dxa" w:w="3312"/>
          </w:tcPr>
          <w:p>
            <w:r>
              <w:t>30</w:t>
            </w:r>
          </w:p>
        </w:tc>
        <w:tc>
          <w:tcPr>
            <w:tcW w:type="dxa" w:w="3312"/>
          </w:tcPr>
          <w:p>
            <w:r>
              <w:t>201</w:t>
            </w:r>
          </w:p>
        </w:tc>
      </w:tr>
      <w:tr>
        <w:tc>
          <w:tcPr>
            <w:tcW w:type="dxa" w:w="3312"/>
            <w:shd w:fill="F8FAFC"/>
          </w:tcPr>
          <w:p>
            <w:r>
              <w:t>2016</w:t>
            </w:r>
          </w:p>
        </w:tc>
        <w:tc>
          <w:tcPr>
            <w:tcW w:type="dxa" w:w="3312"/>
            <w:shd w:fill="F8FAFC"/>
          </w:tcPr>
          <w:p>
            <w:r>
              <w:t>27</w:t>
            </w:r>
          </w:p>
        </w:tc>
        <w:tc>
          <w:tcPr>
            <w:tcW w:type="dxa" w:w="3312"/>
            <w:shd w:fill="F8FAFC"/>
          </w:tcPr>
          <w:p>
            <w:r>
              <w:t>423</w:t>
            </w:r>
          </w:p>
        </w:tc>
      </w:tr>
      <w:tr>
        <w:tc>
          <w:tcPr>
            <w:tcW w:type="dxa" w:w="3312"/>
          </w:tcPr>
          <w:p>
            <w:r>
              <w:t>2017</w:t>
            </w:r>
          </w:p>
        </w:tc>
        <w:tc>
          <w:tcPr>
            <w:tcW w:type="dxa" w:w="3312"/>
          </w:tcPr>
          <w:p>
            <w:r>
              <w:t>29</w:t>
            </w:r>
          </w:p>
        </w:tc>
        <w:tc>
          <w:tcPr>
            <w:tcW w:type="dxa" w:w="3312"/>
          </w:tcPr>
          <w:p>
            <w:r>
              <w:t>137</w:t>
            </w:r>
          </w:p>
        </w:tc>
      </w:tr>
      <w:tr>
        <w:tc>
          <w:tcPr>
            <w:tcW w:type="dxa" w:w="3312"/>
            <w:shd w:fill="F8FAFC"/>
          </w:tcPr>
          <w:p>
            <w:r>
              <w:t>2018</w:t>
            </w:r>
          </w:p>
        </w:tc>
        <w:tc>
          <w:tcPr>
            <w:tcW w:type="dxa" w:w="3312"/>
            <w:shd w:fill="F8FAFC"/>
          </w:tcPr>
          <w:p>
            <w:r>
              <w:t>31</w:t>
            </w:r>
          </w:p>
        </w:tc>
        <w:tc>
          <w:tcPr>
            <w:tcW w:type="dxa" w:w="3312"/>
            <w:shd w:fill="F8FAFC"/>
          </w:tcPr>
          <w:p>
            <w:r>
              <w:t>634</w:t>
            </w:r>
          </w:p>
        </w:tc>
      </w:tr>
      <w:tr>
        <w:tc>
          <w:tcPr>
            <w:tcW w:type="dxa" w:w="3312"/>
          </w:tcPr>
          <w:p>
            <w:r>
              <w:t>2019</w:t>
            </w:r>
          </w:p>
        </w:tc>
        <w:tc>
          <w:tcPr>
            <w:tcW w:type="dxa" w:w="3312"/>
          </w:tcPr>
          <w:p>
            <w:r>
              <w:t>29</w:t>
            </w:r>
          </w:p>
        </w:tc>
        <w:tc>
          <w:tcPr>
            <w:tcW w:type="dxa" w:w="3312"/>
          </w:tcPr>
          <w:p>
            <w:r>
              <w:t>221</w:t>
            </w:r>
          </w:p>
        </w:tc>
      </w:tr>
      <w:tr>
        <w:tc>
          <w:tcPr>
            <w:tcW w:type="dxa" w:w="3312"/>
            <w:shd w:fill="F8FAFC"/>
          </w:tcPr>
          <w:p>
            <w:r>
              <w:t>2020</w:t>
            </w:r>
          </w:p>
        </w:tc>
        <w:tc>
          <w:tcPr>
            <w:tcW w:type="dxa" w:w="3312"/>
            <w:shd w:fill="F8FAFC"/>
          </w:tcPr>
          <w:p>
            <w:r>
              <w:t>28</w:t>
            </w:r>
          </w:p>
        </w:tc>
        <w:tc>
          <w:tcPr>
            <w:tcW w:type="dxa" w:w="3312"/>
            <w:shd w:fill="F8FAFC"/>
          </w:tcPr>
          <w:p>
            <w:r>
              <w:t>304</w:t>
            </w:r>
          </w:p>
        </w:tc>
      </w:tr>
      <w:tr>
        <w:tc>
          <w:tcPr>
            <w:tcW w:type="dxa" w:w="3312"/>
          </w:tcPr>
          <w:p>
            <w:r>
              <w:t>2021</w:t>
            </w:r>
          </w:p>
        </w:tc>
        <w:tc>
          <w:tcPr>
            <w:tcW w:type="dxa" w:w="3312"/>
          </w:tcPr>
          <w:p>
            <w:r>
              <w:t>33</w:t>
            </w:r>
          </w:p>
        </w:tc>
        <w:tc>
          <w:tcPr>
            <w:tcW w:type="dxa" w:w="3312"/>
          </w:tcPr>
          <w:p>
            <w:r>
              <w:t>429</w:t>
            </w:r>
          </w:p>
        </w:tc>
      </w:tr>
      <w:tr>
        <w:tc>
          <w:tcPr>
            <w:tcW w:type="dxa" w:w="3312"/>
            <w:shd w:fill="F8FAFC"/>
          </w:tcPr>
          <w:p>
            <w:r>
              <w:t>2022</w:t>
            </w:r>
          </w:p>
        </w:tc>
        <w:tc>
          <w:tcPr>
            <w:tcW w:type="dxa" w:w="3312"/>
            <w:shd w:fill="F8FAFC"/>
          </w:tcPr>
          <w:p>
            <w:r>
              <w:t>22</w:t>
            </w:r>
          </w:p>
        </w:tc>
        <w:tc>
          <w:tcPr>
            <w:tcW w:type="dxa" w:w="3312"/>
            <w:shd w:fill="F8FAFC"/>
          </w:tcPr>
          <w:p>
            <w:r>
              <w:t>167</w:t>
            </w:r>
          </w:p>
        </w:tc>
      </w:tr>
      <w:tr>
        <w:tc>
          <w:tcPr>
            <w:tcW w:type="dxa" w:w="3312"/>
          </w:tcPr>
          <w:p>
            <w:r>
              <w:t>2023</w:t>
            </w:r>
          </w:p>
        </w:tc>
        <w:tc>
          <w:tcPr>
            <w:tcW w:type="dxa" w:w="3312"/>
          </w:tcPr>
          <w:p>
            <w:r>
              <w:t>24</w:t>
            </w:r>
          </w:p>
        </w:tc>
        <w:tc>
          <w:tcPr>
            <w:tcW w:type="dxa" w:w="3312"/>
          </w:tcPr>
          <w:p>
            <w:r>
              <w:t>404</w:t>
            </w:r>
          </w:p>
        </w:tc>
      </w:tr>
      <w:tr>
        <w:tc>
          <w:tcPr>
            <w:tcW w:type="dxa" w:w="3312"/>
            <w:shd w:fill="F8FAFC"/>
          </w:tcPr>
          <w:p>
            <w:r>
              <w:t>2024</w:t>
            </w:r>
          </w:p>
        </w:tc>
        <w:tc>
          <w:tcPr>
            <w:tcW w:type="dxa" w:w="3312"/>
            <w:shd w:fill="F8FAFC"/>
          </w:tcPr>
          <w:p>
            <w:r>
              <w:t>35</w:t>
            </w:r>
          </w:p>
        </w:tc>
        <w:tc>
          <w:tcPr>
            <w:tcW w:type="dxa" w:w="3312"/>
            <w:shd w:fill="F8FAFC"/>
          </w:tcPr>
          <w:p>
            <w:r>
              <w:t>585</w:t>
            </w:r>
          </w:p>
        </w:tc>
      </w:tr>
    </w:tbl>
    <w:p>
      <w:pPr>
        <w:pStyle w:val="Heading1"/>
      </w:pPr>
      <w:r>
        <w:t>Match coverage: strict 7-day vs flexible 30-day</w:t>
      </w:r>
    </w:p>
    <w:p>
      <w:r>
        <w:rPr>
          <w:b/>
        </w:rPr>
        <w:t xml:space="preserve">How to read this table: </w:t>
      </w:r>
      <w:r>
        <w:t>“Unique events” counts one event ID per source. “Canonical rows” counts one comparison row per commune-event or department-event record, so row totals are much larger than event totals.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BEAFE"/>
          </w:tcPr>
          <w:p>
            <w:r>
              <w:rPr>
                <w:b/>
              </w:rPr>
              <w:t>Level / measure</w:t>
            </w:r>
          </w:p>
        </w:tc>
        <w:tc>
          <w:tcPr>
            <w:tcW w:type="dxa" w:w="1987"/>
            <w:shd w:fill="DBEAFE"/>
          </w:tcPr>
          <w:p>
            <w:r>
              <w:rPr>
                <w:b/>
              </w:rPr>
              <w:t>JRC 7d</w:t>
            </w:r>
          </w:p>
        </w:tc>
        <w:tc>
          <w:tcPr>
            <w:tcW w:type="dxa" w:w="1987"/>
            <w:shd w:fill="DBEAFE"/>
          </w:tcPr>
          <w:p>
            <w:r>
              <w:rPr>
                <w:b/>
              </w:rPr>
              <w:t>JRC 30d</w:t>
            </w:r>
          </w:p>
        </w:tc>
        <w:tc>
          <w:tcPr>
            <w:tcW w:type="dxa" w:w="1987"/>
            <w:shd w:fill="DBEAFE"/>
          </w:tcPr>
          <w:p>
            <w:r>
              <w:rPr>
                <w:b/>
              </w:rPr>
              <w:t>Gaspar 7d</w:t>
            </w:r>
          </w:p>
        </w:tc>
        <w:tc>
          <w:tcPr>
            <w:tcW w:type="dxa" w:w="1987"/>
            <w:shd w:fill="DBEAFE"/>
          </w:tcPr>
          <w:p>
            <w:r>
              <w:rPr>
                <w:b/>
              </w:rPr>
              <w:t>Gaspar 30d</w:t>
            </w:r>
          </w:p>
        </w:tc>
      </w:tr>
      <w:tr>
        <w:tc>
          <w:tcPr>
            <w:tcW w:type="dxa" w:w="1987"/>
            <w:shd w:fill="F8FAFC"/>
          </w:tcPr>
          <w:p>
            <w:r>
              <w:t>Commune / unique events</w:t>
            </w:r>
          </w:p>
        </w:tc>
        <w:tc>
          <w:tcPr>
            <w:tcW w:type="dxa" w:w="1987"/>
          </w:tcPr>
          <w:p>
            <w:r>
              <w:t>66/288 (22.9%)</w:t>
            </w:r>
          </w:p>
        </w:tc>
        <w:tc>
          <w:tcPr>
            <w:tcW w:type="dxa" w:w="1987"/>
          </w:tcPr>
          <w:p>
            <w:r>
              <w:t>80/288 (27.8%)</w:t>
            </w:r>
          </w:p>
        </w:tc>
        <w:tc>
          <w:tcPr>
            <w:tcW w:type="dxa" w:w="1987"/>
          </w:tcPr>
          <w:p>
            <w:r>
              <w:t>499/3505 (14.2%)</w:t>
            </w:r>
          </w:p>
        </w:tc>
        <w:tc>
          <w:tcPr>
            <w:tcW w:type="dxa" w:w="1987"/>
          </w:tcPr>
          <w:p>
            <w:r>
              <w:t>587/3505 (16.7%)</w:t>
            </w:r>
          </w:p>
        </w:tc>
      </w:tr>
      <w:tr>
        <w:tc>
          <w:tcPr>
            <w:tcW w:type="dxa" w:w="1987"/>
            <w:shd w:fill="F8FAFC"/>
          </w:tcPr>
          <w:p>
            <w:r>
              <w:t>Commune / canonical rows</w:t>
            </w:r>
          </w:p>
        </w:tc>
        <w:tc>
          <w:tcPr>
            <w:tcW w:type="dxa" w:w="1987"/>
          </w:tcPr>
          <w:p>
            <w:r>
              <w:t>2501/64327 (3.9%)</w:t>
            </w:r>
          </w:p>
        </w:tc>
        <w:tc>
          <w:tcPr>
            <w:tcW w:type="dxa" w:w="1987"/>
          </w:tcPr>
          <w:p>
            <w:r>
              <w:t>3080/64327 (4.8%)</w:t>
            </w:r>
          </w:p>
        </w:tc>
        <w:tc>
          <w:tcPr>
            <w:tcW w:type="dxa" w:w="1987"/>
          </w:tcPr>
          <w:p>
            <w:r>
              <w:t>1983/19217 (10.3%)</w:t>
            </w:r>
          </w:p>
        </w:tc>
        <w:tc>
          <w:tcPr>
            <w:tcW w:type="dxa" w:w="1987"/>
          </w:tcPr>
          <w:p>
            <w:r>
              <w:t>2204/19217 (11.5%)</w:t>
            </w:r>
          </w:p>
        </w:tc>
      </w:tr>
      <w:tr>
        <w:tc>
          <w:tcPr>
            <w:tcW w:type="dxa" w:w="1987"/>
            <w:shd w:fill="F8FAFC"/>
          </w:tcPr>
          <w:p>
            <w:r>
              <w:t>Department / unique events</w:t>
            </w:r>
          </w:p>
        </w:tc>
        <w:tc>
          <w:tcPr>
            <w:tcW w:type="dxa" w:w="1987"/>
          </w:tcPr>
          <w:p>
            <w:r>
              <w:t>125/288 (43.4%)</w:t>
            </w:r>
          </w:p>
        </w:tc>
        <w:tc>
          <w:tcPr>
            <w:tcW w:type="dxa" w:w="1987"/>
          </w:tcPr>
          <w:p>
            <w:r>
              <w:t>171/288 (59.4%)</w:t>
            </w:r>
          </w:p>
        </w:tc>
        <w:tc>
          <w:tcPr>
            <w:tcW w:type="dxa" w:w="1987"/>
          </w:tcPr>
          <w:p>
            <w:r>
              <w:t>1488/3505 (42.5%)</w:t>
            </w:r>
          </w:p>
        </w:tc>
        <w:tc>
          <w:tcPr>
            <w:tcW w:type="dxa" w:w="1987"/>
          </w:tcPr>
          <w:p>
            <w:r>
              <w:t>1886/3505 (53.8%)</w:t>
            </w:r>
          </w:p>
        </w:tc>
      </w:tr>
      <w:tr>
        <w:tc>
          <w:tcPr>
            <w:tcW w:type="dxa" w:w="1987"/>
            <w:shd w:fill="F8FAFC"/>
          </w:tcPr>
          <w:p>
            <w:r>
              <w:t>Department / canonical rows</w:t>
            </w:r>
          </w:p>
        </w:tc>
        <w:tc>
          <w:tcPr>
            <w:tcW w:type="dxa" w:w="1987"/>
          </w:tcPr>
          <w:p>
            <w:r>
              <w:t>691/2642 (26.2%)</w:t>
            </w:r>
          </w:p>
        </w:tc>
        <w:tc>
          <w:tcPr>
            <w:tcW w:type="dxa" w:w="1987"/>
          </w:tcPr>
          <w:p>
            <w:r>
              <w:t>1002/2642 (37.9%)</w:t>
            </w:r>
          </w:p>
        </w:tc>
        <w:tc>
          <w:tcPr>
            <w:tcW w:type="dxa" w:w="1987"/>
          </w:tcPr>
          <w:p>
            <w:r>
              <w:t>1902/5426 (35.1%)</w:t>
            </w:r>
          </w:p>
        </w:tc>
        <w:tc>
          <w:tcPr>
            <w:tcW w:type="dxa" w:w="1987"/>
          </w:tcPr>
          <w:p>
            <w:r>
              <w:t>2466/5426 (45.4%)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309360" cy="3196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ct_vs_flexible_event_match_sha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2. Event-level sensitivity of match rates to the stricter 7-day and more permissive 30-day rules.</w:t>
      </w:r>
    </w:p>
    <w:p>
      <w:r>
        <w:drawing>
          <wp:inline xmlns:a="http://schemas.openxmlformats.org/drawingml/2006/main" xmlns:pic="http://schemas.openxmlformats.org/drawingml/2006/picture">
            <wp:extent cx="6309360" cy="4467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6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3. Coverage overview from the 30-day comparison. Unique-event shares and row-level shares tell different stories and should not be mixed.</w:t>
      </w:r>
    </w:p>
    <w:p>
      <w:pPr>
        <w:pStyle w:val="Heading1"/>
      </w:pPr>
      <w:r>
        <w:t>Interpretation of the 30-day flexible results</w:t>
      </w:r>
    </w:p>
    <w:p>
      <w:pPr>
        <w:pStyle w:val="ListBullet"/>
      </w:pPr>
      <w:r>
        <w:t>Department-level matching is substantially stronger than commune-level matching. This is expected because JRC event footprints and Gaspar recognitions rarely line up commune by commune.</w:t>
      </w:r>
    </w:p>
    <w:p>
      <w:pPr>
        <w:pStyle w:val="ListBullet"/>
      </w:pPr>
      <w:r>
        <w:t>The flexible 30-day rule is materially more permissive than the strict 7-day rule. It recovers additional matches when the same flood episode is fragmented differently across the two datasets.</w:t>
      </w:r>
    </w:p>
    <w:p>
      <w:pPr>
        <w:pStyle w:val="ListBullet"/>
      </w:pPr>
      <w:r>
        <w:t>Most department best-match pairs are 'Gaspar full, JRC partial'. In practice, this means a Gaspar recognition-period group is often fully contained inside a broader JRC event footprint or duration, rather than the other way around.</w:t>
      </w:r>
    </w:p>
    <w:p>
      <w:pPr>
        <w:pStyle w:val="ListBullet"/>
      </w:pPr>
      <w:r>
        <w:t>Exact same start and end dates are rare. Spatial overlap plus a tolerant time window is doing most of the matching work.</w:t>
      </w:r>
    </w:p>
    <w:p>
      <w:r>
        <w:drawing>
          <wp:inline xmlns:a="http://schemas.openxmlformats.org/drawingml/2006/main" xmlns:pic="http://schemas.openxmlformats.org/drawingml/2006/picture">
            <wp:extent cx="6309360" cy="4162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_event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4. Department-level best event-pair summary for the 30-day run. Most best pairs are Gaspar-full and JRC-partial rather than full overlaps on both sides.</w:t>
      </w:r>
    </w:p>
    <w:p>
      <w:pPr>
        <w:pStyle w:val="Heading1"/>
      </w:pPr>
      <w:r>
        <w:t>Why event-level counts are asymmetric</w:t>
      </w:r>
    </w:p>
    <w:p>
      <w:pPr>
        <w:pStyle w:val="ListBullet"/>
      </w:pPr>
      <w:r>
        <w:t>JRC uses physical flood map events. Gaspar uses administrative recognition rows and the current comparison groups them with a proxy key: cod_nat_catnat + start date + end date.</w:t>
      </w:r>
    </w:p>
    <w:p>
      <w:pPr>
        <w:pStyle w:val="ListBullet"/>
      </w:pPr>
      <w:r>
        <w:t>One JRC event can overlap many Gaspar recognition-period groups, and one Gaspar group can cover only part of a broader JRC event footprint.</w:t>
      </w:r>
    </w:p>
    <w:p>
      <w:pPr>
        <w:pStyle w:val="ListBullet"/>
      </w:pPr>
      <w:r>
        <w:t>That is why department-level event matching is much stronger than commune-level event matching, and why matched row totals differ from matched unique event totals.</w:t>
      </w:r>
    </w:p>
    <w:p>
      <w:pPr>
        <w:pStyle w:val="ListBullet"/>
      </w:pPr>
      <w:r>
        <w:t>In the 30-day run, only one best-match pair has exact same start and end dates at commune level, and only one at department level. Exact dates are the exception, not the rule.</w:t>
      </w:r>
    </w:p>
    <w:p>
      <w:pPr>
        <w:pStyle w:val="Heading1"/>
      </w:pPr>
      <w:r>
        <w:t>Which output files to open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BEAFE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968"/>
            <w:shd w:fill="DBEAFE"/>
          </w:tcPr>
          <w:p>
            <w:r>
              <w:rPr>
                <w:b/>
              </w:rPr>
              <w:t>What it is for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comparison_summary.xlsx</w:t>
            </w:r>
          </w:p>
        </w:tc>
        <w:tc>
          <w:tcPr>
            <w:tcW w:type="dxa" w:w="4968"/>
          </w:tcPr>
          <w:p>
            <w:r>
              <w:t>Headline counts for each run.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coverage_overview.xlsx</w:t>
            </w:r>
          </w:p>
        </w:tc>
        <w:tc>
          <w:tcPr>
            <w:tcW w:type="dxa" w:w="4968"/>
          </w:tcPr>
          <w:p>
            <w:r>
              <w:t>The key distinction between unique events and canonical rows.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best_match_overview_commune.xlsx</w:t>
            </w:r>
          </w:p>
        </w:tc>
        <w:tc>
          <w:tcPr>
            <w:tcW w:type="dxa" w:w="4968"/>
          </w:tcPr>
          <w:p>
            <w:r>
              <w:t>One suggested best Gaspar partner per JRC event at commune level.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best_match_overview_department.xlsx</w:t>
            </w:r>
          </w:p>
        </w:tc>
        <w:tc>
          <w:tcPr>
            <w:tcW w:type="dxa" w:w="4968"/>
          </w:tcPr>
          <w:p>
            <w:r>
              <w:t>Same idea at department level; usually the best first analytical table.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jrc_gaspar_comparison_flexible.xlsx</w:t>
            </w:r>
          </w:p>
        </w:tc>
        <w:tc>
          <w:tcPr>
            <w:tcW w:type="dxa" w:w="4968"/>
          </w:tcPr>
          <w:p>
            <w:r>
              <w:t>Combined workbook for people who prefer one Excel file.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details/</w:t>
            </w:r>
          </w:p>
        </w:tc>
        <w:tc>
          <w:tcPr>
            <w:tcW w:type="dxa" w:w="4968"/>
          </w:tcPr>
          <w:p>
            <w:r>
              <w:t>Raw canonical tables, unmatched rows, and audit tables for debugging.</w:t>
            </w:r>
          </w:p>
        </w:tc>
      </w:tr>
    </w:tbl>
    <w:p>
      <w:pPr>
        <w:pStyle w:val="Heading1"/>
      </w:pPr>
      <w:r>
        <w:t>Limitations and recommended reading of the outputs</w:t>
      </w:r>
    </w:p>
    <w:p>
      <w:pPr>
        <w:pStyle w:val="ListBullet"/>
      </w:pPr>
      <w:r>
        <w:t>Gaspar is an administrative recognition database, not a satellite event catalogue. In the current comparison code, gaspar_event_uid is a recognition-period proxy built as cod_nat_catnat + start date + end date.</w:t>
      </w:r>
    </w:p>
    <w:p>
      <w:pPr>
        <w:pStyle w:val="ListBullet"/>
      </w:pPr>
      <w:r>
        <w:t>This means Gaspar 'unique event' counts are best read as recognition-period groups, not as perfectly reconstructed physical flood events.</w:t>
      </w:r>
    </w:p>
    <w:p>
      <w:pPr>
        <w:pStyle w:val="ListBullet"/>
      </w:pPr>
      <w:r>
        <w:t>The 30-day diagnostics show 164 unique decree IDs but 3505 unique Gaspar recognition-period groups, which illustrates how a single decree can branch into many dated groups.</w:t>
      </w:r>
    </w:p>
    <w:p>
      <w:pPr>
        <w:pStyle w:val="ListBullet"/>
      </w:pPr>
      <w:r>
        <w:t>Commune-level row match shares are low by construction because both sources partition the same episode differently across space and time. Department-level metrics are more stable for management reporting.</w:t>
      </w:r>
    </w:p>
    <w:p>
      <w:pPr>
        <w:pStyle w:val="ListBullet"/>
      </w:pPr>
      <w:r>
        <w:t>JRC flood maps cover land only, use 20 m pixels, and encode permanent or seasonal water as dummy value 9999. They are therefore very strong for flood extent and relative timing, but not a direct mirror of compensation or administrative recognition processes.</w:t>
      </w:r>
    </w:p>
    <w:p>
      <w:pPr>
        <w:pStyle w:val="ListBullet"/>
      </w:pPr>
      <w:r>
        <w:t>Recommended baseline: use the 30-day department-level outputs for the main narrative, keep the 7-day outputs as a stricter sensitivity test, and use commune tables only for local audit or deep dives.</w:t>
      </w:r>
    </w:p>
    <w:p>
      <w:pPr>
        <w:pStyle w:val="Heading1"/>
      </w:pPr>
      <w:r>
        <w:t>References</w:t>
      </w:r>
    </w:p>
    <w:p>
      <w:pPr>
        <w:pStyle w:val="ListBullet"/>
      </w:pPr>
      <w:r>
        <w:t>JRC dataset page: https://data.jrc.ec.europa.eu/dataset/0bc96690-b89c-4909-9166-c2c322a20130</w:t>
      </w:r>
    </w:p>
    <w:p>
      <w:pPr>
        <w:pStyle w:val="ListBullet"/>
      </w:pPr>
      <w:r>
        <w:t>JRC dataset DOI: 10.2905/0bc96690-b89c-4909-9166-c2c322a20130</w:t>
      </w:r>
    </w:p>
    <w:p>
      <w:pPr>
        <w:pStyle w:val="ListBullet"/>
      </w:pPr>
      <w:r>
        <w:t>JRC storage: https://jeodpp.jrc.ec.europa.eu/ftp/jrc-opendata/CEMS-EFAS/European_Satellite-Derived_Flood_Depth_Maps/</w:t>
      </w:r>
    </w:p>
    <w:p>
      <w:pPr>
        <w:pStyle w:val="ListBullet"/>
      </w:pPr>
      <w:r>
        <w:t>Andrea Betterle, Peter Salamon (2024), Water depth estimate and flood extent enhancement  for satellite-based inundation maps, Natural Hazards and Earth System Sciences, DOI: 10.5194/nhess-24-2817-2024</w:t>
      </w:r>
    </w:p>
    <w:p>
      <w:pPr>
        <w:pStyle w:val="ListBullet"/>
      </w:pPr>
      <w:r>
        <w:t>Processed Gaspar source used by the comparison scripts: data/processed/Gaspar_2015_2024.xlsx (sheet Gaspar20152024FloodsClean).</w:t>
      </w:r>
    </w:p>
    <w:p>
      <w:pPr>
        <w:pStyle w:val="ListBullet"/>
      </w:pPr>
      <w:r>
        <w:t>France JRC comparison input used by the scripts: data/processed/france_lau_insee_documentation/events_fr_insee_long.csv.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