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JRC Flood Source Comparison: France vs Italy</w:t>
      </w:r>
    </w:p>
    <w:p>
      <w:pPr>
        <w:spacing w:after="280"/>
        <w:jc w:val="center"/>
      </w:pPr>
      <w:r>
        <w:rPr>
          <w:rFonts w:ascii="Calibri" w:hAnsi="Calibri"/>
          <w:i/>
          <w:color w:val="475569"/>
          <w:sz w:val="24"/>
        </w:rPr>
        <w:t>Rigorous source-level study from the processed JRC flood-depth tables, with national and regional comparisons and a point-matching interpretation note.</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088"/>
            <w:shd w:fill="E8EEF5"/>
            <w:vAlign w:val="center"/>
            <w:tcMar>
              <w:top w:w="80" w:type="dxa"/>
              <w:bottom w:w="80" w:type="dxa"/>
              <w:start w:w="120" w:type="dxa"/>
              <w:end w:w="120" w:type="dxa"/>
            </w:tcMar>
            <w:shd w:fill="F2F4F7"/>
          </w:tcPr>
          <w:p>
            <w:pPr>
              <w:spacing w:before="0" w:after="60" w:line="264" w:lineRule="auto"/>
            </w:pPr>
            <w:r>
              <w:rPr>
                <w:rFonts w:ascii="Calibri" w:hAnsi="Calibri"/>
                <w:b/>
                <w:sz w:val="18"/>
              </w:rPr>
              <w:t>Prepared on</w:t>
            </w:r>
          </w:p>
        </w:tc>
        <w:tc>
          <w:tcPr>
            <w:tcW w:type="dxa" w:w="7272"/>
            <w:vAlign w:val="center"/>
            <w:tcMar>
              <w:top w:w="80" w:type="dxa"/>
              <w:bottom w:w="80" w:type="dxa"/>
              <w:start w:w="120" w:type="dxa"/>
              <w:end w:w="120" w:type="dxa"/>
            </w:tcMar>
            <w:shd w:fill="F2F4F7"/>
          </w:tcPr>
          <w:p>
            <w:pPr>
              <w:spacing w:before="0" w:after="60" w:line="264" w:lineRule="auto"/>
            </w:pPr>
            <w:r>
              <w:rPr>
                <w:rFonts w:ascii="Calibri" w:hAnsi="Calibri"/>
                <w:b/>
                <w:sz w:val="18"/>
              </w:rPr>
              <w:t>2026-06-19</w:t>
            </w:r>
          </w:p>
        </w:tc>
      </w:tr>
      <w:tr>
        <w:tc>
          <w:tcPr>
            <w:tcW w:type="dxa" w:w="2088"/>
            <w:shd w:fill="E8EEF5"/>
            <w:vAlign w:val="center"/>
            <w:tcMar>
              <w:top w:w="80" w:type="dxa"/>
              <w:bottom w:w="80" w:type="dxa"/>
              <w:start w:w="120" w:type="dxa"/>
              <w:end w:w="120" w:type="dxa"/>
            </w:tcMar>
          </w:tcPr>
          <w:p>
            <w:pPr>
              <w:spacing w:before="0" w:after="60" w:line="264" w:lineRule="auto"/>
            </w:pPr>
            <w:r>
              <w:rPr>
                <w:rFonts w:ascii="Calibri" w:hAnsi="Calibri"/>
                <w:sz w:val="18"/>
              </w:rPr>
              <w:t>Primary scope</w:t>
            </w:r>
          </w:p>
        </w:tc>
        <w:tc>
          <w:tcPr>
            <w:tcW w:type="dxa" w:w="7272"/>
            <w:vAlign w:val="center"/>
            <w:tcMar>
              <w:top w:w="80" w:type="dxa"/>
              <w:bottom w:w="80" w:type="dxa"/>
              <w:start w:w="120" w:type="dxa"/>
              <w:end w:w="120" w:type="dxa"/>
            </w:tcMar>
          </w:tcPr>
          <w:p>
            <w:pPr>
              <w:spacing w:before="0" w:after="60" w:line="264" w:lineRule="auto"/>
            </w:pPr>
            <w:r>
              <w:rPr>
                <w:rFonts w:ascii="Calibri" w:hAnsi="Calibri"/>
                <w:sz w:val="18"/>
              </w:rPr>
              <w:t>Country-level and regional comparison of the processed JRC flood-depth source for France and Italy.</w:t>
            </w:r>
          </w:p>
        </w:tc>
      </w:tr>
      <w:tr>
        <w:tc>
          <w:tcPr>
            <w:tcW w:type="dxa" w:w="2088"/>
            <w:shd w:fill="E8EEF5"/>
            <w:vAlign w:val="center"/>
            <w:tcMar>
              <w:top w:w="80" w:type="dxa"/>
              <w:bottom w:w="80" w:type="dxa"/>
              <w:start w:w="120" w:type="dxa"/>
              <w:end w:w="120" w:type="dxa"/>
            </w:tcMar>
          </w:tcPr>
          <w:p>
            <w:pPr>
              <w:spacing w:before="0" w:after="60" w:line="264" w:lineRule="auto"/>
            </w:pPr>
            <w:r>
              <w:rPr>
                <w:rFonts w:ascii="Calibri" w:hAnsi="Calibri"/>
                <w:sz w:val="18"/>
              </w:rPr>
              <w:t>Archive horizon</w:t>
            </w:r>
          </w:p>
        </w:tc>
        <w:tc>
          <w:tcPr>
            <w:tcW w:type="dxa" w:w="7272"/>
            <w:vAlign w:val="center"/>
            <w:tcMar>
              <w:top w:w="80" w:type="dxa"/>
              <w:bottom w:w="80" w:type="dxa"/>
              <w:start w:w="120" w:type="dxa"/>
              <w:end w:w="120" w:type="dxa"/>
            </w:tcMar>
          </w:tcPr>
          <w:p>
            <w:pPr>
              <w:spacing w:before="0" w:after="60" w:line="264" w:lineRule="auto"/>
            </w:pPr>
            <w:r>
              <w:rPr>
                <w:rFonts w:ascii="Calibri" w:hAnsi="Calibri"/>
                <w:sz w:val="18"/>
              </w:rPr>
              <w:t>JRC raster inventory stored in data/JRC_flood_depth_maps with processed outputs covering 2015-2024.</w:t>
            </w:r>
          </w:p>
        </w:tc>
      </w:tr>
      <w:tr>
        <w:tc>
          <w:tcPr>
            <w:tcW w:type="dxa" w:w="2088"/>
            <w:shd w:fill="E8EEF5"/>
            <w:vAlign w:val="center"/>
            <w:tcMar>
              <w:top w:w="80" w:type="dxa"/>
              <w:bottom w:w="80" w:type="dxa"/>
              <w:start w:w="120" w:type="dxa"/>
              <w:end w:w="120" w:type="dxa"/>
            </w:tcMar>
          </w:tcPr>
          <w:p>
            <w:pPr>
              <w:spacing w:before="0" w:after="60" w:line="264" w:lineRule="auto"/>
            </w:pPr>
            <w:r>
              <w:rPr>
                <w:rFonts w:ascii="Calibri" w:hAnsi="Calibri"/>
                <w:sz w:val="18"/>
              </w:rPr>
              <w:t>Main source tables</w:t>
            </w:r>
          </w:p>
        </w:tc>
        <w:tc>
          <w:tcPr>
            <w:tcW w:type="dxa" w:w="7272"/>
            <w:vAlign w:val="center"/>
            <w:tcMar>
              <w:top w:w="80" w:type="dxa"/>
              <w:bottom w:w="80" w:type="dxa"/>
              <w:start w:w="120" w:type="dxa"/>
              <w:end w:w="120" w:type="dxa"/>
            </w:tcMar>
          </w:tcPr>
          <w:p>
            <w:pPr>
              <w:spacing w:before="0" w:after="60" w:line="264" w:lineRule="auto"/>
            </w:pPr>
            <w:r>
              <w:rPr>
                <w:rFonts w:ascii="Calibri" w:hAnsi="Calibri"/>
                <w:sz w:val="18"/>
              </w:rPr>
              <w:t>events_lau_long.parquet, events_nuts2.csv, nuts3_event_coverage.csv, lau_nuts_lookup.csv.</w:t>
            </w:r>
          </w:p>
        </w:tc>
      </w:tr>
      <w:tr>
        <w:tc>
          <w:tcPr>
            <w:tcW w:type="dxa" w:w="2088"/>
            <w:shd w:fill="E8EEF5"/>
            <w:vAlign w:val="center"/>
            <w:tcMar>
              <w:top w:w="80" w:type="dxa"/>
              <w:bottom w:w="80" w:type="dxa"/>
              <w:start w:w="120" w:type="dxa"/>
              <w:end w:w="120" w:type="dxa"/>
            </w:tcMar>
          </w:tcPr>
          <w:p>
            <w:pPr>
              <w:spacing w:before="0" w:after="60" w:line="264" w:lineRule="auto"/>
            </w:pPr>
            <w:r>
              <w:rPr>
                <w:rFonts w:ascii="Calibri" w:hAnsi="Calibri"/>
                <w:sz w:val="18"/>
              </w:rPr>
              <w:t>Key caveat</w:t>
            </w:r>
          </w:p>
        </w:tc>
        <w:tc>
          <w:tcPr>
            <w:tcW w:type="dxa" w:w="7272"/>
            <w:vAlign w:val="center"/>
            <w:tcMar>
              <w:top w:w="80" w:type="dxa"/>
              <w:bottom w:w="80" w:type="dxa"/>
              <w:start w:w="120" w:type="dxa"/>
              <w:end w:w="120" w:type="dxa"/>
            </w:tcMar>
          </w:tcPr>
          <w:p>
            <w:pPr>
              <w:spacing w:before="0" w:after="60" w:line="264" w:lineRule="auto"/>
            </w:pPr>
            <w:r>
              <w:rPr>
                <w:rFonts w:ascii="Calibri" w:hAnsi="Calibri"/>
                <w:sz w:val="18"/>
              </w:rPr>
              <w:t>The repository T20 workbook is France-only, so the report explains source asymmetry rather than claiming a symmetric point portfolio test.</w:t>
            </w:r>
          </w:p>
        </w:tc>
      </w:tr>
    </w:tbl>
    <w:p>
      <w:pPr>
        <w:spacing w:before="200" w:after="0"/>
        <w:jc w:val="center"/>
      </w:pPr>
      <w:r>
        <w:rPr>
          <w:rFonts w:ascii="Calibri" w:hAnsi="Calibri"/>
          <w:color w:val="475569"/>
          <w:sz w:val="20"/>
        </w:rPr>
        <w:t>This report compares the JRC source coverage itself. It does not claim a symmetric France-vs-Italy point study, because the repository T20 workbook is France-only.</w:t>
      </w:r>
    </w:p>
    <w:p>
      <w:r>
        <w:br w:type="page"/>
      </w:r>
    </w:p>
    <w:p>
      <w:pPr>
        <w:pStyle w:val="Heading1"/>
      </w:pPr>
      <w:r>
        <w:t>Executive Summary</w:t>
      </w:r>
    </w:p>
    <w:p>
      <w:pPr>
        <w:pStyle w:val="ListBullet"/>
        <w:spacing w:after="80" w:line="264" w:lineRule="auto"/>
      </w:pPr>
      <w:r>
        <w:t>France is touched by 288 unique JRC events in the 2015-2024 archive, versus 155 for Italy.</w:t>
      </w:r>
    </w:p>
    <w:p>
      <w:pPr>
        <w:pStyle w:val="ListBullet"/>
        <w:spacing w:after="80" w:line="264" w:lineRule="auto"/>
      </w:pPr>
      <w:r>
        <w:t>France averages 28.8 events per year and Italy 15.5; the source is materially denser on the French side.</w:t>
      </w:r>
    </w:p>
    <w:p>
      <w:pPr>
        <w:pStyle w:val="ListBullet"/>
        <w:spacing w:after="80" w:line="264" w:lineRule="auto"/>
      </w:pPr>
      <w:r>
        <w:t>The cumulative flooded footprint summed across country-event intersections is 30,684 km2 for France versus 3,208 km2 for Italy.</w:t>
      </w:r>
    </w:p>
    <w:p>
      <w:pPr>
        <w:pStyle w:val="ListBullet"/>
        <w:spacing w:after="80" w:line="264" w:lineRule="auto"/>
      </w:pPr>
      <w:r>
        <w:t>Regional reach is broad in both countries: JRC touches 89.1% of French NUTS3 regions and 86.0% of Italian NUTS3 regions.</w:t>
      </w:r>
    </w:p>
    <w:p>
      <w:pPr>
        <w:pStyle w:val="ListBullet"/>
        <w:spacing w:after="80" w:line="264" w:lineRule="auto"/>
      </w:pPr>
      <w:r>
        <w:t>Italy is not missing regional coverage; instead it is more concentrated. The top 10 Italian NUTS3 regions account for 66.5% of cumulative flooded area, versus 59.0% in France.</w:t>
      </w:r>
    </w:p>
    <w:p>
      <w:pPr>
        <w:pStyle w:val="ListBullet"/>
        <w:spacing w:after="80" w:line="264" w:lineRule="auto"/>
      </w:pPr>
      <w:r>
        <w:t>Only 29 event IDs touch both countries, so most of the comparison reflects country-specific flood histories rather than the same transnational events.</w:t>
      </w:r>
    </w:p>
    <w:p>
      <w:pPr>
        <w:pStyle w:val="Heading1"/>
      </w:pPr>
      <w:r>
        <w:t>Methodology And Scope</w:t>
      </w:r>
    </w:p>
    <w:p>
      <w:r>
        <w:t>This study uses the processed JRC source products already present in the repository: `data/processed/_outputs_eurostat_full/events_lau_long.parquet`, `events_nuts2.csv`, `nuts3_event_coverage.csv`, and `lau_nuts_lookup.csv`.</w:t>
      </w:r>
    </w:p>
    <w:p>
      <w:r>
        <w:t>The comparison is source-level and country-symmetric only on the JRC branch. France and Italy use the same JRC event archive and the same Eurostat LAU/NUTS harmonization, but their fallback screening branches differ in the point workflows: France uses Gaspar plus TRI/riparian, whereas Italy uses HANZE plus high-hazard TRI.</w:t>
      </w:r>
    </w:p>
    <w:p>
      <w:pPr>
        <w:pStyle w:val="ListBullet"/>
        <w:spacing w:after="80" w:line="264" w:lineRule="auto"/>
      </w:pPr>
      <w:r>
        <w:t>Unit of comparison for national totals: one country-event intersection, aggregated from the event x LAU table.</w:t>
      </w:r>
    </w:p>
    <w:p>
      <w:pPr>
        <w:pStyle w:val="ListBullet"/>
        <w:spacing w:after="80" w:line="264" w:lineRule="auto"/>
      </w:pPr>
      <w:r>
        <w:t>Regional footprint: unique event IDs, cumulative flooded area, and regional coverage shares at NUTS1/NUTS2/NUTS3.</w:t>
      </w:r>
    </w:p>
    <w:p>
      <w:pPr>
        <w:pStyle w:val="ListBullet"/>
        <w:spacing w:after="80" w:line="264" w:lineRule="auto"/>
      </w:pPr>
      <w:r>
        <w:t>Time horizon: the checked-in JRC archive spans 2015 through 2024, with some events ending in early January 2025.</w:t>
      </w:r>
    </w:p>
    <w:p>
      <w:pPr>
        <w:pStyle w:val="ListBullet"/>
        <w:spacing w:after="80" w:line="264" w:lineRule="auto"/>
      </w:pPr>
      <w:r>
        <w:t>Interpretation rule: larger event counts and more repeated regional hits increase the chance that a point screening workflow finds a local or nearby flood match.</w:t>
      </w:r>
    </w:p>
    <w:p>
      <w:pPr>
        <w:pStyle w:val="Heading2"/>
      </w:pPr>
      <w:r>
        <w:t>T20 Point-Level Limitation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6696"/>
            <w:vAlign w:val="center"/>
            <w:tcMar>
              <w:top w:w="80" w:type="dxa"/>
              <w:bottom w:w="80" w:type="dxa"/>
              <w:start w:w="120" w:type="dxa"/>
              <w:end w:w="120" w:type="dxa"/>
            </w:tcMar>
            <w:shd w:fill="F2F4F7"/>
          </w:tcPr>
          <w:p>
            <w:pPr>
              <w:spacing w:before="0" w:after="60" w:line="264" w:lineRule="auto"/>
            </w:pPr>
            <w:r>
              <w:rPr>
                <w:rFonts w:ascii="Calibri" w:hAnsi="Calibri"/>
                <w:b/>
                <w:sz w:val="18"/>
              </w:rPr>
              <w:t>Scope item</w:t>
            </w:r>
          </w:p>
        </w:tc>
        <w:tc>
          <w:tcPr>
            <w:tcW w:type="dxa" w:w="2664"/>
            <w:vAlign w:val="center"/>
            <w:tcMar>
              <w:top w:w="80" w:type="dxa"/>
              <w:bottom w:w="80" w:type="dxa"/>
              <w:start w:w="120" w:type="dxa"/>
              <w:end w:w="120" w:type="dxa"/>
            </w:tcMar>
            <w:shd w:fill="F2F4F7"/>
          </w:tcPr>
          <w:p>
            <w:pPr>
              <w:spacing w:before="0" w:after="60" w:line="264" w:lineRule="auto"/>
            </w:pPr>
            <w:r>
              <w:rPr>
                <w:rFonts w:ascii="Calibri" w:hAnsi="Calibri"/>
                <w:b/>
                <w:sz w:val="18"/>
              </w:rPr>
              <w:t>Value</w:t>
            </w:r>
          </w:p>
        </w:tc>
      </w:tr>
      <w:tr>
        <w:tc>
          <w:tcPr>
            <w:tcW w:type="dxa" w:w="6696"/>
            <w:vAlign w:val="center"/>
            <w:tcMar>
              <w:top w:w="80" w:type="dxa"/>
              <w:bottom w:w="80" w:type="dxa"/>
              <w:start w:w="120" w:type="dxa"/>
              <w:end w:w="120" w:type="dxa"/>
            </w:tcMar>
          </w:tcPr>
          <w:p>
            <w:pPr>
              <w:spacing w:before="0" w:after="60" w:line="264" w:lineRule="auto"/>
            </w:pPr>
            <w:r>
              <w:rPr>
                <w:rFonts w:ascii="Calibri" w:hAnsi="Calibri"/>
                <w:sz w:val="18"/>
              </w:rPr>
              <w:t>Rows in repository T20 workbook</w:t>
            </w:r>
          </w:p>
        </w:tc>
        <w:tc>
          <w:tcPr>
            <w:tcW w:type="dxa" w:w="2664"/>
            <w:vAlign w:val="center"/>
            <w:tcMar>
              <w:top w:w="80" w:type="dxa"/>
              <w:bottom w:w="80" w:type="dxa"/>
              <w:start w:w="120" w:type="dxa"/>
              <w:end w:w="120" w:type="dxa"/>
            </w:tcMar>
          </w:tcPr>
          <w:p>
            <w:pPr>
              <w:spacing w:before="0" w:after="60" w:line="264" w:lineRule="auto"/>
            </w:pPr>
            <w:r>
              <w:rPr>
                <w:rFonts w:ascii="Calibri" w:hAnsi="Calibri"/>
                <w:sz w:val="18"/>
              </w:rPr>
              <w:t>49</w:t>
            </w:r>
          </w:p>
        </w:tc>
      </w:tr>
      <w:tr>
        <w:tc>
          <w:tcPr>
            <w:tcW w:type="dxa" w:w="6696"/>
            <w:vAlign w:val="center"/>
            <w:tcMar>
              <w:top w:w="80" w:type="dxa"/>
              <w:bottom w:w="80" w:type="dxa"/>
              <w:start w:w="120" w:type="dxa"/>
              <w:end w:w="120" w:type="dxa"/>
            </w:tcMar>
          </w:tcPr>
          <w:p>
            <w:pPr>
              <w:spacing w:before="0" w:after="60" w:line="264" w:lineRule="auto"/>
            </w:pPr>
            <w:r>
              <w:rPr>
                <w:rFonts w:ascii="Calibri" w:hAnsi="Calibri"/>
                <w:sz w:val="18"/>
              </w:rPr>
              <w:t>Rows mapped to France</w:t>
            </w:r>
          </w:p>
        </w:tc>
        <w:tc>
          <w:tcPr>
            <w:tcW w:type="dxa" w:w="2664"/>
            <w:vAlign w:val="center"/>
            <w:tcMar>
              <w:top w:w="80" w:type="dxa"/>
              <w:bottom w:w="80" w:type="dxa"/>
              <w:start w:w="120" w:type="dxa"/>
              <w:end w:w="120" w:type="dxa"/>
            </w:tcMar>
          </w:tcPr>
          <w:p>
            <w:pPr>
              <w:spacing w:before="0" w:after="60" w:line="264" w:lineRule="auto"/>
            </w:pPr>
            <w:r>
              <w:rPr>
                <w:rFonts w:ascii="Calibri" w:hAnsi="Calibri"/>
                <w:sz w:val="18"/>
              </w:rPr>
              <w:t>44</w:t>
            </w:r>
          </w:p>
        </w:tc>
      </w:tr>
      <w:tr>
        <w:tc>
          <w:tcPr>
            <w:tcW w:type="dxa" w:w="6696"/>
            <w:vAlign w:val="center"/>
            <w:tcMar>
              <w:top w:w="80" w:type="dxa"/>
              <w:bottom w:w="80" w:type="dxa"/>
              <w:start w:w="120" w:type="dxa"/>
              <w:end w:w="120" w:type="dxa"/>
            </w:tcMar>
          </w:tcPr>
          <w:p>
            <w:pPr>
              <w:spacing w:before="0" w:after="60" w:line="264" w:lineRule="auto"/>
            </w:pPr>
            <w:r>
              <w:rPr>
                <w:rFonts w:ascii="Calibri" w:hAnsi="Calibri"/>
                <w:sz w:val="18"/>
              </w:rPr>
              <w:t>Rows mapped to Italy</w:t>
            </w:r>
          </w:p>
        </w:tc>
        <w:tc>
          <w:tcPr>
            <w:tcW w:type="dxa" w:w="2664"/>
            <w:vAlign w:val="center"/>
            <w:tcMar>
              <w:top w:w="80" w:type="dxa"/>
              <w:bottom w:w="80" w:type="dxa"/>
              <w:start w:w="120" w:type="dxa"/>
              <w:end w:w="120" w:type="dxa"/>
            </w:tcMar>
          </w:tcPr>
          <w:p>
            <w:pPr>
              <w:spacing w:before="0" w:after="60" w:line="264" w:lineRule="auto"/>
            </w:pPr>
            <w:r>
              <w:rPr>
                <w:rFonts w:ascii="Calibri" w:hAnsi="Calibri"/>
                <w:sz w:val="18"/>
              </w:rPr>
              <w:t>0</w:t>
            </w:r>
          </w:p>
        </w:tc>
      </w:tr>
      <w:tr>
        <w:tc>
          <w:tcPr>
            <w:tcW w:type="dxa" w:w="6696"/>
            <w:vAlign w:val="center"/>
            <w:tcMar>
              <w:top w:w="80" w:type="dxa"/>
              <w:bottom w:w="80" w:type="dxa"/>
              <w:start w:w="120" w:type="dxa"/>
              <w:end w:w="120" w:type="dxa"/>
            </w:tcMar>
          </w:tcPr>
          <w:p>
            <w:pPr>
              <w:spacing w:before="0" w:after="60" w:line="264" w:lineRule="auto"/>
            </w:pPr>
            <w:r>
              <w:rPr>
                <w:rFonts w:ascii="Calibri" w:hAnsi="Calibri"/>
                <w:sz w:val="18"/>
              </w:rPr>
              <w:t>Rows unmatched to a LAU</w:t>
            </w:r>
          </w:p>
        </w:tc>
        <w:tc>
          <w:tcPr>
            <w:tcW w:type="dxa" w:w="2664"/>
            <w:vAlign w:val="center"/>
            <w:tcMar>
              <w:top w:w="80" w:type="dxa"/>
              <w:bottom w:w="80" w:type="dxa"/>
              <w:start w:w="120" w:type="dxa"/>
              <w:end w:w="120" w:type="dxa"/>
            </w:tcMar>
          </w:tcPr>
          <w:p>
            <w:pPr>
              <w:spacing w:before="0" w:after="60" w:line="264" w:lineRule="auto"/>
            </w:pPr>
            <w:r>
              <w:rPr>
                <w:rFonts w:ascii="Calibri" w:hAnsi="Calibri"/>
                <w:sz w:val="18"/>
              </w:rPr>
              <w:t>5</w:t>
            </w:r>
          </w:p>
        </w:tc>
      </w:tr>
    </w:tbl>
    <w:p>
      <w:pPr>
        <w:spacing w:before="80" w:after="120"/>
      </w:pPr>
      <w:r>
        <w:rPr>
          <w:rFonts w:ascii="Calibri" w:hAnsi="Calibri"/>
          <w:i/>
          <w:color w:val="475569"/>
          <w:sz w:val="18"/>
        </w:rPr>
        <w:t>Source: data/processed/T20_Anonymised.xlsx plus a fresh LAU spatial join performed for this report.</w:t>
      </w:r>
    </w:p>
    <w:p>
      <w:pPr>
        <w:pStyle w:val="ListBullet"/>
        <w:spacing w:after="80" w:line="264" w:lineRule="auto"/>
      </w:pPr>
      <w:r>
        <w:t>The checked-in T20 workbook contains 49 rows.</w:t>
      </w:r>
    </w:p>
    <w:p>
      <w:pPr>
        <w:pStyle w:val="ListBullet"/>
        <w:spacing w:after="80" w:line="264" w:lineRule="auto"/>
      </w:pPr>
      <w:r>
        <w:t>All matched coordinates map to France; no checked-in T20 coordinate maps to Italy.</w:t>
      </w:r>
    </w:p>
    <w:p>
      <w:pPr>
        <w:pStyle w:val="ListBullet"/>
        <w:spacing w:after="80" w:line="264" w:lineRule="auto"/>
      </w:pPr>
      <w:r>
        <w:t>Five rows stay unmatched to a Eurostat LAU and therefore cannot support country-level interpretation.</w:t>
      </w:r>
    </w:p>
    <w:p>
      <w:pPr>
        <w:pStyle w:val="ListBullet"/>
        <w:spacing w:after="80" w:line="264" w:lineRule="auto"/>
      </w:pPr>
      <w:r>
        <w:t>A symmetric France-vs-Italy point comparison therefore requires an Italy point file or saved Italy point-run workbook that is not present in the repository.</w:t>
      </w:r>
    </w:p>
    <w:p>
      <w:pPr>
        <w:pStyle w:val="Heading1"/>
      </w:pPr>
      <w:r>
        <w:t>National Comparison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5544"/>
            <w:vAlign w:val="center"/>
            <w:tcMar>
              <w:top w:w="80" w:type="dxa"/>
              <w:bottom w:w="80" w:type="dxa"/>
              <w:start w:w="120" w:type="dxa"/>
              <w:end w:w="120" w:type="dxa"/>
            </w:tcMar>
            <w:shd w:fill="F2F4F7"/>
          </w:tcPr>
          <w:p>
            <w:pPr>
              <w:spacing w:before="0" w:after="60" w:line="264" w:lineRule="auto"/>
            </w:pPr>
            <w:r>
              <w:rPr>
                <w:rFonts w:ascii="Calibri" w:hAnsi="Calibri"/>
                <w:b/>
                <w:sz w:val="18"/>
              </w:rPr>
              <w:t>Metric</w:t>
            </w:r>
          </w:p>
        </w:tc>
        <w:tc>
          <w:tcPr>
            <w:tcW w:type="dxa" w:w="1944"/>
            <w:vAlign w:val="center"/>
            <w:tcMar>
              <w:top w:w="80" w:type="dxa"/>
              <w:bottom w:w="80" w:type="dxa"/>
              <w:start w:w="120" w:type="dxa"/>
              <w:end w:w="120" w:type="dxa"/>
            </w:tcMar>
            <w:shd w:fill="F2F4F7"/>
          </w:tcPr>
          <w:p>
            <w:pPr>
              <w:spacing w:before="0" w:after="60" w:line="264" w:lineRule="auto"/>
            </w:pPr>
            <w:r>
              <w:rPr>
                <w:rFonts w:ascii="Calibri" w:hAnsi="Calibri"/>
                <w:b/>
                <w:sz w:val="18"/>
              </w:rPr>
              <w:t>France</w:t>
            </w:r>
          </w:p>
        </w:tc>
        <w:tc>
          <w:tcPr>
            <w:tcW w:type="dxa" w:w="1872"/>
            <w:vAlign w:val="center"/>
            <w:tcMar>
              <w:top w:w="80" w:type="dxa"/>
              <w:bottom w:w="80" w:type="dxa"/>
              <w:start w:w="120" w:type="dxa"/>
              <w:end w:w="120" w:type="dxa"/>
            </w:tcMar>
            <w:shd w:fill="F2F4F7"/>
          </w:tcPr>
          <w:p>
            <w:pPr>
              <w:spacing w:before="0" w:after="60" w:line="264" w:lineRule="auto"/>
            </w:pPr>
            <w:r>
              <w:rPr>
                <w:rFonts w:ascii="Calibri" w:hAnsi="Calibri"/>
                <w:b/>
                <w:sz w:val="18"/>
              </w:rPr>
              <w:t>Italy</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Unique JRC events touching the country</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288</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155</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Average events per year (2015-2024)</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28.8</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15.5</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Cumulative country-event flooded area (km2)</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30,684</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3,208</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Median flooded area per country-event (km2)</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5.3</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4.0</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Median LAUs hit per country-event</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31.0</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17.0</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Median NUTS3 hit per country-event</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4.0</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5.0</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NUTS3 coverage share</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89.1%</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86.0%</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Median event count per hit NUTS3</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29.5</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7.0</w:t>
            </w:r>
          </w:p>
        </w:tc>
      </w:tr>
      <w:tr>
        <w:tc>
          <w:tcPr>
            <w:tcW w:type="dxa" w:w="5544"/>
            <w:vAlign w:val="center"/>
            <w:tcMar>
              <w:top w:w="80" w:type="dxa"/>
              <w:bottom w:w="80" w:type="dxa"/>
              <w:start w:w="120" w:type="dxa"/>
              <w:end w:w="120" w:type="dxa"/>
            </w:tcMar>
          </w:tcPr>
          <w:p>
            <w:pPr>
              <w:spacing w:before="0" w:after="60" w:line="264" w:lineRule="auto"/>
            </w:pPr>
            <w:r>
              <w:rPr>
                <w:rFonts w:ascii="Calibri" w:hAnsi="Calibri"/>
                <w:sz w:val="18"/>
              </w:rPr>
              <w:t>Top 10 NUTS3 share of cumulative area</w:t>
            </w:r>
          </w:p>
        </w:tc>
        <w:tc>
          <w:tcPr>
            <w:tcW w:type="dxa" w:w="1944"/>
            <w:vAlign w:val="center"/>
            <w:tcMar>
              <w:top w:w="80" w:type="dxa"/>
              <w:bottom w:w="80" w:type="dxa"/>
              <w:start w:w="120" w:type="dxa"/>
              <w:end w:w="120" w:type="dxa"/>
            </w:tcMar>
          </w:tcPr>
          <w:p>
            <w:pPr>
              <w:spacing w:before="0" w:after="60" w:line="264" w:lineRule="auto"/>
            </w:pPr>
            <w:r>
              <w:rPr>
                <w:rFonts w:ascii="Calibri" w:hAnsi="Calibri"/>
                <w:sz w:val="18"/>
              </w:rPr>
              <w:t>59.0%</w:t>
            </w:r>
          </w:p>
        </w:tc>
        <w:tc>
          <w:tcPr>
            <w:tcW w:type="dxa" w:w="1872"/>
            <w:vAlign w:val="center"/>
            <w:tcMar>
              <w:top w:w="80" w:type="dxa"/>
              <w:bottom w:w="80" w:type="dxa"/>
              <w:start w:w="120" w:type="dxa"/>
              <w:end w:w="120" w:type="dxa"/>
            </w:tcMar>
          </w:tcPr>
          <w:p>
            <w:pPr>
              <w:spacing w:before="0" w:after="60" w:line="264" w:lineRule="auto"/>
            </w:pPr>
            <w:r>
              <w:rPr>
                <w:rFonts w:ascii="Calibri" w:hAnsi="Calibri"/>
                <w:sz w:val="18"/>
              </w:rPr>
              <w:t>66.5%</w:t>
            </w:r>
          </w:p>
        </w:tc>
      </w:tr>
    </w:tbl>
    <w:p>
      <w:pPr>
        <w:spacing w:before="80" w:after="120"/>
      </w:pPr>
      <w:r>
        <w:rPr>
          <w:rFonts w:ascii="Calibri" w:hAnsi="Calibri"/>
          <w:i/>
          <w:color w:val="475569"/>
          <w:sz w:val="18"/>
        </w:rPr>
        <w:t>Sources: data/processed/_outputs_eurostat_full/events_lau_long.parquet, nuts3_event_coverage.csv, and lau_nuts_lookup.csv.</w:t>
      </w:r>
    </w:p>
    <w:p>
      <w:r>
        <w:drawing>
          <wp:inline xmlns:a="http://schemas.openxmlformats.org/drawingml/2006/main" xmlns:pic="http://schemas.openxmlformats.org/drawingml/2006/picture">
            <wp:extent cx="5760720" cy="4268890"/>
            <wp:docPr id="1" name="Picture 1"/>
            <wp:cNvGraphicFramePr>
              <a:graphicFrameLocks noChangeAspect="1"/>
            </wp:cNvGraphicFramePr>
            <a:graphic>
              <a:graphicData uri="http://schemas.openxmlformats.org/drawingml/2006/picture">
                <pic:pic>
                  <pic:nvPicPr>
                    <pic:cNvPr id="0" name="national_metrics.png"/>
                    <pic:cNvPicPr/>
                  </pic:nvPicPr>
                  <pic:blipFill>
                    <a:blip r:embed="rId11"/>
                    <a:stretch>
                      <a:fillRect/>
                    </a:stretch>
                  </pic:blipFill>
                  <pic:spPr>
                    <a:xfrm>
                      <a:off x="0" y="0"/>
                      <a:ext cx="5760720" cy="4268890"/>
                    </a:xfrm>
                    <a:prstGeom prst="rect"/>
                  </pic:spPr>
                </pic:pic>
              </a:graphicData>
            </a:graphic>
          </wp:inline>
        </w:drawing>
      </w:r>
    </w:p>
    <w:p>
      <w:pPr>
        <w:spacing w:before="80" w:after="160"/>
        <w:jc w:val="center"/>
      </w:pPr>
      <w:r>
        <w:rPr>
          <w:rFonts w:ascii="Calibri" w:hAnsi="Calibri"/>
          <w:i/>
          <w:color w:val="475569"/>
          <w:sz w:val="18"/>
        </w:rPr>
        <w:t>Figure 1. France exceeds Italy on event count, annual event rate, and cumulative flooded footprint, while both retain broad NUTS3 coverage.</w:t>
      </w:r>
    </w:p>
    <w:p>
      <w:r>
        <w:t>France records 259 country-specific event IDs that never touch Italy, while Italy records 126. The shared set is only 29 events, so the observed gap is mostly structural rather than an artifact of shared storms.</w:t>
      </w:r>
    </w:p>
    <w:p>
      <w:r>
        <w:t>A particularly important point for downstream point matching is recurrence: the median hit French NUTS3 region sees 29.5 JRC events over the archive, versus 7.0 in Italy.</w:t>
      </w:r>
    </w:p>
    <w:p>
      <w:r>
        <w:drawing>
          <wp:inline xmlns:a="http://schemas.openxmlformats.org/drawingml/2006/main" xmlns:pic="http://schemas.openxmlformats.org/drawingml/2006/picture">
            <wp:extent cx="5760720" cy="4229739"/>
            <wp:docPr id="2" name="Picture 2"/>
            <wp:cNvGraphicFramePr>
              <a:graphicFrameLocks noChangeAspect="1"/>
            </wp:cNvGraphicFramePr>
            <a:graphic>
              <a:graphicData uri="http://schemas.openxmlformats.org/drawingml/2006/picture">
                <pic:pic>
                  <pic:nvPicPr>
                    <pic:cNvPr id="0" name="yearly_activity.png"/>
                    <pic:cNvPicPr/>
                  </pic:nvPicPr>
                  <pic:blipFill>
                    <a:blip r:embed="rId12"/>
                    <a:stretch>
                      <a:fillRect/>
                    </a:stretch>
                  </pic:blipFill>
                  <pic:spPr>
                    <a:xfrm>
                      <a:off x="0" y="0"/>
                      <a:ext cx="5760720" cy="4229739"/>
                    </a:xfrm>
                    <a:prstGeom prst="rect"/>
                  </pic:spPr>
                </pic:pic>
              </a:graphicData>
            </a:graphic>
          </wp:inline>
        </w:drawing>
      </w:r>
    </w:p>
    <w:p>
      <w:pPr>
        <w:spacing w:before="80" w:after="160"/>
        <w:jc w:val="center"/>
      </w:pPr>
      <w:r>
        <w:rPr>
          <w:rFonts w:ascii="Calibri" w:hAnsi="Calibri"/>
          <w:i/>
          <w:color w:val="475569"/>
          <w:sz w:val="18"/>
        </w:rPr>
        <w:t>Figure 2. France stays above Italy in yearly event count throughout the archive and shows much larger high-water years in 2018, 2020, 2021, 2023, and 2024.</w:t>
      </w:r>
    </w:p>
    <w:p>
      <w:pPr>
        <w:pStyle w:val="Heading1"/>
      </w:pPr>
      <w:r>
        <w:t>Regional Structure</w:t>
      </w:r>
    </w:p>
    <w:p>
      <w:r>
        <w:t>Regional coverage is broad in both countries, but the shape differs. Italy reaches all checked NUTS1 and NUTS2 regions, yet the source is more concentrated in the Po basin and Emilia-Romagna corridor. France combines high recurrence in the west and Brittany with very large cumulative footprints in Pays de la Loire, Grand Est, Bourgogne-Franche-Comte, and Normandie.</w:t>
      </w:r>
    </w:p>
    <w:p>
      <w:pPr>
        <w:pStyle w:val="Heading2"/>
      </w:pPr>
      <w:r>
        <w:t>NUTS1 leaders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296"/>
            <w:vAlign w:val="center"/>
            <w:tcMar>
              <w:top w:w="80" w:type="dxa"/>
              <w:bottom w:w="80" w:type="dxa"/>
              <w:start w:w="120" w:type="dxa"/>
              <w:end w:w="120" w:type="dxa"/>
            </w:tcMar>
            <w:shd w:fill="F2F4F7"/>
          </w:tcPr>
          <w:p>
            <w:pPr>
              <w:spacing w:before="0" w:after="60" w:line="264" w:lineRule="auto"/>
            </w:pPr>
            <w:r>
              <w:rPr>
                <w:rFonts w:ascii="Calibri" w:hAnsi="Calibri"/>
                <w:b/>
                <w:sz w:val="18"/>
              </w:rPr>
              <w:t>Country</w:t>
            </w:r>
          </w:p>
        </w:tc>
        <w:tc>
          <w:tcPr>
            <w:tcW w:type="dxa" w:w="4248"/>
            <w:vAlign w:val="center"/>
            <w:tcMar>
              <w:top w:w="80" w:type="dxa"/>
              <w:bottom w:w="80" w:type="dxa"/>
              <w:start w:w="120" w:type="dxa"/>
              <w:end w:w="120" w:type="dxa"/>
            </w:tcMar>
            <w:shd w:fill="F2F4F7"/>
          </w:tcPr>
          <w:p>
            <w:pPr>
              <w:spacing w:before="0" w:after="60" w:line="264" w:lineRule="auto"/>
            </w:pPr>
            <w:r>
              <w:rPr>
                <w:rFonts w:ascii="Calibri" w:hAnsi="Calibri"/>
                <w:b/>
                <w:sz w:val="18"/>
              </w:rPr>
              <w:t>NUTS1 region</w:t>
            </w:r>
          </w:p>
        </w:tc>
        <w:tc>
          <w:tcPr>
            <w:tcW w:type="dxa" w:w="1224"/>
            <w:vAlign w:val="center"/>
            <w:tcMar>
              <w:top w:w="80" w:type="dxa"/>
              <w:bottom w:w="80" w:type="dxa"/>
              <w:start w:w="120" w:type="dxa"/>
              <w:end w:w="120" w:type="dxa"/>
            </w:tcMar>
            <w:shd w:fill="F2F4F7"/>
          </w:tcPr>
          <w:p>
            <w:pPr>
              <w:spacing w:before="0" w:after="60" w:line="264" w:lineRule="auto"/>
            </w:pPr>
            <w:r>
              <w:rPr>
                <w:rFonts w:ascii="Calibri" w:hAnsi="Calibri"/>
                <w:b/>
                <w:sz w:val="18"/>
              </w:rPr>
              <w:t>Events</w:t>
            </w:r>
          </w:p>
        </w:tc>
        <w:tc>
          <w:tcPr>
            <w:tcW w:type="dxa" w:w="1440"/>
            <w:vAlign w:val="center"/>
            <w:tcMar>
              <w:top w:w="80" w:type="dxa"/>
              <w:bottom w:w="80" w:type="dxa"/>
              <w:start w:w="120" w:type="dxa"/>
              <w:end w:w="120" w:type="dxa"/>
            </w:tcMar>
            <w:shd w:fill="F2F4F7"/>
          </w:tcPr>
          <w:p>
            <w:pPr>
              <w:spacing w:before="0" w:after="60" w:line="264" w:lineRule="auto"/>
            </w:pPr>
            <w:r>
              <w:rPr>
                <w:rFonts w:ascii="Calibri" w:hAnsi="Calibri"/>
                <w:b/>
                <w:sz w:val="18"/>
              </w:rPr>
              <w:t>Area km2</w:t>
            </w:r>
          </w:p>
        </w:tc>
        <w:tc>
          <w:tcPr>
            <w:tcW w:type="dxa" w:w="1152"/>
            <w:vAlign w:val="center"/>
            <w:tcMar>
              <w:top w:w="80" w:type="dxa"/>
              <w:bottom w:w="80" w:type="dxa"/>
              <w:start w:w="120" w:type="dxa"/>
              <w:end w:w="120" w:type="dxa"/>
            </w:tcMar>
            <w:shd w:fill="F2F4F7"/>
          </w:tcPr>
          <w:p>
            <w:pPr>
              <w:spacing w:before="0" w:after="60" w:line="264" w:lineRule="auto"/>
            </w:pPr>
            <w:r>
              <w:rPr>
                <w:rFonts w:ascii="Calibri" w:hAnsi="Calibri"/>
                <w:b/>
                <w:sz w:val="18"/>
              </w:rPr>
              <w:t>NUTS3 hit</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Grand Est</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64</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7,914</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10</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Pays de la Loire</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111</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5,477</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5</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Bourgogne-Franche-Comté</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60</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4,660</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8</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Normandie</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63</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4,055</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5</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Nouvelle-Aquitaine</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82</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3,595</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12</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Nord-Ovest</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59</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1,399</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21</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Nord-Est</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81</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1,381</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21</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Centro (IT)</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33</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225</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20</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Sud</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39</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142</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20</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248"/>
            <w:vAlign w:val="center"/>
            <w:tcMar>
              <w:top w:w="80" w:type="dxa"/>
              <w:bottom w:w="80" w:type="dxa"/>
              <w:start w:w="120" w:type="dxa"/>
              <w:end w:w="120" w:type="dxa"/>
            </w:tcMar>
          </w:tcPr>
          <w:p>
            <w:pPr>
              <w:spacing w:before="0" w:after="60" w:line="264" w:lineRule="auto"/>
            </w:pPr>
            <w:r>
              <w:rPr>
                <w:rFonts w:ascii="Calibri" w:hAnsi="Calibri"/>
                <w:sz w:val="18"/>
              </w:rPr>
              <w:t>Isole</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14</w:t>
            </w:r>
          </w:p>
        </w:tc>
        <w:tc>
          <w:tcPr>
            <w:tcW w:type="dxa" w:w="1440"/>
            <w:vAlign w:val="center"/>
            <w:tcMar>
              <w:top w:w="80" w:type="dxa"/>
              <w:bottom w:w="80" w:type="dxa"/>
              <w:start w:w="120" w:type="dxa"/>
              <w:end w:w="120" w:type="dxa"/>
            </w:tcMar>
          </w:tcPr>
          <w:p>
            <w:pPr>
              <w:spacing w:before="0" w:after="60" w:line="264" w:lineRule="auto"/>
            </w:pPr>
            <w:r>
              <w:rPr>
                <w:rFonts w:ascii="Calibri" w:hAnsi="Calibri"/>
                <w:sz w:val="18"/>
              </w:rPr>
              <w:t>60</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8"/>
              </w:rPr>
              <w:t>10</w:t>
            </w:r>
          </w:p>
        </w:tc>
      </w:tr>
    </w:tbl>
    <w:p>
      <w:pPr>
        <w:spacing w:before="80" w:after="120"/>
      </w:pPr>
      <w:r>
        <w:rPr>
          <w:rFonts w:ascii="Calibri" w:hAnsi="Calibri"/>
          <w:i/>
          <w:color w:val="475569"/>
          <w:sz w:val="18"/>
        </w:rPr>
        <w:t>Top 5 NUTS1 regions per country ranked by cumulative flooded area.</w:t>
      </w:r>
    </w:p>
    <w:p>
      <w:pPr>
        <w:pStyle w:val="Heading2"/>
      </w:pPr>
      <w:r>
        <w:t>NUTS2 leaders</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rPr>
          <w:tblHeader w:val="true"/>
        </w:trPr>
        <w:tc>
          <w:tcPr>
            <w:tcW w:type="dxa" w:w="1296"/>
            <w:vAlign w:val="center"/>
            <w:tcMar>
              <w:top w:w="80" w:type="dxa"/>
              <w:bottom w:w="80" w:type="dxa"/>
              <w:start w:w="120" w:type="dxa"/>
              <w:end w:w="120" w:type="dxa"/>
            </w:tcMar>
            <w:shd w:fill="F2F4F7"/>
          </w:tcPr>
          <w:p>
            <w:pPr>
              <w:spacing w:before="0" w:after="60" w:line="264" w:lineRule="auto"/>
            </w:pPr>
            <w:r>
              <w:rPr>
                <w:rFonts w:ascii="Calibri" w:hAnsi="Calibri"/>
                <w:b/>
                <w:sz w:val="18"/>
              </w:rPr>
              <w:t>Country</w:t>
            </w:r>
          </w:p>
        </w:tc>
        <w:tc>
          <w:tcPr>
            <w:tcW w:type="dxa" w:w="4176"/>
            <w:vAlign w:val="center"/>
            <w:tcMar>
              <w:top w:w="80" w:type="dxa"/>
              <w:bottom w:w="80" w:type="dxa"/>
              <w:start w:w="120" w:type="dxa"/>
              <w:end w:w="120" w:type="dxa"/>
            </w:tcMar>
            <w:shd w:fill="F2F4F7"/>
          </w:tcPr>
          <w:p>
            <w:pPr>
              <w:spacing w:before="0" w:after="60" w:line="264" w:lineRule="auto"/>
            </w:pPr>
            <w:r>
              <w:rPr>
                <w:rFonts w:ascii="Calibri" w:hAnsi="Calibri"/>
                <w:b/>
                <w:sz w:val="18"/>
              </w:rPr>
              <w:t>NUTS2 region</w:t>
            </w:r>
          </w:p>
        </w:tc>
        <w:tc>
          <w:tcPr>
            <w:tcW w:type="dxa" w:w="1080"/>
            <w:vAlign w:val="center"/>
            <w:tcMar>
              <w:top w:w="80" w:type="dxa"/>
              <w:bottom w:w="80" w:type="dxa"/>
              <w:start w:w="120" w:type="dxa"/>
              <w:end w:w="120" w:type="dxa"/>
            </w:tcMar>
            <w:shd w:fill="F2F4F7"/>
          </w:tcPr>
          <w:p>
            <w:pPr>
              <w:spacing w:before="0" w:after="60" w:line="264" w:lineRule="auto"/>
            </w:pPr>
            <w:r>
              <w:rPr>
                <w:rFonts w:ascii="Calibri" w:hAnsi="Calibri"/>
                <w:b/>
                <w:sz w:val="18"/>
              </w:rPr>
              <w:t>Events</w:t>
            </w:r>
          </w:p>
        </w:tc>
        <w:tc>
          <w:tcPr>
            <w:tcW w:type="dxa" w:w="1296"/>
            <w:vAlign w:val="center"/>
            <w:tcMar>
              <w:top w:w="80" w:type="dxa"/>
              <w:bottom w:w="80" w:type="dxa"/>
              <w:start w:w="120" w:type="dxa"/>
              <w:end w:w="120" w:type="dxa"/>
            </w:tcMar>
            <w:shd w:fill="F2F4F7"/>
          </w:tcPr>
          <w:p>
            <w:pPr>
              <w:spacing w:before="0" w:after="60" w:line="264" w:lineRule="auto"/>
            </w:pPr>
            <w:r>
              <w:rPr>
                <w:rFonts w:ascii="Calibri" w:hAnsi="Calibri"/>
                <w:b/>
                <w:sz w:val="18"/>
              </w:rPr>
              <w:t>Area km2</w:t>
            </w:r>
          </w:p>
        </w:tc>
        <w:tc>
          <w:tcPr>
            <w:tcW w:type="dxa" w:w="1512"/>
            <w:vAlign w:val="center"/>
            <w:tcMar>
              <w:top w:w="80" w:type="dxa"/>
              <w:bottom w:w="80" w:type="dxa"/>
              <w:start w:w="120" w:type="dxa"/>
              <w:end w:w="120" w:type="dxa"/>
            </w:tcMar>
            <w:shd w:fill="F2F4F7"/>
          </w:tcPr>
          <w:p>
            <w:pPr>
              <w:spacing w:before="0" w:after="60" w:line="264" w:lineRule="auto"/>
            </w:pPr>
            <w:r>
              <w:rPr>
                <w:rFonts w:ascii="Calibri" w:hAnsi="Calibri"/>
                <w:b/>
                <w:sz w:val="18"/>
              </w:rPr>
              <w:t>Max depth cm</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Pays de la Loire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111</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5,477</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3,098</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Champagne-Ardenne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50</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4,111</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2,659</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 xml:space="preserve">Basse-Normandie </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59</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3,916</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1,801</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Lorraine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52</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3,363</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2,503</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Bourgogne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51</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3,137</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2,280</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Emilia-Romagna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70</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1,008</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1,980</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Lombardia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57</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786</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6,686</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Piemonte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35</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592</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14,868</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Veneto</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61</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283</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4,645</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176"/>
            <w:vAlign w:val="center"/>
            <w:tcMar>
              <w:top w:w="80" w:type="dxa"/>
              <w:bottom w:w="80" w:type="dxa"/>
              <w:start w:w="120" w:type="dxa"/>
              <w:end w:w="120" w:type="dxa"/>
            </w:tcMar>
          </w:tcPr>
          <w:p>
            <w:pPr>
              <w:spacing w:before="0" w:after="60" w:line="264" w:lineRule="auto"/>
            </w:pPr>
            <w:r>
              <w:rPr>
                <w:rFonts w:ascii="Calibri" w:hAnsi="Calibri"/>
                <w:sz w:val="18"/>
              </w:rPr>
              <w:t>Toscana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21</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8"/>
              </w:rPr>
              <w:t>121</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8"/>
              </w:rPr>
              <w:t>1,717</w:t>
            </w:r>
          </w:p>
        </w:tc>
      </w:tr>
    </w:tbl>
    <w:p>
      <w:pPr>
        <w:spacing w:before="80" w:after="120"/>
      </w:pPr>
      <w:r>
        <w:rPr>
          <w:rFonts w:ascii="Calibri" w:hAnsi="Calibri"/>
          <w:i/>
          <w:color w:val="475569"/>
          <w:sz w:val="18"/>
        </w:rPr>
        <w:t>Top 5 NUTS2 regions per country ranked by cumulative flooded area.</w:t>
      </w:r>
    </w:p>
    <w:p>
      <w:r>
        <w:drawing>
          <wp:inline xmlns:a="http://schemas.openxmlformats.org/drawingml/2006/main" xmlns:pic="http://schemas.openxmlformats.org/drawingml/2006/picture">
            <wp:extent cx="5806440" cy="3382581"/>
            <wp:docPr id="3" name="Picture 3"/>
            <wp:cNvGraphicFramePr>
              <a:graphicFrameLocks noChangeAspect="1"/>
            </wp:cNvGraphicFramePr>
            <a:graphic>
              <a:graphicData uri="http://schemas.openxmlformats.org/drawingml/2006/picture">
                <pic:pic>
                  <pic:nvPicPr>
                    <pic:cNvPr id="0" name="nuts3_area_maps.png"/>
                    <pic:cNvPicPr/>
                  </pic:nvPicPr>
                  <pic:blipFill>
                    <a:blip r:embed="rId13"/>
                    <a:stretch>
                      <a:fillRect/>
                    </a:stretch>
                  </pic:blipFill>
                  <pic:spPr>
                    <a:xfrm>
                      <a:off x="0" y="0"/>
                      <a:ext cx="5806440" cy="3382581"/>
                    </a:xfrm>
                    <a:prstGeom prst="rect"/>
                  </pic:spPr>
                </pic:pic>
              </a:graphicData>
            </a:graphic>
          </wp:inline>
        </w:drawing>
      </w:r>
    </w:p>
    <w:p>
      <w:pPr>
        <w:spacing w:before="80" w:after="160"/>
        <w:jc w:val="center"/>
      </w:pPr>
      <w:r>
        <w:rPr>
          <w:rFonts w:ascii="Calibri" w:hAnsi="Calibri"/>
          <w:i/>
          <w:color w:val="475569"/>
          <w:sz w:val="18"/>
        </w:rPr>
        <w:t>Figure 3. JRC flooded area is broadly distributed in both countries, but Italian intensity is visibly concentrated in the north and north-east.</w:t>
      </w:r>
    </w:p>
    <w:p>
      <w:pPr>
        <w:pStyle w:val="Heading2"/>
      </w:pPr>
      <w:r>
        <w:t>NUTS3 leaders by flooded area</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296"/>
            <w:vAlign w:val="center"/>
            <w:tcMar>
              <w:top w:w="80" w:type="dxa"/>
              <w:bottom w:w="80" w:type="dxa"/>
              <w:start w:w="120" w:type="dxa"/>
              <w:end w:w="120" w:type="dxa"/>
            </w:tcMar>
            <w:shd w:fill="F2F4F7"/>
          </w:tcPr>
          <w:p>
            <w:pPr>
              <w:spacing w:before="0" w:after="60" w:line="264" w:lineRule="auto"/>
            </w:pPr>
            <w:r>
              <w:rPr>
                <w:rFonts w:ascii="Calibri" w:hAnsi="Calibri"/>
                <w:b/>
                <w:sz w:val="18"/>
              </w:rPr>
              <w:t>Country</w:t>
            </w:r>
          </w:p>
        </w:tc>
        <w:tc>
          <w:tcPr>
            <w:tcW w:type="dxa" w:w="4392"/>
            <w:vAlign w:val="center"/>
            <w:tcMar>
              <w:top w:w="80" w:type="dxa"/>
              <w:bottom w:w="80" w:type="dxa"/>
              <w:start w:w="120" w:type="dxa"/>
              <w:end w:w="120" w:type="dxa"/>
            </w:tcMar>
            <w:shd w:fill="F2F4F7"/>
          </w:tcPr>
          <w:p>
            <w:pPr>
              <w:spacing w:before="0" w:after="60" w:line="264" w:lineRule="auto"/>
            </w:pPr>
            <w:r>
              <w:rPr>
                <w:rFonts w:ascii="Calibri" w:hAnsi="Calibri"/>
                <w:b/>
                <w:sz w:val="18"/>
              </w:rPr>
              <w:t>NUTS3 region</w:t>
            </w:r>
          </w:p>
        </w:tc>
        <w:tc>
          <w:tcPr>
            <w:tcW w:type="dxa" w:w="1080"/>
            <w:vAlign w:val="center"/>
            <w:tcMar>
              <w:top w:w="80" w:type="dxa"/>
              <w:bottom w:w="80" w:type="dxa"/>
              <w:start w:w="120" w:type="dxa"/>
              <w:end w:w="120" w:type="dxa"/>
            </w:tcMar>
            <w:shd w:fill="F2F4F7"/>
          </w:tcPr>
          <w:p>
            <w:pPr>
              <w:spacing w:before="0" w:after="60" w:line="264" w:lineRule="auto"/>
            </w:pPr>
            <w:r>
              <w:rPr>
                <w:rFonts w:ascii="Calibri" w:hAnsi="Calibri"/>
                <w:b/>
                <w:sz w:val="18"/>
              </w:rPr>
              <w:t>Events</w:t>
            </w:r>
          </w:p>
        </w:tc>
        <w:tc>
          <w:tcPr>
            <w:tcW w:type="dxa" w:w="1224"/>
            <w:vAlign w:val="center"/>
            <w:tcMar>
              <w:top w:w="80" w:type="dxa"/>
              <w:bottom w:w="80" w:type="dxa"/>
              <w:start w:w="120" w:type="dxa"/>
              <w:end w:w="120" w:type="dxa"/>
            </w:tcMar>
            <w:shd w:fill="F2F4F7"/>
          </w:tcPr>
          <w:p>
            <w:pPr>
              <w:spacing w:before="0" w:after="60" w:line="264" w:lineRule="auto"/>
            </w:pPr>
            <w:r>
              <w:rPr>
                <w:rFonts w:ascii="Calibri" w:hAnsi="Calibri"/>
                <w:b/>
                <w:sz w:val="18"/>
              </w:rPr>
              <w:t>Area km2</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Loire-Atlantique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92</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3,024</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 xml:space="preserve">Manche </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55</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2,968</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 xml:space="preserve">Meuse </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50</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2,195</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Saône-et-Loire</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43</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1,852</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France</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Ardennes</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39</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1,843</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Pavia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33</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377</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Ferrara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47</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342</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Vercelli</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26</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306</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Mantova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37</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235</w:t>
            </w:r>
          </w:p>
        </w:tc>
      </w:tr>
      <w:tr>
        <w:tc>
          <w:tcPr>
            <w:tcW w:type="dxa" w:w="1296"/>
            <w:vAlign w:val="center"/>
            <w:tcMar>
              <w:top w:w="80" w:type="dxa"/>
              <w:bottom w:w="80" w:type="dxa"/>
              <w:start w:w="120" w:type="dxa"/>
              <w:end w:w="120" w:type="dxa"/>
            </w:tcMar>
          </w:tcPr>
          <w:p>
            <w:pPr>
              <w:spacing w:before="0" w:after="60" w:line="264" w:lineRule="auto"/>
            </w:pPr>
            <w:r>
              <w:rPr>
                <w:rFonts w:ascii="Calibri" w:hAnsi="Calibri"/>
                <w:sz w:val="18"/>
              </w:rPr>
              <w:t>Italy</w:t>
            </w:r>
          </w:p>
        </w:tc>
        <w:tc>
          <w:tcPr>
            <w:tcW w:type="dxa" w:w="4392"/>
            <w:vAlign w:val="center"/>
            <w:tcMar>
              <w:top w:w="80" w:type="dxa"/>
              <w:bottom w:w="80" w:type="dxa"/>
              <w:start w:w="120" w:type="dxa"/>
              <w:end w:w="120" w:type="dxa"/>
            </w:tcMar>
          </w:tcPr>
          <w:p>
            <w:pPr>
              <w:spacing w:before="0" w:after="60" w:line="264" w:lineRule="auto"/>
            </w:pPr>
            <w:r>
              <w:rPr>
                <w:rFonts w:ascii="Calibri" w:hAnsi="Calibri"/>
                <w:sz w:val="18"/>
              </w:rPr>
              <w:t>Novara</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8"/>
              </w:rPr>
              <w:t>25</w:t>
            </w:r>
          </w:p>
        </w:tc>
        <w:tc>
          <w:tcPr>
            <w:tcW w:type="dxa" w:w="1224"/>
            <w:vAlign w:val="center"/>
            <w:tcMar>
              <w:top w:w="80" w:type="dxa"/>
              <w:bottom w:w="80" w:type="dxa"/>
              <w:start w:w="120" w:type="dxa"/>
              <w:end w:w="120" w:type="dxa"/>
            </w:tcMar>
          </w:tcPr>
          <w:p>
            <w:pPr>
              <w:spacing w:before="0" w:after="60" w:line="264" w:lineRule="auto"/>
            </w:pPr>
            <w:r>
              <w:rPr>
                <w:rFonts w:ascii="Calibri" w:hAnsi="Calibri"/>
                <w:sz w:val="18"/>
              </w:rPr>
              <w:t>229</w:t>
            </w:r>
          </w:p>
        </w:tc>
      </w:tr>
    </w:tbl>
    <w:p>
      <w:pPr>
        <w:spacing w:before="80" w:after="120"/>
      </w:pPr>
      <w:r>
        <w:rPr>
          <w:rFonts w:ascii="Calibri" w:hAnsi="Calibri"/>
          <w:i/>
          <w:color w:val="475569"/>
          <w:sz w:val="18"/>
        </w:rPr>
        <w:t>Top 5 NUTS3 regions per country ranked by cumulative flooded area.</w:t>
      </w:r>
    </w:p>
    <w:p>
      <w:r>
        <w:drawing>
          <wp:inline xmlns:a="http://schemas.openxmlformats.org/drawingml/2006/main" xmlns:pic="http://schemas.openxmlformats.org/drawingml/2006/picture">
            <wp:extent cx="5806440" cy="3438786"/>
            <wp:docPr id="4" name="Picture 4"/>
            <wp:cNvGraphicFramePr>
              <a:graphicFrameLocks noChangeAspect="1"/>
            </wp:cNvGraphicFramePr>
            <a:graphic>
              <a:graphicData uri="http://schemas.openxmlformats.org/drawingml/2006/picture">
                <pic:pic>
                  <pic:nvPicPr>
                    <pic:cNvPr id="0" name="top_nuts3_area.png"/>
                    <pic:cNvPicPr/>
                  </pic:nvPicPr>
                  <pic:blipFill>
                    <a:blip r:embed="rId14"/>
                    <a:stretch>
                      <a:fillRect/>
                    </a:stretch>
                  </pic:blipFill>
                  <pic:spPr>
                    <a:xfrm>
                      <a:off x="0" y="0"/>
                      <a:ext cx="5806440" cy="3438786"/>
                    </a:xfrm>
                    <a:prstGeom prst="rect"/>
                  </pic:spPr>
                </pic:pic>
              </a:graphicData>
            </a:graphic>
          </wp:inline>
        </w:drawing>
      </w:r>
    </w:p>
    <w:p>
      <w:pPr>
        <w:spacing w:before="80" w:after="160"/>
        <w:jc w:val="center"/>
      </w:pPr>
      <w:r>
        <w:rPr>
          <w:rFonts w:ascii="Calibri" w:hAnsi="Calibri"/>
          <w:i/>
          <w:color w:val="475569"/>
          <w:sz w:val="18"/>
        </w:rPr>
        <w:t>Figure 4. France's largest flooded-area regions are mostly in the west and north-east; Italy's are concentrated in Pavia, Ferrara, Vercelli, Mantova, and Novara/Bologna.</w:t>
      </w:r>
    </w:p>
    <w:p>
      <w:r>
        <w:drawing>
          <wp:inline xmlns:a="http://schemas.openxmlformats.org/drawingml/2006/main" xmlns:pic="http://schemas.openxmlformats.org/drawingml/2006/picture">
            <wp:extent cx="5806440" cy="3436245"/>
            <wp:docPr id="5" name="Picture 5"/>
            <wp:cNvGraphicFramePr>
              <a:graphicFrameLocks noChangeAspect="1"/>
            </wp:cNvGraphicFramePr>
            <a:graphic>
              <a:graphicData uri="http://schemas.openxmlformats.org/drawingml/2006/picture">
                <pic:pic>
                  <pic:nvPicPr>
                    <pic:cNvPr id="0" name="top_nuts3_event_counts.png"/>
                    <pic:cNvPicPr/>
                  </pic:nvPicPr>
                  <pic:blipFill>
                    <a:blip r:embed="rId15"/>
                    <a:stretch>
                      <a:fillRect/>
                    </a:stretch>
                  </pic:blipFill>
                  <pic:spPr>
                    <a:xfrm>
                      <a:off x="0" y="0"/>
                      <a:ext cx="5806440" cy="3436245"/>
                    </a:xfrm>
                    <a:prstGeom prst="rect"/>
                  </pic:spPr>
                </pic:pic>
              </a:graphicData>
            </a:graphic>
          </wp:inline>
        </w:drawing>
      </w:r>
    </w:p>
    <w:p>
      <w:pPr>
        <w:spacing w:before="80" w:after="160"/>
        <w:jc w:val="center"/>
      </w:pPr>
      <w:r>
        <w:rPr>
          <w:rFonts w:ascii="Calibri" w:hAnsi="Calibri"/>
          <w:i/>
          <w:color w:val="475569"/>
          <w:sz w:val="18"/>
        </w:rPr>
        <w:t>Figure 5. Event recurrence is much higher across many French regions, while Italian recurrence peaks in Veneto and Emilia-Romagna but drops quickly outside those corridors.</w:t>
      </w:r>
    </w:p>
    <w:p>
      <w:pPr>
        <w:pStyle w:val="Heading1"/>
      </w:pPr>
      <w:r>
        <w:t>Interpretation For Point Matching</w:t>
      </w:r>
    </w:p>
    <w:p>
      <w:pPr>
        <w:pStyle w:val="ListBullet"/>
        <w:spacing w:after="80" w:line="264" w:lineRule="auto"/>
      </w:pPr>
      <w:r>
        <w:t>If France and Italy had comparable point portfolios and identical date windows, France would still start with a stronger match opportunity set: 288 versus 155 total JRC events.</w:t>
      </w:r>
    </w:p>
    <w:p>
      <w:pPr>
        <w:pStyle w:val="ListBullet"/>
        <w:spacing w:after="80" w:line="264" w:lineRule="auto"/>
      </w:pPr>
      <w:r>
        <w:t>The difference is amplified by footprint intensity: France accumulates roughly 30,684 km2 of country-event flooded area versus 3,208 km2 for Italy.</w:t>
      </w:r>
    </w:p>
    <w:p>
      <w:pPr>
        <w:pStyle w:val="ListBullet"/>
        <w:spacing w:after="80" w:line="264" w:lineRule="auto"/>
      </w:pPr>
      <w:r>
        <w:t>Italy still has broad regional reach, with 100.0% NUTS2 coverage and 86.0% NUTS3 coverage, so the problem is not absent Italian source coverage.</w:t>
      </w:r>
    </w:p>
    <w:p>
      <w:pPr>
        <w:pStyle w:val="ListBullet"/>
        <w:spacing w:after="80" w:line="264" w:lineRule="auto"/>
      </w:pPr>
      <w:r>
        <w:t>The more likely explanation is concentration: the top 10 Italian NUTS3 regions hold 66.5% of cumulative flooded area, whereas France is both denser and more geographically diversified.</w:t>
      </w:r>
    </w:p>
    <w:p>
      <w:pPr>
        <w:pStyle w:val="ListBullet"/>
        <w:spacing w:after="80" w:line="264" w:lineRule="auto"/>
      </w:pPr>
      <w:r>
        <w:t>For strict point-screening comparisons, only the JRC branch is directly comparable between countries. Gaspar and HANZE/TRI fallback outputs should be interpreted separately.</w:t>
      </w:r>
    </w:p>
    <w:p>
      <w:pPr>
        <w:pStyle w:val="Heading1"/>
      </w:pPr>
      <w:r>
        <w:t>Limitations</w:t>
      </w:r>
    </w:p>
    <w:p>
      <w:pPr>
        <w:pStyle w:val="ListBullet"/>
        <w:spacing w:after="80" w:line="264" w:lineRule="auto"/>
      </w:pPr>
      <w:r>
        <w:t>The T20 workbook stored in the repository is France-only, so this report cannot validate a France-vs-Italy point-hit claim from T20 itself.</w:t>
      </w:r>
    </w:p>
    <w:p>
      <w:pPr>
        <w:pStyle w:val="ListBullet"/>
        <w:spacing w:after="80" w:line="264" w:lineRule="auto"/>
      </w:pPr>
      <w:r>
        <w:t>Cumulative flooded area sums country-event intersections over time. It is an intensity indicator, not a unique physical area of land flooded once.</w:t>
      </w:r>
    </w:p>
    <w:p>
      <w:pPr>
        <w:pStyle w:val="ListBullet"/>
        <w:spacing w:after="80" w:line="264" w:lineRule="auto"/>
      </w:pPr>
      <w:r>
        <w:t>JRC event presence is not the same thing as insured loss severity, asset vulnerability, or obligor exposure.</w:t>
      </w:r>
    </w:p>
    <w:p>
      <w:pPr>
        <w:pStyle w:val="ListBullet"/>
        <w:spacing w:after="80" w:line="264" w:lineRule="auto"/>
      </w:pPr>
      <w:r>
        <w:t>Country labels in the processed tables are harmonized from Eurostat LAU/NUTS joins; remaining boundary or naming artifacts can still affect marginal rows.</w:t>
      </w:r>
    </w:p>
    <w:p>
      <w:pPr>
        <w:pStyle w:val="Heading1"/>
      </w:pPr>
      <w:r>
        <w:t>Appendix: Unhit Regions And Largest Events</w:t>
      </w:r>
    </w:p>
    <w:p>
      <w:r>
        <w:t>France has 11 unhit NUTS3 regions in the checked archive, mostly Paris/inner Ile-de-France, Corsica, and overseas territories. Italy has 15 unhit NUTS3 regions, concentrated in Liguria, Calabria, Sardegna, and parts of Sicilia/Marche/Toscana.</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152"/>
            <w:vAlign w:val="center"/>
            <w:tcMar>
              <w:top w:w="80" w:type="dxa"/>
              <w:bottom w:w="80" w:type="dxa"/>
              <w:start w:w="120" w:type="dxa"/>
              <w:end w:w="120" w:type="dxa"/>
            </w:tcMar>
            <w:shd w:fill="F2F4F7"/>
          </w:tcPr>
          <w:p>
            <w:pPr>
              <w:spacing w:before="0" w:after="60" w:line="264" w:lineRule="auto"/>
            </w:pPr>
            <w:r>
              <w:rPr>
                <w:rFonts w:ascii="Calibri" w:hAnsi="Calibri"/>
                <w:b/>
                <w:sz w:val="16"/>
              </w:rPr>
              <w:t>Country</w:t>
            </w:r>
          </w:p>
        </w:tc>
        <w:tc>
          <w:tcPr>
            <w:tcW w:type="dxa" w:w="1512"/>
            <w:vAlign w:val="center"/>
            <w:tcMar>
              <w:top w:w="80" w:type="dxa"/>
              <w:bottom w:w="80" w:type="dxa"/>
              <w:start w:w="120" w:type="dxa"/>
              <w:end w:w="120" w:type="dxa"/>
            </w:tcMar>
            <w:shd w:fill="F2F4F7"/>
          </w:tcPr>
          <w:p>
            <w:pPr>
              <w:spacing w:before="0" w:after="60" w:line="264" w:lineRule="auto"/>
            </w:pPr>
            <w:r>
              <w:rPr>
                <w:rFonts w:ascii="Calibri" w:hAnsi="Calibri"/>
                <w:b/>
                <w:sz w:val="16"/>
              </w:rPr>
              <w:t>Start</w:t>
            </w:r>
          </w:p>
        </w:tc>
        <w:tc>
          <w:tcPr>
            <w:tcW w:type="dxa" w:w="1512"/>
            <w:vAlign w:val="center"/>
            <w:tcMar>
              <w:top w:w="80" w:type="dxa"/>
              <w:bottom w:w="80" w:type="dxa"/>
              <w:start w:w="120" w:type="dxa"/>
              <w:end w:w="120" w:type="dxa"/>
            </w:tcMar>
            <w:shd w:fill="F2F4F7"/>
          </w:tcPr>
          <w:p>
            <w:pPr>
              <w:spacing w:before="0" w:after="60" w:line="264" w:lineRule="auto"/>
            </w:pPr>
            <w:r>
              <w:rPr>
                <w:rFonts w:ascii="Calibri" w:hAnsi="Calibri"/>
                <w:b/>
                <w:sz w:val="16"/>
              </w:rPr>
              <w:t>End</w:t>
            </w:r>
          </w:p>
        </w:tc>
        <w:tc>
          <w:tcPr>
            <w:tcW w:type="dxa" w:w="792"/>
            <w:vAlign w:val="center"/>
            <w:tcMar>
              <w:top w:w="80" w:type="dxa"/>
              <w:bottom w:w="80" w:type="dxa"/>
              <w:start w:w="120" w:type="dxa"/>
              <w:end w:w="120" w:type="dxa"/>
            </w:tcMar>
            <w:shd w:fill="F2F4F7"/>
          </w:tcPr>
          <w:p>
            <w:pPr>
              <w:spacing w:before="0" w:after="60" w:line="264" w:lineRule="auto"/>
            </w:pPr>
            <w:r>
              <w:rPr>
                <w:rFonts w:ascii="Calibri" w:hAnsi="Calibri"/>
                <w:b/>
                <w:sz w:val="16"/>
              </w:rPr>
              <w:t>Days</w:t>
            </w:r>
          </w:p>
        </w:tc>
        <w:tc>
          <w:tcPr>
            <w:tcW w:type="dxa" w:w="1296"/>
            <w:vAlign w:val="center"/>
            <w:tcMar>
              <w:top w:w="80" w:type="dxa"/>
              <w:bottom w:w="80" w:type="dxa"/>
              <w:start w:w="120" w:type="dxa"/>
              <w:end w:w="120" w:type="dxa"/>
            </w:tcMar>
            <w:shd w:fill="F2F4F7"/>
          </w:tcPr>
          <w:p>
            <w:pPr>
              <w:spacing w:before="0" w:after="60" w:line="264" w:lineRule="auto"/>
            </w:pPr>
            <w:r>
              <w:rPr>
                <w:rFonts w:ascii="Calibri" w:hAnsi="Calibri"/>
                <w:b/>
                <w:sz w:val="16"/>
              </w:rPr>
              <w:t>Area km2</w:t>
            </w:r>
          </w:p>
        </w:tc>
        <w:tc>
          <w:tcPr>
            <w:tcW w:type="dxa" w:w="1080"/>
            <w:vAlign w:val="center"/>
            <w:tcMar>
              <w:top w:w="80" w:type="dxa"/>
              <w:bottom w:w="80" w:type="dxa"/>
              <w:start w:w="120" w:type="dxa"/>
              <w:end w:w="120" w:type="dxa"/>
            </w:tcMar>
            <w:shd w:fill="F2F4F7"/>
          </w:tcPr>
          <w:p>
            <w:pPr>
              <w:spacing w:before="0" w:after="60" w:line="264" w:lineRule="auto"/>
            </w:pPr>
            <w:r>
              <w:rPr>
                <w:rFonts w:ascii="Calibri" w:hAnsi="Calibri"/>
                <w:b/>
                <w:sz w:val="16"/>
              </w:rPr>
              <w:t>LAUs hit</w:t>
            </w:r>
          </w:p>
        </w:tc>
        <w:tc>
          <w:tcPr>
            <w:tcW w:type="dxa" w:w="1152"/>
            <w:vAlign w:val="center"/>
            <w:tcMar>
              <w:top w:w="80" w:type="dxa"/>
              <w:bottom w:w="80" w:type="dxa"/>
              <w:start w:w="120" w:type="dxa"/>
              <w:end w:w="120" w:type="dxa"/>
            </w:tcMar>
            <w:shd w:fill="F2F4F7"/>
          </w:tcPr>
          <w:p>
            <w:pPr>
              <w:spacing w:before="0" w:after="60" w:line="264" w:lineRule="auto"/>
            </w:pPr>
            <w:r>
              <w:rPr>
                <w:rFonts w:ascii="Calibri" w:hAnsi="Calibri"/>
                <w:b/>
                <w:sz w:val="16"/>
              </w:rPr>
              <w:t>NUTS3 hit</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France</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2018-01-15</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2018-02-05</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21</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2,128</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3,695</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60</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France</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2021-01-11</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2021-02-15</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35</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2,075</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3,265</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56</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France</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2020-02-24</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2020-04-06</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35</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1,685</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2,997</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57</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France</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2018-01-01</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2018-01-29</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28</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1,440</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2,333</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31</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Italy</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2024-05-13</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2024-07-01</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49</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672</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503</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32</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Italy</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2017-01-16</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2017-01-23</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7</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500</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167</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13</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Italy</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2024-03-25</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2024-05-27</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49</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266</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258</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17</w:t>
            </w:r>
          </w:p>
        </w:tc>
      </w:tr>
      <w:tr>
        <w:tc>
          <w:tcPr>
            <w:tcW w:type="dxa" w:w="1152"/>
            <w:vAlign w:val="center"/>
            <w:tcMar>
              <w:top w:w="80" w:type="dxa"/>
              <w:bottom w:w="80" w:type="dxa"/>
              <w:start w:w="120" w:type="dxa"/>
              <w:end w:w="120" w:type="dxa"/>
            </w:tcMar>
          </w:tcPr>
          <w:p>
            <w:pPr>
              <w:spacing w:before="0" w:after="60" w:line="264" w:lineRule="auto"/>
            </w:pPr>
            <w:r>
              <w:rPr>
                <w:rFonts w:ascii="Calibri" w:hAnsi="Calibri"/>
                <w:sz w:val="16"/>
              </w:rPr>
              <w:t>Italy</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2019-11-04</w:t>
            </w:r>
          </w:p>
        </w:tc>
        <w:tc>
          <w:tcPr>
            <w:tcW w:type="dxa" w:w="1512"/>
            <w:vAlign w:val="center"/>
            <w:tcMar>
              <w:top w:w="80" w:type="dxa"/>
              <w:bottom w:w="80" w:type="dxa"/>
              <w:start w:w="120" w:type="dxa"/>
              <w:end w:w="120" w:type="dxa"/>
            </w:tcMar>
          </w:tcPr>
          <w:p>
            <w:pPr>
              <w:spacing w:before="0" w:after="60" w:line="264" w:lineRule="auto"/>
            </w:pPr>
            <w:r>
              <w:rPr>
                <w:rFonts w:ascii="Calibri" w:hAnsi="Calibri"/>
                <w:sz w:val="16"/>
              </w:rPr>
              <w:t>2020-01-06</w:t>
            </w:r>
          </w:p>
        </w:tc>
        <w:tc>
          <w:tcPr>
            <w:tcW w:type="dxa" w:w="792"/>
            <w:vAlign w:val="center"/>
            <w:tcMar>
              <w:top w:w="80" w:type="dxa"/>
              <w:bottom w:w="80" w:type="dxa"/>
              <w:start w:w="120" w:type="dxa"/>
              <w:end w:w="120" w:type="dxa"/>
            </w:tcMar>
          </w:tcPr>
          <w:p>
            <w:pPr>
              <w:spacing w:before="0" w:after="60" w:line="264" w:lineRule="auto"/>
            </w:pPr>
            <w:r>
              <w:rPr>
                <w:rFonts w:ascii="Calibri" w:hAnsi="Calibri"/>
                <w:sz w:val="16"/>
              </w:rPr>
              <w:t>56</w:t>
            </w:r>
          </w:p>
        </w:tc>
        <w:tc>
          <w:tcPr>
            <w:tcW w:type="dxa" w:w="1296"/>
            <w:vAlign w:val="center"/>
            <w:tcMar>
              <w:top w:w="80" w:type="dxa"/>
              <w:bottom w:w="80" w:type="dxa"/>
              <w:start w:w="120" w:type="dxa"/>
              <w:end w:w="120" w:type="dxa"/>
            </w:tcMar>
          </w:tcPr>
          <w:p>
            <w:pPr>
              <w:spacing w:before="0" w:after="60" w:line="264" w:lineRule="auto"/>
            </w:pPr>
            <w:r>
              <w:rPr>
                <w:rFonts w:ascii="Calibri" w:hAnsi="Calibri"/>
                <w:sz w:val="16"/>
              </w:rPr>
              <w:t>225</w:t>
            </w:r>
          </w:p>
        </w:tc>
        <w:tc>
          <w:tcPr>
            <w:tcW w:type="dxa" w:w="1080"/>
            <w:vAlign w:val="center"/>
            <w:tcMar>
              <w:top w:w="80" w:type="dxa"/>
              <w:bottom w:w="80" w:type="dxa"/>
              <w:start w:w="120" w:type="dxa"/>
              <w:end w:w="120" w:type="dxa"/>
            </w:tcMar>
          </w:tcPr>
          <w:p>
            <w:pPr>
              <w:spacing w:before="0" w:after="60" w:line="264" w:lineRule="auto"/>
            </w:pPr>
            <w:r>
              <w:rPr>
                <w:rFonts w:ascii="Calibri" w:hAnsi="Calibri"/>
                <w:sz w:val="16"/>
              </w:rPr>
              <w:t>399</w:t>
            </w:r>
          </w:p>
        </w:tc>
        <w:tc>
          <w:tcPr>
            <w:tcW w:type="dxa" w:w="1152"/>
            <w:vAlign w:val="center"/>
            <w:tcMar>
              <w:top w:w="80" w:type="dxa"/>
              <w:bottom w:w="80" w:type="dxa"/>
              <w:start w:w="120" w:type="dxa"/>
              <w:end w:w="120" w:type="dxa"/>
            </w:tcMar>
          </w:tcPr>
          <w:p>
            <w:pPr>
              <w:spacing w:before="0" w:after="60" w:line="264" w:lineRule="auto"/>
            </w:pPr>
            <w:r>
              <w:rPr>
                <w:rFonts w:ascii="Calibri" w:hAnsi="Calibri"/>
                <w:sz w:val="16"/>
              </w:rPr>
              <w:t>47</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475569"/>
        <w:sz w:val="18"/>
      </w:rPr>
      <w:t>JRC Flood Source Study | France vs Italy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