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oav0wjupth0g" w:id="0"/>
      <w:bookmarkEnd w:id="0"/>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before="0" w:line="276" w:lineRule="auto"/>
        <w:jc w:val="center"/>
        <w:rPr>
          <w:color w:val="000000"/>
          <w:sz w:val="48"/>
          <w:szCs w:val="48"/>
        </w:rPr>
      </w:pPr>
      <w:r w:rsidDel="00000000" w:rsidR="00000000" w:rsidRPr="00000000">
        <w:rPr>
          <w:color w:val="000000"/>
          <w:sz w:val="48"/>
          <w:szCs w:val="48"/>
        </w:rPr>
        <w:drawing>
          <wp:inline distB="0" distT="0" distL="0" distR="0">
            <wp:extent cx="3843319" cy="865249"/>
            <wp:effectExtent b="0" l="0" r="0" t="0"/>
            <wp:docPr id="184085746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843319" cy="865249"/>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before="0" w:line="276" w:lineRule="auto"/>
        <w:jc w:val="center"/>
        <w:rPr>
          <w:color w:val="000000"/>
          <w:sz w:val="48"/>
          <w:szCs w:val="48"/>
        </w:rPr>
      </w:pPr>
      <w:r w:rsidDel="00000000" w:rsidR="00000000" w:rsidRPr="00000000">
        <w:rPr>
          <w:color w:val="000000"/>
          <w:sz w:val="48"/>
          <w:szCs w:val="48"/>
          <w:rtl w:val="0"/>
        </w:rPr>
        <w:t xml:space="preserve">Universidad Internacional de La Rioja</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before="0" w:line="276" w:lineRule="auto"/>
        <w:jc w:val="center"/>
        <w:rPr>
          <w:color w:val="000000"/>
          <w:sz w:val="40"/>
          <w:szCs w:val="40"/>
        </w:rPr>
      </w:pPr>
      <w:r w:rsidDel="00000000" w:rsidR="00000000" w:rsidRPr="00000000">
        <w:rPr>
          <w:color w:val="000000"/>
          <w:sz w:val="40"/>
          <w:szCs w:val="40"/>
          <w:rtl w:val="0"/>
        </w:rPr>
        <w:t xml:space="preserve">Escuela Superior de Ingeniería y Tecnología</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before="0" w:line="276" w:lineRule="auto"/>
        <w:jc w:val="center"/>
        <w:rPr>
          <w:color w:val="000000"/>
          <w:sz w:val="40"/>
          <w:szCs w:val="40"/>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before="0" w:line="276" w:lineRule="auto"/>
        <w:jc w:val="center"/>
        <w:rPr>
          <w:color w:val="000000"/>
          <w:sz w:val="40"/>
          <w:szCs w:val="4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before="0" w:line="276" w:lineRule="auto"/>
        <w:jc w:val="center"/>
        <w:rPr>
          <w:color w:val="000000"/>
          <w:sz w:val="40"/>
          <w:szCs w:val="4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before="0" w:line="276" w:lineRule="auto"/>
        <w:jc w:val="center"/>
        <w:rPr>
          <w:color w:val="000000"/>
          <w:sz w:val="40"/>
          <w:szCs w:val="4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before="0" w:line="276" w:lineRule="auto"/>
        <w:jc w:val="center"/>
        <w:rPr>
          <w:color w:val="000000"/>
          <w:sz w:val="48"/>
          <w:szCs w:val="48"/>
        </w:rPr>
      </w:pPr>
      <w:r w:rsidDel="00000000" w:rsidR="00000000" w:rsidRPr="00000000">
        <w:rPr>
          <w:color w:val="000000"/>
          <w:sz w:val="36"/>
          <w:szCs w:val="36"/>
          <w:rtl w:val="0"/>
        </w:rPr>
        <w:t xml:space="preserve">Máster Universitario en Ingeniería de Software y Sistemas Informáticos</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before="0" w:line="276" w:lineRule="auto"/>
        <w:jc w:val="center"/>
        <w:rPr>
          <w:color w:val="000000"/>
          <w:sz w:val="52"/>
          <w:szCs w:val="52"/>
        </w:rPr>
      </w:pPr>
      <w:r w:rsidDel="00000000" w:rsidR="00000000" w:rsidRPr="00000000">
        <w:rPr>
          <w:color w:val="0098cd"/>
          <w:sz w:val="52"/>
          <w:szCs w:val="52"/>
          <w:rtl w:val="0"/>
        </w:rPr>
        <w:t xml:space="preserve">Diseño e implementación de una plataforma de autoservicio cloud para simplificar la gestión de infraestructura moderna en PYMEs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tab/>
      </w:r>
    </w:p>
    <w:p w:rsidR="00000000" w:rsidDel="00000000" w:rsidP="00000000" w:rsidRDefault="00000000" w:rsidRPr="00000000" w14:paraId="0000000C">
      <w:pPr>
        <w:rPr/>
      </w:pPr>
      <w:r w:rsidDel="00000000" w:rsidR="00000000" w:rsidRPr="00000000">
        <w:rPr>
          <w:rtl w:val="0"/>
        </w:rPr>
      </w:r>
    </w:p>
    <w:tbl>
      <w:tblPr>
        <w:tblStyle w:val="Table1"/>
        <w:tblpPr w:leftFromText="141" w:rightFromText="141" w:topFromText="0" w:bottomFromText="0" w:vertAnchor="page" w:horzAnchor="margin" w:tblpX="547" w:tblpY="12196"/>
        <w:tblW w:w="8513.0" w:type="dxa"/>
        <w:jc w:val="left"/>
        <w:tblBorders>
          <w:top w:color="e7e6e6" w:space="0" w:sz="4" w:val="single"/>
          <w:left w:color="e7e6e6" w:space="0" w:sz="4" w:val="single"/>
          <w:bottom w:color="e7e6e6" w:space="0" w:sz="4" w:val="single"/>
          <w:right w:color="e7e6e6" w:space="0" w:sz="4" w:val="single"/>
          <w:insideH w:color="e7e6e6" w:space="0" w:sz="4" w:val="single"/>
          <w:insideV w:color="e7e6e6" w:space="0" w:sz="4" w:val="single"/>
        </w:tblBorders>
        <w:tblLayout w:type="fixed"/>
        <w:tblLook w:val="0400"/>
      </w:tblPr>
      <w:tblGrid>
        <w:gridCol w:w="4106"/>
        <w:gridCol w:w="4407"/>
        <w:tblGridChange w:id="0">
          <w:tblGrid>
            <w:gridCol w:w="4106"/>
            <w:gridCol w:w="4407"/>
          </w:tblGrid>
        </w:tblGridChange>
      </w:tblGrid>
      <w:tr>
        <w:trPr>
          <w:cantSplit w:val="0"/>
          <w:tblHeader w:val="0"/>
        </w:trPr>
        <w:tc>
          <w:tcPr>
            <w:vAlign w:val="center"/>
          </w:tcPr>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0" w:before="0" w:line="276" w:lineRule="auto"/>
              <w:jc w:val="left"/>
              <w:rPr>
                <w:color w:val="000000"/>
              </w:rPr>
            </w:pPr>
            <w:r w:rsidDel="00000000" w:rsidR="00000000" w:rsidRPr="00000000">
              <w:rPr>
                <w:color w:val="000000"/>
                <w:rtl w:val="0"/>
              </w:rPr>
              <w:t xml:space="preserve">Trabajo fin de estudio presentado por:</w:t>
            </w:r>
          </w:p>
        </w:tc>
        <w:tc>
          <w:tcPr>
            <w:vAlign w:val="center"/>
          </w:tcPr>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0" w:before="0" w:line="276" w:lineRule="auto"/>
              <w:jc w:val="left"/>
              <w:rPr>
                <w:color w:val="000000"/>
              </w:rPr>
            </w:pPr>
            <w:r w:rsidDel="00000000" w:rsidR="00000000" w:rsidRPr="00000000">
              <w:rPr>
                <w:color w:val="000000"/>
                <w:rtl w:val="0"/>
              </w:rPr>
              <w:t xml:space="preserve">Elkin Fabian Marmolejo Rodríguez y Juan Daniel Ortiz Ceballos</w:t>
            </w:r>
          </w:p>
        </w:tc>
      </w:tr>
      <w:tr>
        <w:trPr>
          <w:cantSplit w:val="0"/>
          <w:tblHeader w:val="0"/>
        </w:trPr>
        <w:tc>
          <w:tcPr>
            <w:vAlign w:val="center"/>
          </w:tcPr>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0" w:before="0" w:line="276" w:lineRule="auto"/>
              <w:jc w:val="left"/>
              <w:rPr>
                <w:color w:val="000000"/>
              </w:rPr>
            </w:pPr>
            <w:r w:rsidDel="00000000" w:rsidR="00000000" w:rsidRPr="00000000">
              <w:rPr>
                <w:color w:val="000000"/>
                <w:rtl w:val="0"/>
              </w:rPr>
              <w:t xml:space="preserve">Tipo de trabajo:</w:t>
            </w:r>
          </w:p>
        </w:tc>
        <w:tc>
          <w:tcPr>
            <w:vAlign w:val="center"/>
          </w:tcPr>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0" w:before="0" w:line="276" w:lineRule="auto"/>
              <w:jc w:val="left"/>
              <w:rPr>
                <w:color w:val="000000"/>
              </w:rPr>
            </w:pPr>
            <w:r w:rsidDel="00000000" w:rsidR="00000000" w:rsidRPr="00000000">
              <w:rPr>
                <w:rtl w:val="0"/>
              </w:rPr>
              <w:t xml:space="preserve">Desarrollo Practico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0" w:before="0" w:line="276" w:lineRule="auto"/>
              <w:jc w:val="left"/>
              <w:rPr>
                <w:color w:val="000000"/>
              </w:rPr>
            </w:pPr>
            <w:r w:rsidDel="00000000" w:rsidR="00000000" w:rsidRPr="00000000">
              <w:rPr>
                <w:color w:val="000000"/>
                <w:rtl w:val="0"/>
              </w:rPr>
              <w:t xml:space="preserve">Director/a:</w:t>
            </w:r>
          </w:p>
        </w:tc>
        <w:tc>
          <w:tcPr>
            <w:vAlign w:val="center"/>
          </w:tcPr>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0" w:before="0" w:line="276" w:lineRule="auto"/>
              <w:jc w:val="left"/>
              <w:rPr>
                <w:color w:val="000000"/>
              </w:rPr>
            </w:pPr>
            <w:r w:rsidDel="00000000" w:rsidR="00000000" w:rsidRPr="00000000">
              <w:rPr>
                <w:color w:val="000000"/>
                <w:rtl w:val="0"/>
              </w:rPr>
              <w:t xml:space="preserve">Javier Bermejo Higuera</w:t>
            </w:r>
          </w:p>
        </w:tc>
      </w:tr>
      <w:tr>
        <w:trPr>
          <w:cantSplit w:val="0"/>
          <w:tblHeader w:val="0"/>
        </w:trPr>
        <w:tc>
          <w:tcPr>
            <w:vAlign w:val="center"/>
          </w:tcPr>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before="0" w:line="276" w:lineRule="auto"/>
              <w:jc w:val="left"/>
              <w:rPr>
                <w:color w:val="000000"/>
              </w:rPr>
            </w:pPr>
            <w:r w:rsidDel="00000000" w:rsidR="00000000" w:rsidRPr="00000000">
              <w:rPr>
                <w:color w:val="000000"/>
                <w:rtl w:val="0"/>
              </w:rPr>
              <w:t xml:space="preserve">Fecha:</w:t>
            </w:r>
          </w:p>
        </w:tc>
        <w:tc>
          <w:tcPr>
            <w:vAlign w:val="center"/>
          </w:tcPr>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0" w:before="0" w:line="276" w:lineRule="auto"/>
              <w:jc w:val="left"/>
              <w:rPr>
                <w:color w:val="000000"/>
              </w:rPr>
            </w:pPr>
            <w:r w:rsidDel="00000000" w:rsidR="00000000" w:rsidRPr="00000000">
              <w:rPr>
                <w:rtl w:val="0"/>
              </w:rPr>
            </w:r>
          </w:p>
        </w:tc>
      </w:tr>
    </w:tbl>
    <w:p w:rsidR="00000000" w:rsidDel="00000000" w:rsidP="00000000" w:rsidRDefault="00000000" w:rsidRPr="00000000" w14:paraId="00000015">
      <w:pPr>
        <w:pBdr>
          <w:top w:space="0" w:sz="0" w:val="nil"/>
          <w:left w:space="0" w:sz="0" w:val="nil"/>
          <w:bottom w:space="0" w:sz="0" w:val="nil"/>
          <w:right w:space="0" w:sz="0" w:val="nil"/>
          <w:between w:space="0" w:sz="0" w:val="nil"/>
        </w:pBdr>
        <w:rPr>
          <w:color w:val="0098cd"/>
          <w:sz w:val="36"/>
          <w:szCs w:val="36"/>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jc w:val="right"/>
        <w:rPr>
          <w:color w:val="0098cd"/>
          <w:sz w:val="36"/>
          <w:szCs w:val="36"/>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rPr>
          <w:color w:val="0098cd"/>
          <w:sz w:val="36"/>
          <w:szCs w:val="36"/>
        </w:rPr>
      </w:pPr>
      <w:r w:rsidDel="00000000" w:rsidR="00000000" w:rsidRPr="00000000">
        <w:br w:type="page"/>
      </w:r>
      <w:r w:rsidDel="00000000" w:rsidR="00000000" w:rsidRPr="00000000">
        <w:rPr>
          <w:color w:val="0098cd"/>
          <w:sz w:val="36"/>
          <w:szCs w:val="36"/>
          <w:rtl w:val="0"/>
        </w:rPr>
        <w:t xml:space="preserve">Resumen </w:t>
      </w:r>
    </w:p>
    <w:p w:rsidR="00000000" w:rsidDel="00000000" w:rsidP="00000000" w:rsidRDefault="00000000" w:rsidRPr="00000000" w14:paraId="0000001A">
      <w:pPr>
        <w:rPr/>
      </w:pPr>
      <w:r w:rsidDel="00000000" w:rsidR="00000000" w:rsidRPr="00000000">
        <w:rPr>
          <w:rtl w:val="0"/>
        </w:rPr>
        <w:t xml:space="preserve">Las pequeñas y medianas empresas (PYMEs) afrontan crecientes dificultades para adoptar infraestructuras cloud modernas debido a la complejidad técnica que implican tecnologías como los contenedores, la automatización de infraestructura, la observabilidad y los servicios cloud-native, agravada por la ausencia de equipos especializados en DevOps o arquitectura cloud. Como consecuencia, muchas organizaciones continúan dependiendo de procesos manuales de configuración y despliegue, con infraestructuras poco escalables y bajos niveles de automatización que limitan su crecimiento y modernización tecnológica. </w:t>
      </w:r>
    </w:p>
    <w:p w:rsidR="00000000" w:rsidDel="00000000" w:rsidP="00000000" w:rsidRDefault="00000000" w:rsidRPr="00000000" w14:paraId="0000001B">
      <w:pPr>
        <w:rPr/>
      </w:pPr>
      <w:r w:rsidDel="00000000" w:rsidR="00000000" w:rsidRPr="00000000">
        <w:rPr>
          <w:rtl w:val="0"/>
        </w:rPr>
        <w:t xml:space="preserve">Este Trabajo Fin de Estudios tuvo como objetivo diseñar e implementar una plataforma de autoservicio cloud orientada a PYMEs que simplificó la gestión y el aprovisionamiento de infraestructura en AWS mediante automatización y plantillas preconfiguradas, incorporando además funcionalidades básicas de observabilidad y monitoreo. Para ello se siguió una metodología incremental e iterativa basada en la construcción de un producto mínimo viable (MVP), que combinó principios ágiles con técnicas de Infraestructura como Código (IaC) y arquitecturas cloud-native modulares, desarrollada en siete fases: análisis de requisitos, estudio tecnológico, diseño de arquitectura, desarrollo de la plataforma web y los servicios backend, implementación del aprovisionamiento automatizado, integración de observabilidad y validación funcional.</w:t>
      </w:r>
    </w:p>
    <w:p w:rsidR="00000000" w:rsidDel="00000000" w:rsidP="00000000" w:rsidRDefault="00000000" w:rsidRPr="00000000" w14:paraId="0000001C">
      <w:pPr>
        <w:rPr/>
      </w:pPr>
      <w:r w:rsidDel="00000000" w:rsidR="00000000" w:rsidRPr="00000000">
        <w:rPr>
          <w:rtl w:val="0"/>
        </w:rPr>
        <w:t xml:space="preserve">Los resultados obtenidos demostraron que la plataforma resultante logró reducir la complejidad técnica y los procesos manuales asociados a la gestión de infraestructura cloud, mejoró la visibilidad operativa mediante monitoreo básico y contribuyó a democratizar el acceso de las PYMEs a tecnologías cloud modernas. Se concluye que la herramienta desarrollada promovió eficazmente la adopción de buenas prácticas de automatización e Infraestructura como Código en organizaciones con recursos técnicos limitados.</w:t>
      </w:r>
    </w:p>
    <w:p w:rsidR="00000000" w:rsidDel="00000000" w:rsidP="00000000" w:rsidRDefault="00000000" w:rsidRPr="00000000" w14:paraId="0000001D">
      <w:pPr>
        <w:rPr/>
      </w:pPr>
      <w:r w:rsidDel="00000000" w:rsidR="00000000" w:rsidRPr="00000000">
        <w:rPr>
          <w:b w:val="1"/>
          <w:bCs w:val="1"/>
          <w:rtl w:val="0"/>
        </w:rPr>
        <w:t xml:space="preserve">Palabras clave: </w:t>
      </w:r>
      <w:r w:rsidDel="00000000" w:rsidR="00000000" w:rsidRPr="00000000">
        <w:rPr>
          <w:rtl w:val="0"/>
        </w:rPr>
        <w:t xml:space="preserve">computación en la nube, PYMEs, automatización de infraestructura, Infraestructura como Código, observabilidad cloud.</w:t>
      </w:r>
    </w:p>
    <w:p w:rsidR="00000000" w:rsidDel="00000000" w:rsidP="00000000" w:rsidRDefault="00000000" w:rsidRPr="00000000" w14:paraId="0000001E">
      <w:pPr>
        <w:spacing w:after="0" w:before="0" w:line="240" w:lineRule="auto"/>
        <w:jc w:val="left"/>
        <w:rPr/>
      </w:pPr>
      <w:bookmarkStart w:colFirst="0" w:colLast="0" w:name="_heading=h.d247anregl2w" w:id="1"/>
      <w:bookmarkEnd w:id="1"/>
      <w:r w:rsidDel="00000000" w:rsidR="00000000" w:rsidRPr="00000000">
        <w:br w:type="page"/>
      </w: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rPr>
          <w:color w:val="0098cd"/>
          <w:sz w:val="36"/>
          <w:szCs w:val="36"/>
        </w:rPr>
      </w:pPr>
      <w:r w:rsidDel="00000000" w:rsidR="00000000" w:rsidRPr="00000000">
        <w:rPr>
          <w:color w:val="0098cd"/>
          <w:sz w:val="36"/>
          <w:szCs w:val="36"/>
          <w:rtl w:val="0"/>
        </w:rPr>
        <w:t xml:space="preserve">Abstract</w:t>
      </w:r>
    </w:p>
    <w:p w:rsidR="00000000" w:rsidDel="00000000" w:rsidP="00000000" w:rsidRDefault="00000000" w:rsidRPr="00000000" w14:paraId="00000020">
      <w:pPr>
        <w:rPr/>
      </w:pPr>
      <w:r w:rsidDel="00000000" w:rsidR="00000000" w:rsidRPr="00000000">
        <w:rPr>
          <w:rtl w:val="0"/>
        </w:rPr>
        <w:t xml:space="preserve">Abstract Small and medium-sized enterprises (SMEs) face growing difficulties in adopting modern cloud infrastructure due to the technical complexity of technologies such as containers, infrastructure automation, observability, and cloud-native services, a challenge worsened by the lack of specialized DevOps or cloud architecture teams. As a result, many organizations continue to rely on manual configuration and deployment processes, with infrastructures that are hard to scale and show low levels of automation, limiting their growth and technological modernization. </w:t>
      </w:r>
    </w:p>
    <w:p w:rsidR="00000000" w:rsidDel="00000000" w:rsidP="00000000" w:rsidRDefault="00000000" w:rsidRPr="00000000" w14:paraId="00000021">
      <w:pPr>
        <w:rPr/>
      </w:pPr>
      <w:r w:rsidDel="00000000" w:rsidR="00000000" w:rsidRPr="00000000">
        <w:rPr>
          <w:rtl w:val="0"/>
        </w:rPr>
        <w:t xml:space="preserve">This Master's Thesis aimed to design and implement a cloud self-service platform for SMEs that simplified the management and provisioning of AWS infrastructure through automation and preconfigured templates, while incorporating basic observability and monitoring capabilities. The work followed an incremental, iterative methodology based on building a minimum viable product (MVP), combining agile principles with Infrastructure as Code (IaC) techniques and modular cloud-native architectures, organized into seven phases: requirements analysis, technology research, architecture design, development of the web platform and backend services, implementation of automated provisioning, observability integration, and functional validation.</w:t>
      </w:r>
    </w:p>
    <w:p w:rsidR="00000000" w:rsidDel="00000000" w:rsidP="00000000" w:rsidRDefault="00000000" w:rsidRPr="00000000" w14:paraId="00000022">
      <w:pPr>
        <w:rPr/>
      </w:pPr>
      <w:r w:rsidDel="00000000" w:rsidR="00000000" w:rsidRPr="00000000">
        <w:rPr>
          <w:rtl w:val="0"/>
        </w:rPr>
        <w:t xml:space="preserve">The results demonstrated that the developed platform reduced the technical complexity and manual processes involved in cloud infrastructure management, improved operational visibility through basic monitoring, and helped democratize SMEs' access to modern cloud technologies. In conclusion, the project successfully fostered the adoption of automation and Infrastructure as Code best practices in organizations with limited technical resources.</w:t>
      </w:r>
    </w:p>
    <w:p w:rsidR="00000000" w:rsidDel="00000000" w:rsidP="00000000" w:rsidRDefault="00000000" w:rsidRPr="00000000" w14:paraId="00000023">
      <w:pPr>
        <w:rPr/>
      </w:pPr>
      <w:r w:rsidDel="00000000" w:rsidR="00000000" w:rsidRPr="00000000">
        <w:rPr>
          <w:b w:val="1"/>
          <w:bCs w:val="1"/>
          <w:rtl w:val="0"/>
        </w:rPr>
        <w:t xml:space="preserve">Keywords: </w:t>
      </w:r>
      <w:r w:rsidDel="00000000" w:rsidR="00000000" w:rsidRPr="00000000">
        <w:rPr>
          <w:rtl w:val="0"/>
        </w:rPr>
        <w:t xml:space="preserve">cloud computing, SMEs, infrastructure automation, Infrastructure as Code, cloud observability.</w:t>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color w:val="0098cd"/>
          <w:sz w:val="36"/>
          <w:szCs w:val="36"/>
        </w:rPr>
      </w:pPr>
      <w:r w:rsidDel="00000000" w:rsidR="00000000" w:rsidRPr="00000000">
        <w:rPr>
          <w:color w:val="0098cd"/>
          <w:sz w:val="36"/>
          <w:szCs w:val="36"/>
          <w:rtl w:val="0"/>
        </w:rPr>
        <w:t xml:space="preserve">Índice de contenidos</w:t>
      </w:r>
    </w:p>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right" w:leader="none" w:pos="9060"/>
        </w:tabs>
        <w:rPr>
          <w:b w:val="1"/>
          <w:bCs w:val="1"/>
          <w:color w:val="000000"/>
        </w:rPr>
      </w:pPr>
      <w:r w:rsidDel="00000000" w:rsidR="00000000" w:rsidRPr="00000000">
        <w:rPr>
          <w:b w:val="1"/>
          <w:bCs w:val="1"/>
          <w:color w:val="000000"/>
          <w:rtl w:val="0"/>
        </w:rPr>
        <w:t xml:space="preserve">Contenido</w:t>
      </w:r>
    </w:p>
    <w:sdt>
      <w:sdtPr>
        <w:id w:val="1746646008"/>
        <w:docPartObj>
          <w:docPartGallery w:val="Table of Contents"/>
          <w:docPartUnique w:val="1"/>
        </w:docPartObj>
      </w:sdtPr>
      <w:sdtContent>
        <w:p>
          <w:pPr>
            <w:widowControl w:val="0"/>
            <w:tabs>
              <w:tab w:val="right" w:leader="dot" w:pos="9061"/>
            </w:tabs>
            <w:spacing w:after="0" w:before="60" w:line="276" w:lineRule="auto"/>
            <w:jc w:val="left"/>
            <w:rPr>
              <w:b w:val="1"/>
              <w:bCs w:val="1"/>
              <w:color w:val="000000"/>
            </w:rPr>
          </w:pPr>
          <w:r>
            <w:fldChar w:fldCharType="begin"/>
          </w:r>
          <w:r>
            <w:instrText xml:space="preserve"> TOC \o "1-3" \h \z \u </w:instrText>
          </w:r>
          <w:r>
            <w:fldChar w:fldCharType="separate"/>
          </w:r>
          <w:r>
            <w:rPr>
              <w:b w:val="1"/>
              <w:bCs w:val="1"/>
              <w:color w:val="000000"/>
            </w:rPr>
            <w:t xml:space="preserve">1 Introducción</w:t>
          </w:r>
          <w:r>
            <w:rPr>
              <w:b w:val="1"/>
              <w:bCs w:val="1"/>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1.1 Justificación</w:t>
          </w:r>
          <w:r>
            <w:rPr>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1.2 Planteamiento del problema</w:t>
          </w:r>
          <w:r>
            <w:rPr>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1.3 Estructura del trabajo</w:t>
          </w:r>
          <w:r>
            <w:rPr>
              <w:color w:val="000000"/>
            </w:rPr>
            <w:tab/>
          </w:r>
        </w:p>
        <w:p>
          <w:pPr>
            <w:widowControl w:val="0"/>
            <w:tabs>
              <w:tab w:val="right" w:leader="dot" w:pos="9061"/>
            </w:tabs>
            <w:spacing w:after="0" w:before="60" w:line="276" w:lineRule="auto"/>
            <w:jc w:val="left"/>
            <w:rPr>
              <w:b w:val="1"/>
              <w:bCs w:val="1"/>
              <w:color w:val="000000"/>
            </w:rPr>
          </w:pPr>
          <w:r>
            <w:rPr>
              <w:b w:val="1"/>
              <w:bCs w:val="1"/>
              <w:color w:val="000000"/>
            </w:rPr>
            <w:t xml:space="preserve">2 Contexto y estado del arte</w:t>
          </w:r>
          <w:r>
            <w:rPr>
              <w:b w:val="1"/>
              <w:bCs w:val="1"/>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2.1 Contexto del problema: las pymes y la brecha tecnológica cloud</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2.1.1 Barreras operativas y la complejidad del modelo DevOps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2.1.2 Abstracción como estrategia de solución</w:t>
          </w:r>
          <w:r>
            <w:rPr>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2.2 Estado del arte y base teórica</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2.2.1 Arquitecturas cloud-native y contenedores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2.2.2 Infraestructura como Código (IaC)</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2.2.3 Paradigma GitOps e Integración Continua en la Gestión de Infraestructura</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2.2.4 Paradigma de las plataformas de autoservicio (Internal Developer Platforms)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2.2.5 Observabilidad y monitoreo cloud</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2.2.6 Barreras de Ciberseguridad e Incorporación de Controles por Defecto en PYMEs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2.2.7 Seguridad en el aprovisionamiento (DevSecOps)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2.2.8 Conclusiones del estado del arte</w:t>
          </w:r>
          <w:r>
            <w:rPr>
              <w:color w:val="000000"/>
            </w:rPr>
            <w:tab/>
          </w:r>
        </w:p>
        <w:p>
          <w:pPr>
            <w:widowControl w:val="0"/>
            <w:tabs>
              <w:tab w:val="right" w:leader="dot" w:pos="9061"/>
            </w:tabs>
            <w:spacing w:after="0" w:before="60" w:line="276" w:lineRule="auto"/>
            <w:jc w:val="left"/>
            <w:rPr>
              <w:b w:val="1"/>
              <w:bCs w:val="1"/>
              <w:color w:val="000000"/>
            </w:rPr>
          </w:pPr>
          <w:r>
            <w:rPr>
              <w:b w:val="1"/>
              <w:bCs w:val="1"/>
              <w:color w:val="000000"/>
            </w:rPr>
            <w:t xml:space="preserve">3 Objetivos concretos y metodología de trabajo</w:t>
          </w:r>
          <w:r>
            <w:rPr>
              <w:b w:val="1"/>
              <w:bCs w:val="1"/>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3.1 Objetivo general</w:t>
          </w:r>
          <w:r>
            <w:rPr>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3.2 Objetivos específicos</w:t>
          </w:r>
          <w:r>
            <w:rPr>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3.3 Metodología del trabajo</w:t>
          </w:r>
          <w:r>
            <w:rPr>
              <w:color w:val="000000"/>
            </w:rPr>
            <w:tab/>
          </w:r>
        </w:p>
        <w:p>
          <w:pPr>
            <w:widowControl w:val="0"/>
            <w:tabs>
              <w:tab w:val="right" w:leader="dot" w:pos="9061"/>
            </w:tabs>
            <w:spacing w:after="0" w:before="60" w:line="276" w:lineRule="auto"/>
            <w:jc w:val="left"/>
            <w:rPr>
              <w:b w:val="1"/>
              <w:bCs w:val="1"/>
              <w:color w:val="000000"/>
            </w:rPr>
          </w:pPr>
          <w:r>
            <w:rPr>
              <w:b w:val="1"/>
              <w:bCs w:val="1"/>
              <w:color w:val="000000"/>
            </w:rPr>
            <w:t xml:space="preserve">4 Desarrollo específico de la contribución</w:t>
          </w:r>
          <w:r>
            <w:rPr>
              <w:b w:val="1"/>
              <w:bCs w:val="1"/>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4.1 Identificación de requisitos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4.1.1 Actores y contexto de uso</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4.1.2 Requisitos funcionales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4.1.3 Requisitos no funcionales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4.1.4 Tecnologías empleadas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4.1.5 Organización y seguimiento del desarrollo</w:t>
          </w:r>
          <w:r>
            <w:rPr>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4.2 Descripción del sistema software desarrollado</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4.2.1 Arquitectura general</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4.2.2 Decisiones de arquitectura</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4.2.3 API de orquestación</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4.2.4 Conexión con la cuenta de AWS del cliente</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4.2.5 Integración con GitHub</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4.2.6 Catálogo de plantillas y estimación de costes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4.2.7 Portal web</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4.2.8 Ciclo de vida de un despliegue</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4.2.9 Estado del desarrollo</w:t>
          </w:r>
          <w:r>
            <w:rPr>
              <w:color w:val="000000"/>
            </w:rPr>
            <w:tab/>
          </w:r>
        </w:p>
        <w:p>
          <w:pPr>
            <w:widowControl w:val="0"/>
            <w:tabs>
              <w:tab w:val="right" w:leader="dot" w:pos="9061"/>
            </w:tabs>
            <w:spacing w:after="0" w:before="60" w:line="276" w:lineRule="auto"/>
            <w:ind w:left="360" w:firstLine="0"/>
            <w:jc w:val="left"/>
            <w:rPr>
              <w:color w:val="000000"/>
            </w:rPr>
          </w:pPr>
          <w:r>
            <w:rPr>
              <w:color w:val="000000"/>
            </w:rPr>
            <w:t xml:space="preserve">4.3 Evaluación</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4.3.1 Pruebas automatizadas</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4.3.2 Validación funcional</w:t>
          </w:r>
          <w:r>
            <w:rPr>
              <w:color w:val="000000"/>
            </w:rPr>
            <w:tab/>
          </w:r>
        </w:p>
        <w:p>
          <w:pPr>
            <w:widowControl w:val="0"/>
            <w:tabs>
              <w:tab w:val="right" w:leader="dot" w:pos="9061"/>
            </w:tabs>
            <w:spacing w:after="0" w:before="60" w:line="276" w:lineRule="auto"/>
            <w:ind w:left="720" w:firstLine="0"/>
            <w:jc w:val="left"/>
            <w:rPr>
              <w:color w:val="000000"/>
            </w:rPr>
          </w:pPr>
          <w:r>
            <w:rPr>
              <w:color w:val="000000"/>
            </w:rPr>
            <w:t xml:space="preserve">4.3.3 Evaluación pendiente</w:t>
          </w:r>
          <w:r>
            <w:rPr>
              <w:color w:val="000000"/>
            </w:rPr>
            <w:tab/>
          </w:r>
          <w:r>
            <w:fldChar w:fldCharType="end"/>
          </w:r>
        </w:p>
      </w:sdtContent>
    </w:sdt>
    <w:p w:rsidR="00000000" w:rsidDel="00000000" w:rsidP="00000000" w:rsidRDefault="00000000" w:rsidRPr="00000000" w14:paraId="0000003A">
      <w:pPr>
        <w:pBdr>
          <w:top w:space="0" w:sz="0" w:val="nil"/>
          <w:left w:space="0" w:sz="0" w:val="nil"/>
          <w:bottom w:space="0" w:sz="0" w:val="nil"/>
          <w:right w:space="0" w:sz="0" w:val="nil"/>
          <w:between w:space="0" w:sz="0" w:val="nil"/>
        </w:pBdr>
        <w:tabs>
          <w:tab w:val="right" w:leader="none" w:pos="9060"/>
        </w:tabs>
        <w:rPr>
          <w:color w:val="0098cd"/>
          <w:sz w:val="36"/>
          <w:szCs w:val="36"/>
        </w:rPr>
      </w:pPr>
      <w:r w:rsidDel="00000000" w:rsidR="00000000" w:rsidRPr="00000000">
        <w:br w:type="page"/>
      </w:r>
      <w:r w:rsidDel="00000000" w:rsidR="00000000" w:rsidRPr="00000000">
        <w:rPr>
          <w:color w:val="0098cd"/>
          <w:sz w:val="36"/>
          <w:szCs w:val="36"/>
          <w:rtl w:val="0"/>
        </w:rPr>
        <w:t xml:space="preserve">Índice de figuras </w:t>
      </w:r>
    </w:p>
    <w:sdt>
      <w:sdtPr>
        <w:id w:val="1478319765"/>
        <w:docPartObj>
          <w:docPartGallery w:val="Table of Contents"/>
          <w:docPartUnique w:val="1"/>
        </w:docPartObj>
      </w:sdtPr>
      <w:sdtContent>
        <w:p>
          <w:pPr>
            <w:widowControl w:val="0"/>
            <w:tabs>
              <w:tab w:val="right" w:leader="dot" w:pos="9061"/>
            </w:tabs>
            <w:spacing w:after="0" w:before="60" w:line="276" w:lineRule="auto"/>
            <w:jc w:val="left"/>
            <w:rPr>
              <w:color w:val="000000"/>
            </w:rPr>
          </w:pPr>
          <w:r>
            <w:fldChar w:fldCharType="begin"/>
          </w:r>
          <w:r>
            <w:instrText xml:space="preserve"> TOC \h \z \c "Figura" </w:instrText>
          </w:r>
          <w:r>
            <w:fldChar w:fldCharType="separate"/>
          </w:r>
          <w:r>
            <w:rPr>
              <w:color w:val="000000"/>
            </w:rPr>
            <w:t xml:space="preserve">Figura 1. Círculo vicioso de la gestión de infraestructura en PYMEs</w:t>
          </w:r>
          <w:r>
            <w:rPr>
              <w:color w:val="000000"/>
            </w:rPr>
            <w:tab/>
          </w:r>
        </w:p>
        <w:p>
          <w:pPr>
            <w:widowControl w:val="0"/>
            <w:tabs>
              <w:tab w:val="right" w:leader="dot" w:pos="9061"/>
            </w:tabs>
            <w:spacing w:after="0" w:before="60" w:line="276" w:lineRule="auto"/>
            <w:jc w:val="left"/>
            <w:rPr>
              <w:color w:val="000000"/>
            </w:rPr>
          </w:pPr>
          <w:r>
            <w:rPr>
              <w:color w:val="000000"/>
            </w:rPr>
            <w:t xml:space="preserve">Figura 2. Comparativa conceptual de orquestación: Kubernetes vs. AWS ECS/EC2</w:t>
          </w:r>
          <w:r>
            <w:rPr>
              <w:color w:val="000000"/>
            </w:rPr>
            <w:tab/>
          </w:r>
          <w:r>
            <w:fldChar w:fldCharType="end"/>
          </w:r>
        </w:p>
      </w:sdtContent>
    </w:sdt>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right" w:leader="none" w:pos="9060"/>
        </w:tabs>
        <w:rPr/>
      </w:pP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right" w:leader="none" w:pos="9060"/>
        </w:tabs>
        <w:rPr/>
      </w:pPr>
      <w:r w:rsidDel="00000000" w:rsidR="00000000" w:rsidRPr="00000000">
        <w:br w:type="page"/>
      </w:r>
      <w:r w:rsidDel="00000000" w:rsidR="00000000" w:rsidRPr="00000000">
        <w:rPr>
          <w:rtl w:val="0"/>
        </w:rPr>
      </w:r>
    </w:p>
    <w:p w:rsidR="00000000" w:rsidDel="00000000" w:rsidP="00000000" w:rsidRDefault="00000000" w:rsidRPr="00000000" w14:paraId="00000044">
      <w:pPr>
        <w:rPr>
          <w:color w:val="0098cd"/>
          <w:sz w:val="36"/>
          <w:szCs w:val="36"/>
        </w:rPr>
      </w:pPr>
      <w:r w:rsidDel="00000000" w:rsidR="00000000" w:rsidRPr="00000000">
        <w:rPr>
          <w:color w:val="0098cd"/>
          <w:sz w:val="36"/>
          <w:szCs w:val="36"/>
          <w:rtl w:val="0"/>
        </w:rPr>
        <w:t xml:space="preserve">Índice de tablas</w:t>
      </w:r>
    </w:p>
    <w:sdt>
      <w:sdtPr>
        <w:id w:val="1069238867"/>
        <w:docPartObj>
          <w:docPartGallery w:val="Table of Contents"/>
          <w:docPartUnique w:val="1"/>
        </w:docPartObj>
      </w:sdtPr>
      <w:sdtContent>
        <w:p>
          <w:pPr>
            <w:widowControl w:val="0"/>
            <w:tabs>
              <w:tab w:val="right" w:leader="dot" w:pos="9061"/>
            </w:tabs>
            <w:spacing w:after="0" w:before="60" w:line="276" w:lineRule="auto"/>
            <w:jc w:val="left"/>
            <w:rPr>
              <w:color w:val="000000"/>
            </w:rPr>
          </w:pPr>
          <w:r>
            <w:fldChar w:fldCharType="begin"/>
          </w:r>
          <w:r>
            <w:instrText xml:space="preserve"> TOC \h \z \c "Tabla" </w:instrText>
          </w:r>
          <w:r>
            <w:fldChar w:fldCharType="separate"/>
          </w:r>
          <w:r>
            <w:rPr>
              <w:color w:val="000000"/>
            </w:rPr>
            <w:t xml:space="preserve">Tabla 1. Organización del trabajo en grupo.</w:t>
          </w:r>
          <w:r>
            <w:rPr>
              <w:color w:val="000000"/>
            </w:rPr>
            <w:tab/>
          </w:r>
        </w:p>
        <w:p>
          <w:pPr>
            <w:widowControl w:val="0"/>
            <w:tabs>
              <w:tab w:val="right" w:leader="dot" w:pos="9061"/>
            </w:tabs>
            <w:spacing w:after="0" w:before="60" w:line="276" w:lineRule="auto"/>
            <w:jc w:val="left"/>
            <w:rPr>
              <w:color w:val="000000"/>
            </w:rPr>
          </w:pPr>
          <w:r>
            <w:rPr>
              <w:color w:val="000000"/>
            </w:rPr>
            <w:t xml:space="preserve">Tabla 2. Análisis cualitativo del problema de infraestructura en PYMEs vs. Enfoque de Autoservicio.</w:t>
          </w:r>
          <w:r>
            <w:rPr>
              <w:color w:val="000000"/>
            </w:rPr>
            <w:tab/>
          </w:r>
        </w:p>
        <w:p>
          <w:pPr>
            <w:widowControl w:val="0"/>
            <w:tabs>
              <w:tab w:val="right" w:leader="dot" w:pos="9061"/>
            </w:tabs>
            <w:spacing w:after="0" w:before="60" w:line="276" w:lineRule="auto"/>
            <w:jc w:val="left"/>
            <w:rPr>
              <w:color w:val="000000"/>
            </w:rPr>
          </w:pPr>
          <w:r>
            <w:rPr>
              <w:color w:val="000000"/>
            </w:rPr>
            <w:t xml:space="preserve">Tabla 3. Comparativa de herramientas de Infraestructura como Código.</w:t>
          </w:r>
          <w:r>
            <w:rPr>
              <w:color w:val="000000"/>
            </w:rPr>
            <w:tab/>
          </w:r>
        </w:p>
        <w:p>
          <w:pPr>
            <w:widowControl w:val="0"/>
            <w:tabs>
              <w:tab w:val="right" w:leader="dot" w:pos="9061"/>
            </w:tabs>
            <w:spacing w:after="0" w:before="60" w:line="276" w:lineRule="auto"/>
            <w:jc w:val="left"/>
            <w:rPr>
              <w:color w:val="000000"/>
            </w:rPr>
          </w:pPr>
          <w:r>
            <w:rPr>
              <w:color w:val="000000"/>
            </w:rPr>
            <w:t xml:space="preserve">Tabla 4. Mecanismos de seguridad implementados en la plataforma.</w:t>
          </w:r>
          <w:r>
            <w:rPr>
              <w:color w:val="000000"/>
            </w:rPr>
            <w:tab/>
          </w:r>
        </w:p>
        <w:p>
          <w:pPr>
            <w:widowControl w:val="0"/>
            <w:tabs>
              <w:tab w:val="right" w:leader="dot" w:pos="9061"/>
            </w:tabs>
            <w:spacing w:after="0" w:before="60" w:line="276" w:lineRule="auto"/>
            <w:jc w:val="left"/>
            <w:rPr>
              <w:color w:val="000000"/>
            </w:rPr>
          </w:pPr>
          <w:r>
            <w:rPr>
              <w:color w:val="000000"/>
            </w:rPr>
            <w:t xml:space="preserve">Tabla 5. Requisitos funcionales de la plataforma.</w:t>
          </w:r>
          <w:r>
            <w:rPr>
              <w:color w:val="000000"/>
            </w:rPr>
            <w:tab/>
          </w:r>
        </w:p>
        <w:p>
          <w:pPr>
            <w:widowControl w:val="0"/>
            <w:tabs>
              <w:tab w:val="right" w:leader="dot" w:pos="9061"/>
            </w:tabs>
            <w:spacing w:after="0" w:before="60" w:line="276" w:lineRule="auto"/>
            <w:jc w:val="left"/>
            <w:rPr>
              <w:color w:val="000000"/>
            </w:rPr>
          </w:pPr>
          <w:r>
            <w:rPr>
              <w:color w:val="000000"/>
            </w:rPr>
            <w:t xml:space="preserve">Tabla 6. Requisitos no funcionales y cómo se abordan.</w:t>
          </w:r>
          <w:r>
            <w:rPr>
              <w:color w:val="000000"/>
            </w:rPr>
            <w:tab/>
          </w:r>
        </w:p>
        <w:p>
          <w:pPr>
            <w:widowControl w:val="0"/>
            <w:tabs>
              <w:tab w:val="right" w:leader="dot" w:pos="9061"/>
            </w:tabs>
            <w:spacing w:after="0" w:before="60" w:line="276" w:lineRule="auto"/>
            <w:jc w:val="left"/>
            <w:rPr>
              <w:color w:val="000000"/>
            </w:rPr>
          </w:pPr>
          <w:r>
            <w:rPr>
              <w:color w:val="000000"/>
            </w:rPr>
            <w:t xml:space="preserve">Tabla 7. Tecnologías empleadas en la plataforma.</w:t>
          </w:r>
          <w:r>
            <w:rPr>
              <w:color w:val="000000"/>
            </w:rPr>
            <w:tab/>
          </w:r>
        </w:p>
        <w:p>
          <w:pPr>
            <w:widowControl w:val="0"/>
            <w:tabs>
              <w:tab w:val="right" w:leader="dot" w:pos="9061"/>
            </w:tabs>
            <w:spacing w:after="0" w:before="60" w:line="276" w:lineRule="auto"/>
            <w:jc w:val="left"/>
            <w:rPr>
              <w:color w:val="000000"/>
            </w:rPr>
          </w:pPr>
          <w:r>
            <w:rPr>
              <w:color w:val="000000"/>
            </w:rPr>
            <w:t xml:space="preserve">Tabla 8. Decisiones de arquitectura y alternativas consideradas.</w:t>
          </w:r>
          <w:r>
            <w:rPr>
              <w:color w:val="000000"/>
            </w:rPr>
            <w:tab/>
          </w:r>
        </w:p>
        <w:p>
          <w:pPr>
            <w:widowControl w:val="0"/>
            <w:tabs>
              <w:tab w:val="right" w:leader="dot" w:pos="9061"/>
            </w:tabs>
            <w:spacing w:after="0" w:before="60" w:line="276" w:lineRule="auto"/>
            <w:jc w:val="left"/>
            <w:rPr>
              <w:color w:val="000000"/>
            </w:rPr>
          </w:pPr>
          <w:r>
            <w:rPr>
              <w:color w:val="000000"/>
            </w:rPr>
            <w:t xml:space="preserve">Tabla 9. Rutas principales de la API REST.</w:t>
          </w:r>
          <w:r>
            <w:rPr>
              <w:color w:val="000000"/>
            </w:rPr>
            <w:tab/>
          </w:r>
        </w:p>
        <w:p>
          <w:pPr>
            <w:widowControl w:val="0"/>
            <w:tabs>
              <w:tab w:val="right" w:leader="dot" w:pos="9061"/>
            </w:tabs>
            <w:spacing w:after="0" w:before="60" w:line="276" w:lineRule="auto"/>
            <w:jc w:val="left"/>
            <w:rPr>
              <w:color w:val="000000"/>
            </w:rPr>
          </w:pPr>
          <w:r>
            <w:rPr>
              <w:color w:val="000000"/>
            </w:rPr>
            <w:t xml:space="preserve">Tabla 10. Plantillas del catálogo y componentes opcionales.</w:t>
          </w:r>
          <w:r>
            <w:rPr>
              <w:color w:val="000000"/>
            </w:rPr>
            <w:tab/>
          </w:r>
        </w:p>
        <w:p>
          <w:pPr>
            <w:widowControl w:val="0"/>
            <w:tabs>
              <w:tab w:val="right" w:leader="dot" w:pos="9061"/>
            </w:tabs>
            <w:spacing w:after="0" w:before="60" w:line="276" w:lineRule="auto"/>
            <w:jc w:val="left"/>
            <w:rPr>
              <w:color w:val="000000"/>
            </w:rPr>
          </w:pPr>
          <w:r>
            <w:rPr>
              <w:color w:val="000000"/>
            </w:rPr>
            <w:t xml:space="preserve">Tabla 11. Estado de los componentes de la plataforma.</w:t>
          </w:r>
          <w:r>
            <w:rPr>
              <w:color w:val="000000"/>
            </w:rPr>
            <w:tab/>
          </w:r>
        </w:p>
        <w:p>
          <w:pPr>
            <w:widowControl w:val="0"/>
            <w:tabs>
              <w:tab w:val="right" w:leader="dot" w:pos="9061"/>
            </w:tabs>
            <w:spacing w:after="0" w:before="60" w:line="276" w:lineRule="auto"/>
            <w:jc w:val="left"/>
            <w:rPr>
              <w:color w:val="000000"/>
            </w:rPr>
          </w:pPr>
          <w:r>
            <w:rPr>
              <w:color w:val="000000"/>
            </w:rPr>
            <w:t xml:space="preserve">Tabla 12. Resultado de las pruebas automatizadas.</w:t>
          </w:r>
          <w:r>
            <w:rPr>
              <w:color w:val="000000"/>
            </w:rPr>
            <w:tab/>
          </w:r>
          <w:r>
            <w:fldChar w:fldCharType="end"/>
          </w:r>
        </w:p>
      </w:sdtContent>
    </w:sdt>
    <w:p w:rsidR="00000000" w:rsidDel="00000000" w:rsidP="00000000" w:rsidRDefault="00000000" w:rsidRPr="00000000" w14:paraId="00000049">
      <w:pPr>
        <w:spacing w:after="0" w:before="0" w:line="240" w:lineRule="auto"/>
        <w:jc w:val="left"/>
        <w:rPr/>
      </w:pPr>
      <w:r w:rsidDel="00000000" w:rsidR="00000000" w:rsidRPr="00000000">
        <w:rPr>
          <w:rtl w:val="0"/>
        </w:rPr>
      </w:r>
    </w:p>
    <w:p w:rsidR="00000000" w:rsidDel="00000000" w:rsidP="00000000" w:rsidRDefault="00000000" w:rsidRPr="00000000" w14:paraId="0000004A">
      <w:pPr>
        <w:spacing w:after="0" w:before="0" w:line="240" w:lineRule="auto"/>
        <w:jc w:val="left"/>
        <w:rPr/>
      </w:pPr>
      <w:r w:rsidDel="00000000" w:rsidR="00000000" w:rsidRPr="00000000">
        <w:rPr>
          <w:rtl w:val="0"/>
        </w:rPr>
      </w:r>
    </w:p>
    <w:p w:rsidR="00000000" w:rsidDel="00000000" w:rsidP="00000000" w:rsidRDefault="00000000" w:rsidRPr="00000000" w14:paraId="0000004B">
      <w:pPr>
        <w:spacing w:after="0" w:before="0" w:line="240" w:lineRule="auto"/>
        <w:jc w:val="left"/>
        <w:rPr/>
      </w:pPr>
      <w:r w:rsidDel="00000000" w:rsidR="00000000" w:rsidRPr="00000000">
        <w:rPr>
          <w:rtl w:val="0"/>
        </w:rPr>
      </w:r>
    </w:p>
    <w:p w:rsidR="00000000" w:rsidDel="00000000" w:rsidP="00000000" w:rsidRDefault="00000000" w:rsidRPr="00000000" w14:paraId="0000004C">
      <w:pPr>
        <w:spacing w:after="0" w:before="0" w:line="240" w:lineRule="auto"/>
        <w:jc w:val="left"/>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tabs>
          <w:tab w:val="right" w:leader="none" w:pos="9060"/>
        </w:tabs>
        <w:rPr/>
      </w:pPr>
      <w:r w:rsidDel="00000000" w:rsidR="00000000" w:rsidRPr="00000000">
        <w:br w:type="page"/>
      </w:r>
      <w:r w:rsidDel="00000000" w:rsidR="00000000" w:rsidRPr="00000000">
        <w:rPr>
          <w:rtl w:val="0"/>
        </w:rPr>
      </w:r>
    </w:p>
    <w:p w:rsidR="00000000" w:rsidDel="00000000" w:rsidP="00000000" w:rsidRDefault="00000000" w:rsidRPr="00000000" w14:paraId="0000004E">
      <w:pPr>
        <w:rPr>
          <w:color w:val="0098cd"/>
          <w:sz w:val="36"/>
          <w:szCs w:val="36"/>
        </w:rPr>
      </w:pPr>
      <w:r w:rsidDel="00000000" w:rsidR="00000000" w:rsidRPr="00000000">
        <w:rPr>
          <w:color w:val="0098cd"/>
          <w:sz w:val="36"/>
          <w:szCs w:val="36"/>
          <w:rtl w:val="0"/>
        </w:rPr>
        <w:t xml:space="preserve">Organización del trabajo en grupo</w:t>
      </w:r>
    </w:p>
    <w:p w:rsidR="00000000" w:rsidDel="00000000" w:rsidP="00000000" w:rsidRDefault="00000000" w:rsidRPr="00000000" w14:paraId="0000004F">
      <w:pPr>
        <w:rPr/>
      </w:pPr>
      <w:r w:rsidDel="00000000" w:rsidR="00000000" w:rsidRPr="00000000">
        <w:rPr>
          <w:rtl w:val="0"/>
        </w:rPr>
        <w:t xml:space="preserve">El presente Trabajo Fin de Estudio (TFE) ha sido elaborado de manera conjunta por los estudiantes Elkin Fabian Marmolejo Rodríguez y Juan Daniel Ortiz Ceballos, bajo la dirección de Javier Bermejo Higuera.</w:t>
      </w:r>
    </w:p>
    <w:p w:rsidR="00000000" w:rsidDel="00000000" w:rsidP="00000000" w:rsidRDefault="00000000" w:rsidRPr="00000000" w14:paraId="00000050">
      <w:pPr>
        <w:rPr/>
      </w:pPr>
      <w:r w:rsidDel="00000000" w:rsidR="00000000" w:rsidRPr="00000000">
        <w:rPr>
          <w:rtl w:val="0"/>
        </w:rPr>
        <w:t xml:space="preserve">Dada la naturaleza práctica del proyecto enfocada en el diseño e implementación de una plataforma de autoservicio cloud para la gestión automatizada de infraestructura en PYMEs, el trabajo se ha dividido de forma equitativa en bloques funcionales y técnicos que, por su complejidad, alcance e impacto técnico, representan aportes individuales sustanciales, mientras que la fundamentación teórica, la planificación y la evaluación final se abordan de manera compartida.</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color w:val="0098cd"/>
          <w:sz w:val="28"/>
          <w:szCs w:val="28"/>
        </w:rPr>
      </w:pPr>
      <w:r w:rsidDel="00000000" w:rsidR="00000000" w:rsidRPr="00000000">
        <w:rPr>
          <w:color w:val="0098cd"/>
          <w:sz w:val="28"/>
          <w:szCs w:val="28"/>
          <w:rtl w:val="0"/>
        </w:rPr>
        <w:t xml:space="preserve">Partes que aborda el TFE</w:t>
      </w:r>
    </w:p>
    <w:p w:rsidR="00000000" w:rsidDel="00000000" w:rsidP="00000000" w:rsidRDefault="00000000" w:rsidRPr="00000000" w14:paraId="00000053">
      <w:pPr>
        <w:rPr/>
      </w:pPr>
      <w:r w:rsidDel="00000000" w:rsidR="00000000" w:rsidRPr="00000000">
        <w:rPr>
          <w:rtl w:val="0"/>
        </w:rPr>
        <w:t xml:space="preserve">Para garantizar que cada estudiante asuma la responsabilidad completa sobre un componente técnico de relevancia suficiente para constituir un TFE por sí mismo, la contribución práctica (Capítulo 4) se ha estructurado en los siguientes módulos y responsabilidades:</w:t>
      </w:r>
    </w:p>
    <w:p w:rsidR="00000000" w:rsidDel="00000000" w:rsidP="00000000" w:rsidRDefault="00000000" w:rsidRPr="00000000" w14:paraId="00000054">
      <w:pPr>
        <w:numPr>
          <w:ilvl w:val="0"/>
          <w:numId w:val="2"/>
        </w:numPr>
        <w:ind w:left="720" w:hanging="360"/>
        <w:rPr/>
      </w:pPr>
      <w:r w:rsidDel="00000000" w:rsidR="00000000" w:rsidRPr="00000000">
        <w:rPr>
          <w:rtl w:val="0"/>
        </w:rPr>
        <w:t xml:space="preserve">Módulo de Automatización de Infraestructura como Código (IaC) y Orquestación Backend (Juan Daniel Ortiz Ceballos):</w:t>
      </w:r>
    </w:p>
    <w:p w:rsidR="00000000" w:rsidDel="00000000" w:rsidP="00000000" w:rsidRDefault="00000000" w:rsidRPr="00000000" w14:paraId="00000055">
      <w:pPr>
        <w:numPr>
          <w:ilvl w:val="1"/>
          <w:numId w:val="2"/>
        </w:numPr>
        <w:ind w:left="1440" w:hanging="360"/>
        <w:rPr/>
      </w:pPr>
      <w:r>
        <w:rPr/>
        <w:t xml:space="preserve">Objetivo: Diseñar y desarrollar el núcleo del aprovisionamiento automatizado mediante la construcción de plantillas modulares e idempotentes en Terraform (red VPC, grupo de Auto Scaling de EC2 detrás de un balanceador ALB y distribución del frontend con S3 y CloudFront) y la implementación de una API REST en Java/Spring Boot encargada de la ejecución, validación del archivo de estado (tfstate) y orquestación de dichas plantillas.</w:t>
      </w:r>
    </w:p>
    <w:p w:rsidR="00000000" w:rsidDel="00000000" w:rsidP="00000000" w:rsidRDefault="00000000" w:rsidRPr="00000000" w14:paraId="00000056">
      <w:pPr>
        <w:numPr>
          <w:ilvl w:val="0"/>
          <w:numId w:val="2"/>
        </w:numPr>
        <w:ind w:left="720" w:hanging="360"/>
        <w:rPr/>
      </w:pPr>
      <w:r w:rsidDel="00000000" w:rsidR="00000000" w:rsidRPr="00000000">
        <w:rPr>
          <w:rtl w:val="0"/>
        </w:rPr>
        <w:t xml:space="preserve">Módulo de Plataforma Web de Autoservicio Frontend e Integración de Observabilidad (Elkin Fabian Marmolejo Rodríguez):</w:t>
      </w:r>
    </w:p>
    <w:p w:rsidR="00000000" w:rsidDel="00000000" w:rsidP="00000000" w:rsidRDefault="00000000" w:rsidRPr="00000000" w14:paraId="00000057">
      <w:pPr>
        <w:numPr>
          <w:ilvl w:val="1"/>
          <w:numId w:val="2"/>
        </w:numPr>
        <w:ind w:left="1440" w:hanging="360"/>
        <w:rPr/>
      </w:pPr>
      <w:r>
        <w:rPr/>
        <w:t xml:space="preserve">Objetivo: Diseñar y desarrollar la interfaz web de autoservicio en Angular para la interacción intuitiva del usuario final con el catálogo de plantillas de infraestructura, integrando en paralelo la observabilidad de los entornos desplegados mediante los servicios nativos de AWS: Amazon CloudWatch (métricas, registros y alarmas), CloudWatch RUM (experiencia de los usuarios reales) y AWS X-Ray (trazas distribuidas).</w:t>
      </w:r>
    </w:p>
    <w:p w:rsidR="00000000" w:rsidDel="00000000" w:rsidP="00000000" w:rsidRDefault="00000000" w:rsidRPr="00000000" w14:paraId="00000058">
      <w:pPr>
        <w:numPr>
          <w:ilvl w:val="0"/>
          <w:numId w:val="2"/>
        </w:numPr>
        <w:ind w:left="720" w:hanging="360"/>
        <w:rPr/>
      </w:pPr>
      <w:r w:rsidDel="00000000" w:rsidR="00000000" w:rsidRPr="00000000">
        <w:rPr>
          <w:rtl w:val="0"/>
        </w:rPr>
        <w:t xml:space="preserve">Arquitectura Cloud-Native, Seguridad (DevSecOps) y Validación Funcional (Juan Daniel Ortiz Ceballos y Elkin Fabian Marmolejo Rodríguez):</w:t>
      </w:r>
    </w:p>
    <w:p w:rsidR="00000000" w:rsidDel="00000000" w:rsidP="00000000" w:rsidRDefault="00000000" w:rsidRPr="00000000" w14:paraId="00000059">
      <w:pPr>
        <w:numPr>
          <w:ilvl w:val="1"/>
          <w:numId w:val="2"/>
        </w:numPr>
        <w:ind w:left="1440" w:hanging="360"/>
        <w:rPr/>
      </w:pPr>
      <w:r w:rsidDel="00000000" w:rsidR="00000000" w:rsidRPr="00000000">
        <w:rPr>
          <w:rtl w:val="0"/>
        </w:rPr>
        <w:t xml:space="preserve">Objetivo: Diseñar conjuntamente la arquitectura del sistema cloud-native modular, implementar los controles transversales de seguridad desde el diseño (</w:t>
      </w:r>
      <w:r w:rsidDel="00000000" w:rsidR="00000000" w:rsidRPr="00000000">
        <w:rPr>
          <w:i w:val="1"/>
          <w:iCs w:val="1"/>
          <w:rtl w:val="0"/>
        </w:rPr>
        <w:t xml:space="preserve">Security by Design</w:t>
      </w:r>
      <w:r w:rsidDel="00000000" w:rsidR="00000000" w:rsidRPr="00000000">
        <w:rPr>
          <w:rtl w:val="0"/>
        </w:rPr>
        <w:t xml:space="preserve">, autenticación JWT, cifrado TLS y gestión de secretos en AWS Secrets Manager) y realizar la evaluación funcional de extremo a extremo mediante la simulación de un caso de uso representativo de una PYME.</w:t>
      </w:r>
    </w:p>
    <w:p w:rsidR="00000000" w:rsidDel="00000000" w:rsidP="00000000" w:rsidRDefault="00000000" w:rsidRPr="00000000" w14:paraId="0000005B">
      <w:pPr>
        <w:rPr>
          <w:sz w:val="22"/>
          <w:szCs w:val="22"/>
        </w:rPr>
      </w:pPr>
      <w:r w:rsidDel="00000000" w:rsidR="00000000" w:rsidRPr="00000000">
        <w:rPr>
          <w:rtl w:val="0"/>
        </w:rPr>
      </w:r>
    </w:p>
    <w:p w:rsidR="00000000" w:rsidDel="00000000" w:rsidP="00000000" w:rsidRDefault="00000000" w:rsidRPr="00000000" w14:paraId="0000005C">
      <w:pPr>
        <w:rPr>
          <w:color w:val="0098cd"/>
          <w:sz w:val="28"/>
          <w:szCs w:val="28"/>
        </w:rPr>
      </w:pPr>
      <w:r w:rsidDel="00000000" w:rsidR="00000000" w:rsidRPr="00000000">
        <w:rPr>
          <w:color w:val="0098cd"/>
          <w:sz w:val="28"/>
          <w:szCs w:val="28"/>
          <w:rtl w:val="0"/>
        </w:rPr>
        <w:t xml:space="preserve">Distribución y estructura de la memoria</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bookmarkStart w:colFirst="0" w:colLast="0" w:name="_heading=h.avcukv3t8q2u" w:id="2"/>
      <w:bookmarkEnd w:id="2"/>
      <w:r>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Tabla </w: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begin"/>
      </w:r>
      <w:r>
        <w:rPr>
          <w:rFonts w:ascii="Calibri" w:cs="Calibri" w:eastAsia="Calibri" w:hAnsi="Calibri"/>
          <w:b w:val="1"/>
          <w:bCs w:val="1"/>
          <w:i w:val="0"/>
          <w:iCs w:val="0"/>
          <w:smallCaps w:val="0"/>
          <w:strike w:val="0"/>
          <w:color w:val="000000"/>
          <w:sz w:val="24"/>
          <w:szCs w:val="24"/>
          <w:u w:val="none"/>
          <w:shd w:fill="auto" w:val="clear"/>
          <w:vertAlign w:val="baseline"/>
          <w:rtl w:val="0"/>
        </w:rPr>
        <w:instrText xml:space="preserve"> SEQ Tabla \* ARABIC </w:instrTex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separate"/>
      </w:r>
      <w:r>
        <w:rPr>
          <w:rFonts w:ascii="Calibri" w:cs="Calibri" w:eastAsia="Calibri" w:hAnsi="Calibri"/>
          <w:b w:val="1"/>
          <w:bCs w:val="1"/>
          <w:i w:val="0"/>
          <w:iCs w:val="0"/>
          <w:smallCaps w:val="0"/>
          <w:strike w:val="0"/>
          <w:color w:val="000000"/>
          <w:sz w:val="24"/>
          <w:szCs w:val="24"/>
          <w:u w:val="none"/>
          <w:shd w:fill="auto" w:val="clear"/>
          <w:vertAlign w:val="baseline"/>
          <w:rtl w:val="0"/>
        </w:rPr>
        <w:t>1</w: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end"/>
      </w:r>
      <w:r>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Organización del trabajo en grupo.</w:t>
      </w:r>
      <w:r w:rsidDel="00000000" w:rsidR="00000000" w:rsidRPr="00000000">
        <w:rPr>
          <w:rtl w:val="0"/>
        </w:rPr>
      </w:r>
    </w:p>
    <w:tbl>
      <w:tblPr>
        <w:tblStyle w:val="Table2"/>
        <w:tblW w:w="9061.0"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A0"/>
      </w:tblPr>
      <w:tblGrid>
        <w:gridCol w:w="5807"/>
        <w:gridCol w:w="3254"/>
        <w:tblGridChange w:id="0">
          <w:tblGrid>
            <w:gridCol w:w="5807"/>
            <w:gridCol w:w="3254"/>
          </w:tblGrid>
        </w:tblGridChange>
      </w:tblGrid>
      <w:tr>
        <w:trPr>
          <w:cantSplit w:val="0"/>
          <w:tblHeader w:val="0"/>
        </w:trPr>
        <w:tc>
          <w:tcPr>
            <w:gridSpan w:val="2"/>
            <w:vAlign w:val="center"/>
          </w:tcPr>
          <w:p w:rsidR="00000000" w:rsidDel="00000000" w:rsidP="00000000" w:rsidRDefault="00000000" w:rsidRPr="00000000" w14:paraId="0000005E">
            <w:pPr>
              <w:tabs>
                <w:tab w:val="right" w:leader="none" w:pos="9061"/>
              </w:tabs>
              <w:jc w:val="center"/>
              <w:rPr>
                <w:color w:val="000000"/>
                <w:sz w:val="20"/>
                <w:szCs w:val="20"/>
              </w:rPr>
            </w:pPr>
            <w:r w:rsidDel="00000000" w:rsidR="00000000" w:rsidRPr="00000000">
              <w:rPr>
                <w:b w:val="0"/>
                <w:bCs w:val="0"/>
                <w:color w:val="000000"/>
                <w:sz w:val="20"/>
                <w:szCs w:val="20"/>
                <w:rtl w:val="0"/>
              </w:rPr>
              <w:t xml:space="preserve">Organización del trabajo en grupo - Desarrollo de la memoria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0">
            <w:pPr>
              <w:tabs>
                <w:tab w:val="right" w:leader="none" w:pos="9061"/>
              </w:tabs>
              <w:jc w:val="center"/>
              <w:rPr>
                <w:sz w:val="20"/>
                <w:szCs w:val="20"/>
              </w:rPr>
            </w:pPr>
            <w:r w:rsidDel="00000000" w:rsidR="00000000" w:rsidRPr="00000000">
              <w:rPr>
                <w:b w:val="0"/>
                <w:bCs w:val="0"/>
                <w:sz w:val="20"/>
                <w:szCs w:val="20"/>
                <w:rtl w:val="0"/>
              </w:rPr>
              <w:t xml:space="preserve">Apartado de la memoria</w:t>
            </w:r>
            <w:r w:rsidDel="00000000" w:rsidR="00000000" w:rsidRPr="00000000">
              <w:rPr>
                <w:rtl w:val="0"/>
              </w:rPr>
            </w:r>
          </w:p>
        </w:tc>
        <w:tc>
          <w:tcPr>
            <w:vAlign w:val="center"/>
          </w:tcPr>
          <w:p w:rsidR="00000000" w:rsidDel="00000000" w:rsidP="00000000" w:rsidRDefault="00000000" w:rsidRPr="00000000" w14:paraId="00000061">
            <w:pPr>
              <w:tabs>
                <w:tab w:val="right" w:leader="none" w:pos="9061"/>
              </w:tabs>
              <w:jc w:val="center"/>
              <w:rPr>
                <w:b w:val="1"/>
                <w:bCs w:val="1"/>
                <w:sz w:val="20"/>
                <w:szCs w:val="20"/>
              </w:rPr>
            </w:pPr>
            <w:r w:rsidDel="00000000" w:rsidR="00000000" w:rsidRPr="00000000">
              <w:rPr>
                <w:b w:val="1"/>
                <w:bCs w:val="1"/>
                <w:sz w:val="20"/>
                <w:szCs w:val="20"/>
                <w:rtl w:val="0"/>
              </w:rPr>
              <w:t xml:space="preserve">Responsables</w:t>
            </w:r>
          </w:p>
        </w:tc>
      </w:tr>
      <w:tr>
        <w:trPr>
          <w:cantSplit w:val="0"/>
          <w:tblHeader w:val="0"/>
        </w:trPr>
        <w:tc>
          <w:tcPr>
            <w:vAlign w:val="center"/>
          </w:tcPr>
          <w:p w:rsidR="00000000" w:rsidDel="00000000" w:rsidP="00000000" w:rsidRDefault="00000000" w:rsidRPr="00000000" w14:paraId="00000062">
            <w:pPr>
              <w:tabs>
                <w:tab w:val="right" w:leader="none" w:pos="9061"/>
              </w:tabs>
              <w:jc w:val="left"/>
              <w:rPr>
                <w:sz w:val="20"/>
                <w:szCs w:val="20"/>
              </w:rPr>
            </w:pPr>
            <w:r w:rsidDel="00000000" w:rsidR="00000000" w:rsidRPr="00000000">
              <w:rPr>
                <w:b w:val="0"/>
                <w:bCs w:val="0"/>
                <w:sz w:val="20"/>
                <w:szCs w:val="20"/>
                <w:rtl w:val="0"/>
              </w:rPr>
              <w:t xml:space="preserve">Introducción</w:t>
            </w:r>
            <w:r w:rsidDel="00000000" w:rsidR="00000000" w:rsidRPr="00000000">
              <w:rPr>
                <w:rtl w:val="0"/>
              </w:rPr>
            </w:r>
          </w:p>
        </w:tc>
        <w:tc>
          <w:tcPr>
            <w:vAlign w:val="center"/>
          </w:tcPr>
          <w:p w:rsidR="00000000" w:rsidDel="00000000" w:rsidP="00000000" w:rsidRDefault="00000000" w:rsidRPr="00000000" w14:paraId="00000063">
            <w:pPr>
              <w:tabs>
                <w:tab w:val="right" w:leader="none" w:pos="9061"/>
              </w:tabs>
              <w:jc w:val="left"/>
              <w:rPr>
                <w:sz w:val="20"/>
                <w:szCs w:val="20"/>
              </w:rPr>
            </w:pPr>
            <w:r w:rsidDel="00000000" w:rsidR="00000000" w:rsidRPr="00000000">
              <w:rPr>
                <w:sz w:val="20"/>
                <w:szCs w:val="20"/>
                <w:rtl w:val="0"/>
              </w:rPr>
              <w:t xml:space="preserve">Juan Daniel Ortiz Ceballos, Elkin Fabian Marmolejo Rodríguez</w:t>
            </w:r>
          </w:p>
        </w:tc>
      </w:tr>
      <w:tr>
        <w:trPr>
          <w:cantSplit w:val="0"/>
          <w:tblHeader w:val="0"/>
        </w:trPr>
        <w:tc>
          <w:tcPr>
            <w:vAlign w:val="center"/>
          </w:tcPr>
          <w:p w:rsidR="00000000" w:rsidDel="00000000" w:rsidP="00000000" w:rsidRDefault="00000000" w:rsidRPr="00000000" w14:paraId="00000064">
            <w:pPr>
              <w:tabs>
                <w:tab w:val="right" w:leader="none" w:pos="9061"/>
              </w:tabs>
              <w:jc w:val="left"/>
              <w:rPr>
                <w:sz w:val="20"/>
                <w:szCs w:val="20"/>
              </w:rPr>
            </w:pPr>
            <w:r w:rsidDel="00000000" w:rsidR="00000000" w:rsidRPr="00000000">
              <w:rPr>
                <w:b w:val="0"/>
                <w:bCs w:val="0"/>
                <w:sz w:val="20"/>
                <w:szCs w:val="20"/>
                <w:rtl w:val="0"/>
              </w:rPr>
              <w:t xml:space="preserve">Contexto y estado del arte</w:t>
            </w:r>
            <w:r w:rsidDel="00000000" w:rsidR="00000000" w:rsidRPr="00000000">
              <w:rPr>
                <w:rtl w:val="0"/>
              </w:rPr>
            </w:r>
          </w:p>
        </w:tc>
        <w:tc>
          <w:tcPr>
            <w:vAlign w:val="center"/>
          </w:tcPr>
          <w:p w:rsidR="00000000" w:rsidDel="00000000" w:rsidP="00000000" w:rsidRDefault="00000000" w:rsidRPr="00000000" w14:paraId="00000065">
            <w:pPr>
              <w:tabs>
                <w:tab w:val="right" w:leader="none" w:pos="9061"/>
              </w:tabs>
              <w:jc w:val="left"/>
              <w:rPr>
                <w:b w:val="1"/>
                <w:bCs w:val="1"/>
                <w:sz w:val="20"/>
                <w:szCs w:val="20"/>
              </w:rPr>
            </w:pPr>
            <w:r w:rsidDel="00000000" w:rsidR="00000000" w:rsidRPr="00000000">
              <w:rPr>
                <w:sz w:val="20"/>
                <w:szCs w:val="20"/>
                <w:rtl w:val="0"/>
              </w:rPr>
              <w:t xml:space="preserve">Juan Daniel Ortiz Ceballos, Elkin Fabian Marmolejo Rodríguez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6">
            <w:pPr>
              <w:tabs>
                <w:tab w:val="right" w:leader="none" w:pos="9061"/>
              </w:tabs>
              <w:jc w:val="left"/>
              <w:rPr>
                <w:sz w:val="20"/>
                <w:szCs w:val="20"/>
              </w:rPr>
            </w:pPr>
            <w:r w:rsidDel="00000000" w:rsidR="00000000" w:rsidRPr="00000000">
              <w:rPr>
                <w:b w:val="0"/>
                <w:bCs w:val="0"/>
                <w:sz w:val="20"/>
                <w:szCs w:val="20"/>
                <w:rtl w:val="0"/>
              </w:rPr>
              <w:t xml:space="preserve">Objetivos y metodología de trabajo</w:t>
            </w:r>
            <w:r w:rsidDel="00000000" w:rsidR="00000000" w:rsidRPr="00000000">
              <w:rPr>
                <w:rtl w:val="0"/>
              </w:rPr>
            </w:r>
          </w:p>
        </w:tc>
        <w:tc>
          <w:tcPr>
            <w:vAlign w:val="center"/>
          </w:tcPr>
          <w:p w:rsidR="00000000" w:rsidDel="00000000" w:rsidP="00000000" w:rsidRDefault="00000000" w:rsidRPr="00000000" w14:paraId="00000067">
            <w:pPr>
              <w:tabs>
                <w:tab w:val="right" w:leader="none" w:pos="9061"/>
              </w:tabs>
              <w:jc w:val="left"/>
              <w:rPr>
                <w:b w:val="1"/>
                <w:bCs w:val="1"/>
                <w:sz w:val="20"/>
                <w:szCs w:val="20"/>
              </w:rPr>
            </w:pPr>
            <w:r w:rsidDel="00000000" w:rsidR="00000000" w:rsidRPr="00000000">
              <w:rPr>
                <w:sz w:val="20"/>
                <w:szCs w:val="20"/>
                <w:rtl w:val="0"/>
              </w:rPr>
              <w:t xml:space="preserve">Juan Daniel Ortiz Ceballos, Elkin Fabian Marmolejo Rodríguez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8">
            <w:pPr>
              <w:tabs>
                <w:tab w:val="right" w:leader="none" w:pos="9061"/>
              </w:tabs>
              <w:jc w:val="left"/>
              <w:rPr>
                <w:sz w:val="20"/>
                <w:szCs w:val="20"/>
              </w:rPr>
            </w:pPr>
            <w:r w:rsidDel="00000000" w:rsidR="00000000" w:rsidRPr="00000000">
              <w:rPr>
                <w:b w:val="0"/>
                <w:bCs w:val="0"/>
                <w:sz w:val="20"/>
                <w:szCs w:val="20"/>
                <w:rtl w:val="0"/>
              </w:rPr>
              <w:t xml:space="preserve">Diseño de la arquitectura cloud-native y esquema de seguridad.</w:t>
            </w:r>
            <w:r w:rsidDel="00000000" w:rsidR="00000000" w:rsidRPr="00000000">
              <w:rPr>
                <w:rtl w:val="0"/>
              </w:rPr>
            </w:r>
          </w:p>
        </w:tc>
        <w:tc>
          <w:tcPr>
            <w:vAlign w:val="center"/>
          </w:tcPr>
          <w:p w:rsidR="00000000" w:rsidDel="00000000" w:rsidP="00000000" w:rsidRDefault="00000000" w:rsidRPr="00000000" w14:paraId="00000069">
            <w:pPr>
              <w:tabs>
                <w:tab w:val="right" w:leader="none" w:pos="9061"/>
              </w:tabs>
              <w:jc w:val="left"/>
              <w:rPr>
                <w:b w:val="1"/>
                <w:bCs w:val="1"/>
                <w:sz w:val="20"/>
                <w:szCs w:val="20"/>
              </w:rPr>
            </w:pPr>
            <w:r w:rsidDel="00000000" w:rsidR="00000000" w:rsidRPr="00000000">
              <w:rPr>
                <w:sz w:val="20"/>
                <w:szCs w:val="20"/>
                <w:rtl w:val="0"/>
              </w:rPr>
              <w:t xml:space="preserve">Juan Daniel Ortiz Ceballos, Elkin Fabian Marmolejo Rodríguez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A">
            <w:pPr>
              <w:tabs>
                <w:tab w:val="right" w:leader="none" w:pos="9061"/>
              </w:tabs>
              <w:jc w:val="left"/>
              <w:rPr>
                <w:sz w:val="20"/>
                <w:szCs w:val="20"/>
              </w:rPr>
            </w:pPr>
            <w:r w:rsidDel="00000000" w:rsidR="00000000" w:rsidRPr="00000000">
              <w:rPr>
                <w:b w:val="0"/>
                <w:bCs w:val="0"/>
                <w:sz w:val="20"/>
                <w:szCs w:val="20"/>
                <w:rtl w:val="0"/>
              </w:rPr>
              <w:t xml:space="preserve">Desarrollo del backend de orquestación y plantillas de IaC (Terraform/Spring Boot)</w:t>
            </w:r>
            <w:r w:rsidDel="00000000" w:rsidR="00000000" w:rsidRPr="00000000">
              <w:rPr>
                <w:rtl w:val="0"/>
              </w:rPr>
            </w:r>
          </w:p>
        </w:tc>
        <w:tc>
          <w:tcPr>
            <w:vAlign w:val="center"/>
          </w:tcPr>
          <w:p w:rsidR="00000000" w:rsidDel="00000000" w:rsidP="00000000" w:rsidRDefault="00000000" w:rsidRPr="00000000" w14:paraId="0000006B">
            <w:pPr>
              <w:tabs>
                <w:tab w:val="right" w:leader="none" w:pos="9061"/>
              </w:tabs>
              <w:jc w:val="left"/>
              <w:rPr>
                <w:b w:val="1"/>
                <w:bCs w:val="1"/>
                <w:sz w:val="20"/>
                <w:szCs w:val="20"/>
              </w:rPr>
            </w:pPr>
            <w:r w:rsidDel="00000000" w:rsidR="00000000" w:rsidRPr="00000000">
              <w:rPr>
                <w:sz w:val="20"/>
                <w:szCs w:val="20"/>
                <w:rtl w:val="0"/>
              </w:rPr>
              <w:t xml:space="preserve">Juan Daniel Ortiz Ceballos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C">
            <w:pPr>
              <w:tabs>
                <w:tab w:val="right" w:leader="none" w:pos="9061"/>
              </w:tabs>
              <w:jc w:val="left"/>
              <w:rPr>
                <w:sz w:val="20"/>
                <w:szCs w:val="20"/>
              </w:rPr>
            </w:pPr>
            <w:r>
              <w:rPr>
                <w:sz w:val="20"/>
                <w:szCs w:val="20"/>
              </w:rPr>
              <w:t xml:space="preserve">Desarrollo del frontend de autoservicio (Angular) e integración de la observabilidad (Amazon CloudWatch y AWS X-Ray)</w:t>
            </w:r>
          </w:p>
        </w:tc>
        <w:tc>
          <w:tcPr>
            <w:vAlign w:val="center"/>
          </w:tcPr>
          <w:p w:rsidR="00000000" w:rsidDel="00000000" w:rsidP="00000000" w:rsidRDefault="00000000" w:rsidRPr="00000000" w14:paraId="0000006D">
            <w:pPr>
              <w:tabs>
                <w:tab w:val="right" w:leader="none" w:pos="9061"/>
              </w:tabs>
              <w:jc w:val="left"/>
              <w:rPr>
                <w:b w:val="1"/>
                <w:bCs w:val="1"/>
                <w:sz w:val="20"/>
                <w:szCs w:val="20"/>
              </w:rPr>
            </w:pPr>
            <w:r w:rsidDel="00000000" w:rsidR="00000000" w:rsidRPr="00000000">
              <w:rPr>
                <w:sz w:val="20"/>
                <w:szCs w:val="20"/>
                <w:rtl w:val="0"/>
              </w:rPr>
              <w:t xml:space="preserve">Elkin Fabian Marmolejo Rodríguez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E">
            <w:pPr>
              <w:tabs>
                <w:tab w:val="right" w:leader="none" w:pos="9061"/>
              </w:tabs>
              <w:jc w:val="left"/>
              <w:rPr>
                <w:sz w:val="20"/>
                <w:szCs w:val="20"/>
              </w:rPr>
            </w:pPr>
            <w:r w:rsidDel="00000000" w:rsidR="00000000" w:rsidRPr="00000000">
              <w:rPr>
                <w:b w:val="0"/>
                <w:bCs w:val="0"/>
                <w:sz w:val="20"/>
                <w:szCs w:val="20"/>
                <w:rtl w:val="0"/>
              </w:rPr>
              <w:t xml:space="preserve">Pruebas funcionales, validación del caso de uso en PYME y usabilidad</w:t>
            </w:r>
            <w:r w:rsidDel="00000000" w:rsidR="00000000" w:rsidRPr="00000000">
              <w:rPr>
                <w:rtl w:val="0"/>
              </w:rPr>
            </w:r>
          </w:p>
        </w:tc>
        <w:tc>
          <w:tcPr>
            <w:vAlign w:val="center"/>
          </w:tcPr>
          <w:p w:rsidR="00000000" w:rsidDel="00000000" w:rsidP="00000000" w:rsidRDefault="00000000" w:rsidRPr="00000000" w14:paraId="0000006F">
            <w:pPr>
              <w:tabs>
                <w:tab w:val="right" w:leader="none" w:pos="9061"/>
              </w:tabs>
              <w:jc w:val="left"/>
              <w:rPr>
                <w:b w:val="1"/>
                <w:bCs w:val="1"/>
                <w:sz w:val="20"/>
                <w:szCs w:val="20"/>
              </w:rPr>
            </w:pPr>
            <w:r w:rsidDel="00000000" w:rsidR="00000000" w:rsidRPr="00000000">
              <w:rPr>
                <w:sz w:val="20"/>
                <w:szCs w:val="20"/>
                <w:rtl w:val="0"/>
              </w:rPr>
              <w:t xml:space="preserve">Juan Daniel Ortiz Ceballos, Elkin Fabian Marmolejo Rodríguez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tabs>
                <w:tab w:val="right" w:leader="none" w:pos="9061"/>
              </w:tabs>
              <w:jc w:val="left"/>
              <w:rPr>
                <w:sz w:val="20"/>
                <w:szCs w:val="20"/>
              </w:rPr>
            </w:pPr>
            <w:r w:rsidDel="00000000" w:rsidR="00000000" w:rsidRPr="00000000">
              <w:rPr>
                <w:b w:val="0"/>
                <w:bCs w:val="0"/>
                <w:sz w:val="20"/>
                <w:szCs w:val="20"/>
                <w:rtl w:val="0"/>
              </w:rPr>
              <w:t xml:space="preserve">Conclusiones y trabajo futuro</w:t>
            </w:r>
            <w:r w:rsidDel="00000000" w:rsidR="00000000" w:rsidRPr="00000000">
              <w:rPr>
                <w:rtl w:val="0"/>
              </w:rPr>
            </w:r>
          </w:p>
        </w:tc>
        <w:tc>
          <w:tcPr>
            <w:vAlign w:val="center"/>
          </w:tcPr>
          <w:p w:rsidR="00000000" w:rsidDel="00000000" w:rsidP="00000000" w:rsidRDefault="00000000" w:rsidRPr="00000000" w14:paraId="00000071">
            <w:pPr>
              <w:tabs>
                <w:tab w:val="right" w:leader="none" w:pos="9061"/>
              </w:tabs>
              <w:jc w:val="left"/>
              <w:rPr>
                <w:b w:val="1"/>
                <w:bCs w:val="1"/>
                <w:sz w:val="20"/>
                <w:szCs w:val="20"/>
              </w:rPr>
            </w:pPr>
            <w:r w:rsidDel="00000000" w:rsidR="00000000" w:rsidRPr="00000000">
              <w:rPr>
                <w:sz w:val="20"/>
                <w:szCs w:val="20"/>
                <w:rtl w:val="0"/>
              </w:rPr>
              <w:t xml:space="preserve">Juan Daniel Ortiz Ceballos, Elkin Fabian Marmolejo Rodríguez</w:t>
            </w:r>
            <w:r w:rsidDel="00000000" w:rsidR="00000000" w:rsidRPr="00000000">
              <w:rPr>
                <w:rtl w:val="0"/>
              </w:rPr>
            </w:r>
          </w:p>
        </w:tc>
      </w:tr>
    </w:tbl>
    <w:p w:rsidR="00000000" w:rsidDel="00000000" w:rsidP="00000000" w:rsidRDefault="00000000" w:rsidRPr="00000000" w14:paraId="00000072">
      <w:pPr>
        <w:spacing w:after="0" w:line="276" w:lineRule="auto"/>
        <w:ind w:left="-113" w:right="-215" w:firstLine="0"/>
        <w:jc w:val="center"/>
        <w:rPr>
          <w:color w:val="595959"/>
          <w:sz w:val="19"/>
          <w:szCs w:val="19"/>
        </w:rPr>
      </w:pPr>
      <w:r w:rsidDel="00000000" w:rsidR="00000000" w:rsidRPr="00000000">
        <w:rPr>
          <w:color w:val="595959"/>
          <w:sz w:val="19"/>
          <w:szCs w:val="19"/>
          <w:rtl w:val="0"/>
        </w:rPr>
        <w:t xml:space="preserve">Fuente: Elaboración propia. </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color w:val="0098cd"/>
          <w:sz w:val="28"/>
          <w:szCs w:val="28"/>
          <w:rtl w:val="0"/>
        </w:rPr>
        <w:t xml:space="preserve">Objetivo del TFE desde el punto de vista de la adquisición de conocimientos</w:t>
      </w:r>
      <w:r w:rsidDel="00000000" w:rsidR="00000000" w:rsidRPr="00000000">
        <w:rPr>
          <w:rtl w:val="0"/>
        </w:rPr>
      </w:r>
    </w:p>
    <w:p w:rsidR="00000000" w:rsidDel="00000000" w:rsidP="00000000" w:rsidRDefault="00000000" w:rsidRPr="00000000" w14:paraId="00000075">
      <w:pPr>
        <w:rPr/>
      </w:pPr>
      <w:r>
        <w:rPr/>
        <w:t xml:space="preserve">Desde la perspectiva de la adquisición de competencias en ingeniería de software, este TFE integra disciplinas altamente especializadas —tales como la Infraestructura como Código (IaC), el desarrollo de servicios backend en Spring Boot, el desarrollo web en Angular, el despliegue de contenedores sobre cómputo elástico en AWS y la observabilidad cloud con Amazon CloudWatch y AWS X-Ray— que individualmente poseen el peso y la profundidad suficiente para constituir proyectos de titulación independientes.</w:t>
      </w:r>
    </w:p>
    <w:p w:rsidR="00000000" w:rsidDel="00000000" w:rsidP="00000000" w:rsidRDefault="00000000" w:rsidRPr="00000000" w14:paraId="00000076">
      <w:pPr>
        <w:rPr/>
      </w:pPr>
      <w:r w:rsidDel="00000000" w:rsidR="00000000" w:rsidRPr="00000000">
        <w:rPr>
          <w:rtl w:val="0"/>
        </w:rPr>
        <w:t xml:space="preserve">La naturaleza colaborativa del trabajo le otorga una visión holística y multidisciplinar al proyecto, permitiendo que ambos integrantes adquieran un dominio integral sobre todo el ciclo de vida del software (</w:t>
      </w:r>
      <w:r w:rsidDel="00000000" w:rsidR="00000000" w:rsidRPr="00000000">
        <w:rPr>
          <w:i w:val="1"/>
          <w:iCs w:val="1"/>
          <w:rtl w:val="0"/>
        </w:rPr>
        <w:t xml:space="preserve">End-to-End</w:t>
      </w:r>
      <w:r w:rsidDel="00000000" w:rsidR="00000000" w:rsidRPr="00000000">
        <w:rPr>
          <w:rtl w:val="0"/>
        </w:rPr>
        <w:t xml:space="preserve">), abarcando desde la capa de presentación hasta la automatización de la infraestructura cloud subyacente. Esta sinergia no solo eleva la calidad técnica del producto mínimo viable (MVP) resultante, sino que genera un activo tecnológico funcional y directamente aplicable en entornos profesionales reales y en la modernización de PYMEs.</w:t>
      </w:r>
    </w:p>
    <w:p w:rsidR="00000000" w:rsidDel="00000000" w:rsidP="00000000" w:rsidRDefault="00000000" w:rsidRPr="00000000" w14:paraId="00000077">
      <w:pPr>
        <w:rPr>
          <w:color w:val="0098cd"/>
          <w:sz w:val="28"/>
          <w:szCs w:val="28"/>
        </w:rPr>
      </w:pPr>
      <w:r w:rsidDel="00000000" w:rsidR="00000000" w:rsidRPr="00000000">
        <w:rPr>
          <w:rtl w:val="0"/>
        </w:rPr>
      </w:r>
    </w:p>
    <w:p w:rsidR="00000000" w:rsidDel="00000000" w:rsidP="00000000" w:rsidRDefault="00000000" w:rsidRPr="00000000" w14:paraId="00000078">
      <w:pPr>
        <w:rPr>
          <w:color w:val="0098cd"/>
          <w:sz w:val="28"/>
          <w:szCs w:val="28"/>
        </w:rPr>
      </w:pPr>
      <w:r w:rsidDel="00000000" w:rsidR="00000000" w:rsidRPr="00000000">
        <w:rPr>
          <w:color w:val="0098cd"/>
          <w:sz w:val="28"/>
          <w:szCs w:val="28"/>
          <w:rtl w:val="0"/>
        </w:rPr>
        <w:t xml:space="preserve">Mecanismos de coordinación empleados</w:t>
      </w:r>
    </w:p>
    <w:p w:rsidR="00000000" w:rsidDel="00000000" w:rsidP="00000000" w:rsidRDefault="00000000" w:rsidRPr="00000000" w14:paraId="00000079">
      <w:pPr>
        <w:tabs>
          <w:tab w:val="right" w:leader="none" w:pos="9060"/>
        </w:tabs>
        <w:rPr/>
      </w:pPr>
      <w:r w:rsidDel="00000000" w:rsidR="00000000" w:rsidRPr="00000000">
        <w:rPr>
          <w:rtl w:val="0"/>
        </w:rPr>
        <w:t xml:space="preserve">Para garantizar una colaboración eficiente, transparente y alineada con la dinámica de entornos de trabajo profesionales altamente distribuidos, se han establecido los siguientes mecanismos y herramientas de comunicación e ingeniería:</w:t>
      </w:r>
    </w:p>
    <w:p w:rsidR="00000000" w:rsidDel="00000000" w:rsidP="00000000" w:rsidRDefault="00000000" w:rsidRPr="00000000" w14:paraId="0000007A">
      <w:pPr>
        <w:numPr>
          <w:ilvl w:val="0"/>
          <w:numId w:val="3"/>
        </w:numPr>
        <w:tabs>
          <w:tab w:val="right" w:leader="none" w:pos="9060"/>
        </w:tabs>
        <w:ind w:left="720" w:hanging="360"/>
        <w:rPr/>
      </w:pPr>
      <w:r w:rsidDel="00000000" w:rsidR="00000000" w:rsidRPr="00000000">
        <w:rPr>
          <w:rtl w:val="0"/>
        </w:rPr>
        <w:t xml:space="preserve">Control de Versiones y Gestión del Código: Uso de GitHub como repositorio centralizado, adoptando el flujo de trabajo </w:t>
      </w:r>
      <w:r w:rsidDel="00000000" w:rsidR="00000000" w:rsidRPr="00000000">
        <w:rPr>
          <w:i w:val="1"/>
          <w:iCs w:val="1"/>
          <w:rtl w:val="0"/>
        </w:rPr>
        <w:t xml:space="preserve">GitHub Flow</w:t>
      </w:r>
      <w:r w:rsidDel="00000000" w:rsidR="00000000" w:rsidRPr="00000000">
        <w:rPr>
          <w:rtl w:val="0"/>
        </w:rPr>
        <w:t xml:space="preserve">. Se emplean ramas de desarrollo por módulo/funcionalidad (</w:t>
      </w:r>
      <w:r w:rsidDel="00000000" w:rsidR="00000000" w:rsidRPr="00000000">
        <w:rPr>
          <w:i w:val="1"/>
          <w:iCs w:val="1"/>
          <w:rtl w:val="0"/>
        </w:rPr>
        <w:t xml:space="preserve">feature branches</w:t>
      </w:r>
      <w:r w:rsidDel="00000000" w:rsidR="00000000" w:rsidRPr="00000000">
        <w:rPr>
          <w:rtl w:val="0"/>
        </w:rPr>
        <w:t xml:space="preserve">), requiriendo revisiones cruzadas de código (</w:t>
      </w:r>
      <w:r w:rsidDel="00000000" w:rsidR="00000000" w:rsidRPr="00000000">
        <w:rPr>
          <w:i w:val="1"/>
          <w:iCs w:val="1"/>
          <w:rtl w:val="0"/>
        </w:rPr>
        <w:t xml:space="preserve">pull requests</w:t>
      </w:r>
      <w:r w:rsidDel="00000000" w:rsidR="00000000" w:rsidRPr="00000000">
        <w:rPr>
          <w:rtl w:val="0"/>
        </w:rPr>
        <w:t xml:space="preserve">) entre ambos integrantes antes de fusionar los cambios a la rama principal (main).</w:t>
      </w:r>
    </w:p>
    <w:p w:rsidR="00000000" w:rsidDel="00000000" w:rsidP="00000000" w:rsidRDefault="00000000" w:rsidRPr="00000000" w14:paraId="0000007B">
      <w:pPr>
        <w:numPr>
          <w:ilvl w:val="0"/>
          <w:numId w:val="3"/>
        </w:numPr>
        <w:tabs>
          <w:tab w:val="right" w:leader="none" w:pos="9060"/>
        </w:tabs>
        <w:ind w:left="720" w:hanging="360"/>
        <w:rPr/>
      </w:pPr>
      <w:r w:rsidDel="00000000" w:rsidR="00000000" w:rsidRPr="00000000">
        <w:rPr>
          <w:rtl w:val="0"/>
        </w:rPr>
        <w:t xml:space="preserve">Integración Continua (CI/CD): Configuración de GitHub Actions para automatizar la ejecución de pruebas unitarias, análisis estático de código y validación de sintaxis en las plantillas de Terraform en cada entrega de código.</w:t>
      </w:r>
    </w:p>
    <w:p w:rsidR="00000000" w:rsidDel="00000000" w:rsidP="00000000" w:rsidRDefault="00000000" w:rsidRPr="00000000" w14:paraId="0000007C">
      <w:pPr>
        <w:numPr>
          <w:ilvl w:val="0"/>
          <w:numId w:val="3"/>
        </w:numPr>
        <w:tabs>
          <w:tab w:val="right" w:leader="none" w:pos="9060"/>
        </w:tabs>
        <w:ind w:left="720" w:hanging="360"/>
        <w:rPr/>
      </w:pPr>
      <w:r w:rsidDel="00000000" w:rsidR="00000000" w:rsidRPr="00000000">
        <w:rPr>
          <w:rtl w:val="0"/>
        </w:rPr>
        <w:t xml:space="preserve">Gestión Visual de Tareas y Backlog: Utilización de GitHub Projects (Kanban) para la organización y seguimiento de las actividades divididas en el </w:t>
      </w:r>
      <w:r w:rsidDel="00000000" w:rsidR="00000000" w:rsidRPr="00000000">
        <w:rPr>
          <w:i w:val="1"/>
          <w:iCs w:val="1"/>
          <w:rtl w:val="0"/>
        </w:rPr>
        <w:t xml:space="preserve">Product Backlog</w:t>
      </w:r>
      <w:r w:rsidDel="00000000" w:rsidR="00000000" w:rsidRPr="00000000">
        <w:rPr>
          <w:rtl w:val="0"/>
        </w:rPr>
        <w:t xml:space="preserve">. El tablero permite clasificar el avance de cada tarea (</w:t>
      </w:r>
      <w:r w:rsidDel="00000000" w:rsidR="00000000" w:rsidRPr="00000000">
        <w:rPr>
          <w:i w:val="1"/>
          <w:iCs w:val="1"/>
          <w:rtl w:val="0"/>
        </w:rPr>
        <w:t xml:space="preserve">Por hacer</w:t>
      </w:r>
      <w:r w:rsidDel="00000000" w:rsidR="00000000" w:rsidRPr="00000000">
        <w:rPr>
          <w:rtl w:val="0"/>
        </w:rPr>
        <w:t xml:space="preserve">, </w:t>
      </w:r>
      <w:r w:rsidDel="00000000" w:rsidR="00000000" w:rsidRPr="00000000">
        <w:rPr>
          <w:i w:val="1"/>
          <w:iCs w:val="1"/>
          <w:rtl w:val="0"/>
        </w:rPr>
        <w:t xml:space="preserve">En progreso</w:t>
      </w:r>
      <w:r w:rsidDel="00000000" w:rsidR="00000000" w:rsidRPr="00000000">
        <w:rPr>
          <w:rtl w:val="0"/>
        </w:rPr>
        <w:t xml:space="preserve">, </w:t>
      </w:r>
      <w:r w:rsidDel="00000000" w:rsidR="00000000" w:rsidRPr="00000000">
        <w:rPr>
          <w:i w:val="1"/>
          <w:iCs w:val="1"/>
          <w:rtl w:val="0"/>
        </w:rPr>
        <w:t xml:space="preserve">En revisión</w:t>
      </w:r>
      <w:r w:rsidDel="00000000" w:rsidR="00000000" w:rsidRPr="00000000">
        <w:rPr>
          <w:rtl w:val="0"/>
        </w:rPr>
        <w:t xml:space="preserve"> y </w:t>
      </w:r>
      <w:r w:rsidDel="00000000" w:rsidR="00000000" w:rsidRPr="00000000">
        <w:rPr>
          <w:i w:val="1"/>
          <w:iCs w:val="1"/>
          <w:rtl w:val="0"/>
        </w:rPr>
        <w:t xml:space="preserve">Completado</w:t>
      </w:r>
      <w:r w:rsidDel="00000000" w:rsidR="00000000" w:rsidRPr="00000000">
        <w:rPr>
          <w:rtl w:val="0"/>
        </w:rPr>
        <w:t xml:space="preserve">) y sincronizar el trabajo de cada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07D">
      <w:pPr>
        <w:numPr>
          <w:ilvl w:val="0"/>
          <w:numId w:val="3"/>
        </w:numPr>
        <w:tabs>
          <w:tab w:val="right" w:leader="none" w:pos="9060"/>
        </w:tabs>
        <w:ind w:left="720" w:hanging="360"/>
        <w:rPr/>
      </w:pPr>
      <w:r w:rsidDel="00000000" w:rsidR="00000000" w:rsidRPr="00000000">
        <w:rPr>
          <w:rtl w:val="0"/>
        </w:rPr>
        <w:t xml:space="preserve">Canales de Comunicación y Sincronización:</w:t>
      </w:r>
    </w:p>
    <w:p w:rsidR="00000000" w:rsidDel="00000000" w:rsidP="00000000" w:rsidRDefault="00000000" w:rsidRPr="00000000" w14:paraId="0000007E">
      <w:pPr>
        <w:numPr>
          <w:ilvl w:val="1"/>
          <w:numId w:val="3"/>
        </w:numPr>
        <w:tabs>
          <w:tab w:val="right" w:leader="none" w:pos="9060"/>
        </w:tabs>
        <w:ind w:left="1440" w:hanging="360"/>
        <w:rPr/>
      </w:pPr>
      <w:r w:rsidDel="00000000" w:rsidR="00000000" w:rsidRPr="00000000">
        <w:rPr>
          <w:rtl w:val="0"/>
        </w:rPr>
        <w:t xml:space="preserve">Sincronización Diaria/Periódica: Sincronizaciones cortas a través de Google Meet / WhatsApp para discutir avances del día, acordar interfaces REST/JSON y resolver bloqueos técnicos.</w:t>
      </w:r>
    </w:p>
    <w:p w:rsidR="00000000" w:rsidDel="00000000" w:rsidP="00000000" w:rsidRDefault="00000000" w:rsidRPr="00000000" w14:paraId="0000007F">
      <w:pPr>
        <w:numPr>
          <w:ilvl w:val="1"/>
          <w:numId w:val="3"/>
        </w:numPr>
        <w:tabs>
          <w:tab w:val="right" w:leader="none" w:pos="9060"/>
        </w:tabs>
        <w:ind w:left="1440" w:hanging="360"/>
        <w:rPr/>
      </w:pPr>
      <w:r w:rsidDel="00000000" w:rsidR="00000000" w:rsidRPr="00000000">
        <w:rPr>
          <w:rtl w:val="0"/>
        </w:rPr>
        <w:t xml:space="preserve">Planificación de Sprints (Sprint Planning &amp; Review): Reuniones quincenales al inicio y cierre de cada ciclo para definir el alcance de las iteraciones, evaluar el incremento de software desarrollado y revisar la redacción de la memoria.</w:t>
      </w:r>
    </w:p>
    <w:p w:rsidR="00000000" w:rsidDel="00000000" w:rsidP="00000000" w:rsidRDefault="00000000" w:rsidRPr="00000000" w14:paraId="00000080">
      <w:pPr>
        <w:numPr>
          <w:ilvl w:val="1"/>
          <w:numId w:val="3"/>
        </w:numPr>
        <w:tabs>
          <w:tab w:val="right" w:leader="none" w:pos="9060"/>
        </w:tabs>
        <w:ind w:left="1440" w:hanging="360"/>
        <w:rPr/>
      </w:pPr>
      <w:r w:rsidDel="00000000" w:rsidR="00000000" w:rsidRPr="00000000">
        <w:rPr>
          <w:rtl w:val="0"/>
        </w:rPr>
        <w:t xml:space="preserve">Seguimiento Docente: Sesiones periódicas de tutoría con el director del TFE, Javier Bermejo Higuera, para la validación de requerimientos, revisión de la memoria y orientación metodológica.</w:t>
      </w:r>
    </w:p>
    <w:p w:rsidR="00000000" w:rsidDel="00000000" w:rsidP="00000000" w:rsidRDefault="00000000" w:rsidRPr="00000000" w14:paraId="00000081">
      <w:pPr>
        <w:tabs>
          <w:tab w:val="right" w:leader="none" w:pos="9060"/>
        </w:tabs>
        <w:rPr/>
        <w:sectPr>
          <w:headerReference r:id="rId8" w:type="default"/>
          <w:footerReference r:id="rId9" w:type="default"/>
          <w:footerReference r:id="rId10" w:type="first"/>
          <w:pgSz w:h="16838" w:w="11906" w:orient="portrait"/>
          <w:pgMar w:bottom="1418" w:top="1418" w:left="1701" w:right="1134" w:header="709" w:footer="709"/>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82">
      <w:pPr>
        <w:pStyle w:val="Heading1"/>
        <w:numPr>
          <w:ilvl w:val="0"/>
          <w:numId w:val="9"/>
        </w:numPr>
        <w:ind w:left="432" w:hanging="432"/>
        <w:rPr/>
      </w:pPr>
      <w:bookmarkStart w:colFirst="0" w:colLast="0" w:name="_heading=h.yloij4aevycc" w:id="3"/>
      <w:bookmarkEnd w:id="3"/>
      <w:r w:rsidDel="00000000" w:rsidR="00000000" w:rsidRPr="00000000">
        <w:rPr>
          <w:rtl w:val="0"/>
        </w:rPr>
        <w:t xml:space="preserve">Introducción </w:t>
      </w:r>
    </w:p>
    <w:p w:rsidR="00000000" w:rsidDel="00000000" w:rsidP="00000000" w:rsidRDefault="00000000" w:rsidRPr="00000000" w14:paraId="00000083">
      <w:pPr>
        <w:rPr/>
      </w:pPr>
      <w:r w:rsidDel="00000000" w:rsidR="00000000" w:rsidRPr="00000000">
        <w:rPr>
          <w:rtl w:val="0"/>
        </w:rPr>
        <w:t xml:space="preserve">El auge de la transformación digital y la creciente adopción de tecnologías cloud son parte de las dinámicas que hoy atraviesan las organizaciones de cualquier tamaño, y que conducen a cambios profundos en la forma tradicional de gestionar la infraestructura tecnológica. Las empresas migran progresivamente de esquemas de aprovisionamiento manual hacia modelos automatizados que favorecen la escalabilidad y reducen el riesgo operativo asociado a configuraciones inconsistentes, además de ampliar las capacidades de monitoreo y observabilidad sobre sus sistemas. Este capítulo presenta el problema que motivó el presente trabajo, justifica su relevancia para las pequeñas y medianas empresas (PYMEs), plantea la necesidad concreta que se abordó y describe la estructura del resto del documento</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2"/>
        <w:numPr>
          <w:ilvl w:val="1"/>
          <w:numId w:val="9"/>
        </w:numPr>
        <w:ind w:left="576" w:hanging="576"/>
        <w:rPr/>
      </w:pPr>
      <w:bookmarkStart w:colFirst="0" w:colLast="0" w:name="_heading=h.ovkzsjex4tg1" w:id="4"/>
      <w:bookmarkEnd w:id="4"/>
      <w:r w:rsidDel="00000000" w:rsidR="00000000" w:rsidRPr="00000000">
        <w:rPr>
          <w:smallCaps w:val="1"/>
          <w:rtl w:val="0"/>
        </w:rPr>
        <w:t xml:space="preserve"> </w:t>
      </w:r>
      <w:r w:rsidDel="00000000" w:rsidR="00000000" w:rsidRPr="00000000">
        <w:rPr>
          <w:rtl w:val="0"/>
        </w:rPr>
        <w:t xml:space="preserve">Justificación</w:t>
      </w:r>
    </w:p>
    <w:p w:rsidR="00000000" w:rsidDel="00000000" w:rsidP="00000000" w:rsidRDefault="00000000" w:rsidRPr="00000000" w14:paraId="00000086">
      <w:pPr>
        <w:rPr/>
      </w:pPr>
      <w:r w:rsidDel="00000000" w:rsidR="00000000" w:rsidRPr="00000000">
        <w:rPr>
          <w:rtl w:val="0"/>
        </w:rPr>
        <w:t xml:space="preserve">Sin embargo, esta oportunidad no llega con la misma facilidad a todas las organizaciones. Mientras las grandes corporaciones cuentan con los recursos para aprovecharla con rapidez, las PYMEs de América Latina y el Caribe avanzan a un ritmo más lento, entre otras razones, por el limitado acceso a financiamiento y por marcos regulatorios que aún están en desarrollo </w:t>
      </w:r>
      <w:r w:rsidDel="00000000" w:rsidR="00000000" w:rsidRPr="00000000">
        <w:rPr>
          <w:color w:val="000000"/>
          <w:rtl w:val="0"/>
        </w:rPr>
        <w:t xml:space="preserve">(Hirs-Garzón &amp; Vargas, 2023) </w:t>
      </w: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Uno de los factores que más incide en esta brecha no es la falta de talento técnico disponible, sino el elevado costo que representa para una PYME sostener de forma permanente un equipo propio especializado en DevOps y arquitectura cloud. Contratar y retener este tipo de perfiles suele suponer una inversión difícil de justificar para organizaciones de menor tamaño, lo que con frecuencia las lleva a posponer la modernización de su infraestructura o a depender de procesos manuales de configuración y despliegue más lentos, menos escalables y más propensos a errores, incluso cuando existe la voluntad de adoptar buenas prácticas ya consolidadas en la industria, como la automatización mediante Infraestructura como Código </w:t>
      </w:r>
      <w:r w:rsidDel="00000000" w:rsidR="00000000" w:rsidRPr="00000000">
        <w:rPr>
          <w:color w:val="000000"/>
          <w:rtl w:val="0"/>
        </w:rPr>
        <w:t xml:space="preserve">(Kumara et al., 2021)</w:t>
      </w:r>
      <w:r w:rsidDel="00000000" w:rsidR="00000000" w:rsidRPr="00000000">
        <w:rPr>
          <w:rtl w:val="0"/>
        </w:rPr>
        <w:t xml:space="preserve"> o las arquitecturas cloud-native basadas en microservicios </w:t>
      </w:r>
      <w:r w:rsidDel="00000000" w:rsidR="00000000" w:rsidRPr="00000000">
        <w:rPr>
          <w:color w:val="000000"/>
          <w:rtl w:val="0"/>
        </w:rPr>
        <w:t xml:space="preserve">(Kratzke &amp; Quint, 2017)</w:t>
      </w:r>
      <w:r w:rsidDel="00000000" w:rsidR="00000000" w:rsidRPr="00000000">
        <w:rPr>
          <w:rtl w:val="0"/>
        </w:rPr>
        <w:t xml:space="preserve">. La experiencia de organizaciones donde, incluso contando con presupuesto y estructura, la adopción de DevOps ha resultado difícil de sostener en el tiempo </w:t>
      </w:r>
      <w:r w:rsidDel="00000000" w:rsidR="00000000" w:rsidRPr="00000000">
        <w:rPr>
          <w:color w:val="000000"/>
          <w:rtl w:val="0"/>
        </w:rPr>
        <w:t xml:space="preserve">(Jones et al., 2016)</w:t>
      </w:r>
      <w:r w:rsidDel="00000000" w:rsidR="00000000" w:rsidRPr="00000000">
        <w:rPr>
          <w:rtl w:val="0"/>
        </w:rPr>
        <w:t xml:space="preserve">, confirma que la dificultad no radica únicamente en el conocimiento técnico disponible en el mercado, sino en la capacidad de mantenerlo de forma continua dentro de la organización. </w:t>
      </w:r>
    </w:p>
    <w:p w:rsidR="00000000" w:rsidDel="00000000" w:rsidP="00000000" w:rsidRDefault="00000000" w:rsidRPr="00000000" w14:paraId="00000088">
      <w:pPr>
        <w:rPr/>
      </w:pPr>
      <w:r w:rsidDel="00000000" w:rsidR="00000000" w:rsidRPr="00000000">
        <w:rPr>
          <w:rtl w:val="0"/>
        </w:rPr>
        <w:t xml:space="preserve">Frente a este panorama, el presente trabajo desarrolló una plataforma de autoservicio cloud que trasladó a la PYME la complejidad técnica ya resuelta en plantillas preconfiguradas de Infraestructura como Código, de modo que el aprovisionamiento de infraestructura en AWS y su monitoreo básico dejaran de depender de la disponibilidad permanente de un equipo especializado propio. La lógica de democratizar e independizar el acceso a soluciones tecnológicas avanzadas en entornos con recursos limitados ya ha sido explorada en otros trabajos de este máster; un ejemplo es el monedero virtual con tecnología NFC «PayBluem», orientado a ofrecer a instituciones y usuarios no bancarizados una alternativa de pago digital sencilla, segura y accesible </w:t>
      </w:r>
      <w:r w:rsidDel="00000000" w:rsidR="00000000" w:rsidRPr="00000000">
        <w:rPr>
          <w:color w:val="000000"/>
          <w:rtl w:val="0"/>
        </w:rPr>
        <w:t xml:space="preserve">(Castro-Arana, 2023)</w:t>
      </w:r>
      <w:r w:rsidDel="00000000" w:rsidR="00000000" w:rsidRPr="00000000">
        <w:rPr>
          <w:rtl w:val="0"/>
        </w:rPr>
        <w:t xml:space="preserve">. De manera análoga, este trabajo busca que las PYMEs con recursos técnicos limitados puedan beneficiarse de la automatización, la escalabilidad y la observabilidad que ofrece la nube, sin necesidad de sostener un equipo DevOps propio.</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2"/>
        <w:numPr>
          <w:ilvl w:val="1"/>
          <w:numId w:val="9"/>
        </w:numPr>
        <w:ind w:left="576" w:hanging="576"/>
        <w:rPr/>
      </w:pPr>
      <w:bookmarkStart w:colFirst="0" w:colLast="0" w:name="_heading=h.5e9i66jlyqq4" w:id="5"/>
      <w:bookmarkEnd w:id="5"/>
      <w:r w:rsidDel="00000000" w:rsidR="00000000" w:rsidRPr="00000000">
        <w:rPr>
          <w:rtl w:val="0"/>
        </w:rPr>
        <w:t xml:space="preserve"> Planteamiento del problema</w:t>
      </w:r>
    </w:p>
    <w:p w:rsidR="00000000" w:rsidDel="00000000" w:rsidP="00000000" w:rsidRDefault="00000000" w:rsidRPr="00000000" w14:paraId="0000008B">
      <w:pPr>
        <w:rPr/>
      </w:pPr>
      <w:r w:rsidDel="00000000" w:rsidR="00000000" w:rsidRPr="00000000">
        <w:rPr>
          <w:rtl w:val="0"/>
        </w:rPr>
        <w:t xml:space="preserve">El problema que dio origen a este trabajo puede formularse del siguiente modo: las PYMEs carecen de mecanismos accesibles que les permitan aprovisionar y gestionar infraestructura cloud moderna en AWS sin depender de conocimientos avanzados en automatización, contenedores u observabilidad, lo que limita su capacidad de modernización tecnológica y de crecimiento.</w:t>
      </w:r>
    </w:p>
    <w:p w:rsidR="00000000" w:rsidDel="00000000" w:rsidP="00000000" w:rsidRDefault="00000000" w:rsidRPr="00000000" w14:paraId="0000008C">
      <w:pPr>
        <w:rPr/>
      </w:pPr>
      <w:r w:rsidDel="00000000" w:rsidR="00000000" w:rsidRPr="00000000">
        <w:rPr>
          <w:rtl w:val="0"/>
        </w:rPr>
        <w:t xml:space="preserve">Esta necesidad se abordó mediante una plataforma de autoservicio que trasladó a la PYME la complejidad técnica ya resuelta en plantillas de Infraestructura como Código, siguiendo los principios y buenas prácticas identificados en la literatura sobre IaC </w:t>
      </w:r>
      <w:r w:rsidDel="00000000" w:rsidR="00000000" w:rsidRPr="00000000">
        <w:rPr>
          <w:color w:val="000000"/>
          <w:rtl w:val="0"/>
        </w:rPr>
        <w:t xml:space="preserve">(Kumara et al., 2021; Morris, 2021)</w:t>
      </w:r>
      <w:r w:rsidDel="00000000" w:rsidR="00000000" w:rsidRPr="00000000">
        <w:rPr>
          <w:rtl w:val="0"/>
        </w:rPr>
        <w:t xml:space="preserve">. La propuesta se apoyó, además, en la incorporación de mecanismos básicos de observabilidad —métricas, trazas y registros (logs)— como los tres pilares que permiten comprender el estado interno de un sistema distribuido y detectar de forma temprana problemas de disponibilidad o rendimiento </w:t>
      </w:r>
      <w:r w:rsidDel="00000000" w:rsidR="00000000" w:rsidRPr="00000000">
        <w:rPr>
          <w:color w:val="000000"/>
          <w:rtl w:val="0"/>
        </w:rPr>
        <w:t xml:space="preserve">(Sridharan, 2018)</w:t>
      </w:r>
      <w:r w:rsidDel="00000000" w:rsidR="00000000" w:rsidRPr="00000000">
        <w:rPr>
          <w:rtl w:val="0"/>
        </w:rPr>
        <w:t xml:space="preserve">, de modo que la PYME no solo despliegue su infraestructura de forma automatizada, sino que también cuente con visibilidad operativa mínima sobre ella.</w:t>
      </w:r>
    </w:p>
    <w:p w:rsidR="00000000" w:rsidDel="00000000" w:rsidP="00000000" w:rsidRDefault="00000000" w:rsidRPr="00000000" w14:paraId="0000008D">
      <w:pPr>
        <w:rPr/>
      </w:pPr>
      <w:r w:rsidDel="00000000" w:rsidR="00000000" w:rsidRPr="00000000">
        <w:rPr>
          <w:rtl w:val="0"/>
        </w:rPr>
        <w:t xml:space="preserve">En este sentido, lo que se propuso y desarrolló fue una plataforma web de autoservicio cloud que automatizó el aprovisionamiento de infraestructura en AWS mediante plantillas preconfiguradas y que integró funcionalidades básicas de monitoreo, reduciendo así la complejidad técnica y los procesos manuales que hoy dificultan la adopción de infraestructura cloud moderna por parte de las PYMEs. El tema se enmarca directamente en la ingeniería de software y el desarrollo web, en consonancia con la titulación.</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Style w:val="Heading2"/>
        <w:numPr>
          <w:ilvl w:val="1"/>
          <w:numId w:val="9"/>
        </w:numPr>
        <w:ind w:left="576" w:hanging="576"/>
        <w:rPr/>
      </w:pPr>
      <w:bookmarkStart w:colFirst="0" w:colLast="0" w:name="_heading=h.n3zw77ovomx" w:id="6"/>
      <w:bookmarkEnd w:id="6"/>
      <w:r w:rsidDel="00000000" w:rsidR="00000000" w:rsidRPr="00000000">
        <w:rPr>
          <w:rtl w:val="0"/>
        </w:rPr>
        <w:t xml:space="preserve"> Estructura del trabajo</w:t>
      </w:r>
    </w:p>
    <w:p w:rsidR="00000000" w:rsidDel="00000000" w:rsidP="00000000" w:rsidRDefault="00000000" w:rsidRPr="00000000" w14:paraId="00000090">
      <w:pPr>
        <w:rPr/>
      </w:pPr>
      <w:r w:rsidDel="00000000" w:rsidR="00000000" w:rsidRPr="00000000">
        <w:rPr>
          <w:rtl w:val="0"/>
        </w:rPr>
        <w:t xml:space="preserve">El resto de este documento se organiza de la siguiente manera. El capítulo 2, «Contexto y estado del arte», profundiza en la literatura relacionada con la adopción de cloud computing en PYMEs, la automatización mediante Infraestructura como Código y las arquitecturas cloud-native, con el fin de fundamentar las decisiones de diseño adoptadas. El capítulo 3, «Objetivos concretos y metodología de trabajo», concreta el objetivo general y los objetivos específicos del proyecto, y describe la metodología incremental basada en un producto mínimo viable (MVP) que se siguió para alcanzarlos </w:t>
      </w:r>
      <w:r w:rsidDel="00000000" w:rsidR="00000000" w:rsidRPr="00000000">
        <w:rPr>
          <w:color w:val="000000"/>
          <w:rtl w:val="0"/>
        </w:rPr>
        <w:t xml:space="preserve">(Sridharan, 2018)</w:t>
      </w:r>
      <w:r w:rsidDel="00000000" w:rsidR="00000000" w:rsidRPr="00000000">
        <w:rPr>
          <w:rtl w:val="0"/>
        </w:rPr>
        <w:t xml:space="preserve">.</w:t>
      </w:r>
    </w:p>
    <w:p w:rsidR="00000000" w:rsidDel="00000000" w:rsidP="00000000" w:rsidRDefault="00000000" w:rsidRPr="00000000" w14:paraId="00000091">
      <w:pPr>
        <w:rPr/>
      </w:pPr>
      <w:r w:rsidDel="00000000" w:rsidR="00000000" w:rsidRPr="00000000">
        <w:rPr>
          <w:rtl w:val="0"/>
        </w:rPr>
        <w:t xml:space="preserve">El capítulo 4, «Desarrollo específico de la contribución», describe en detalle la identificación de requisitos, la arquitectura y el proceso de desarrollo de la plataforma, así como la evaluación de su usabilidad y aplicabilidad. El capítulo 5, «Conclusiones y trabajo futuro», recoge el grado de consecución de los objetivos planteados y las líneas de trabajo futuro que se derivan del proyecto. Finalmente, el documento incluye las referencias bibliográficas empleadas y, como anexo obligatorio, un artículo-resumen del trabajo realizado.</w:t>
      </w:r>
    </w:p>
    <w:p w:rsidR="00000000" w:rsidDel="00000000" w:rsidP="00000000" w:rsidRDefault="00000000" w:rsidRPr="00000000" w14:paraId="00000092">
      <w:pPr>
        <w:pStyle w:val="Heading1"/>
        <w:numPr>
          <w:ilvl w:val="0"/>
          <w:numId w:val="9"/>
        </w:numPr>
        <w:ind w:left="432" w:hanging="432"/>
        <w:rPr/>
      </w:pPr>
      <w:bookmarkStart w:colFirst="0" w:colLast="0" w:name="_heading=h.evvwe1zhx25j" w:id="7"/>
      <w:bookmarkEnd w:id="7"/>
      <w:r w:rsidDel="00000000" w:rsidR="00000000" w:rsidRPr="00000000">
        <w:rPr>
          <w:rtl w:val="0"/>
        </w:rPr>
        <w:t xml:space="preserve">Contexto y estado del arte</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t xml:space="preserve">Este capítulo establece la fundamentación teórica, conceptual y técnica que sostiene el desarrollo de la plataforma de autoservicio cloud. En primer lugar, se analiza la brecha tecnológica y operativa que enfrentan las pequeñas y medianas empresas (PYMEs) respecto a la adopción de tecnologías en la nube y la sostenibilidad de equipos DevOps. A continuación, se examinan los pilares del estado del arte en ingeniería de software e infraestructura: arquitecturas </w:t>
      </w:r>
      <w:r w:rsidDel="00000000" w:rsidR="00000000" w:rsidRPr="00000000">
        <w:rPr>
          <w:i w:val="1"/>
          <w:iCs w:val="1"/>
          <w:rtl w:val="0"/>
        </w:rPr>
        <w:t xml:space="preserve">cloud-native</w:t>
      </w:r>
      <w:r w:rsidDel="00000000" w:rsidR="00000000" w:rsidRPr="00000000">
        <w:rPr>
          <w:rtl w:val="0"/>
        </w:rPr>
        <w:t xml:space="preserve">, virtualización mediante contenedores, orquestación gestionada, Infraestructura como Código (IaC), ingeniería de plataformas (</w:t>
      </w:r>
      <w:r w:rsidDel="00000000" w:rsidR="00000000" w:rsidRPr="00000000">
        <w:rPr>
          <w:i w:val="1"/>
          <w:iCs w:val="1"/>
          <w:rtl w:val="0"/>
        </w:rPr>
        <w:t xml:space="preserve">Platform Engineering</w:t>
      </w:r>
      <w:r w:rsidDel="00000000" w:rsidR="00000000" w:rsidRPr="00000000">
        <w:rPr>
          <w:rtl w:val="0"/>
        </w:rPr>
        <w:t xml:space="preserve">), observabilidad y seguridad (</w:t>
      </w:r>
      <w:r w:rsidDel="00000000" w:rsidR="00000000" w:rsidRPr="00000000">
        <w:rPr>
          <w:i w:val="1"/>
          <w:iCs w:val="1"/>
          <w:rtl w:val="0"/>
        </w:rPr>
        <w:t xml:space="preserve">DevSecOps</w:t>
      </w:r>
      <w:r w:rsidDel="00000000" w:rsidR="00000000" w:rsidRPr="00000000">
        <w:rPr>
          <w:rtl w:val="0"/>
        </w:rPr>
        <w:t xml:space="preserve">). Finalmente, se sintetizan las conclusiones teóricas que justifican el diseño de la solución propuesta.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4">
      <w:pPr>
        <w:pStyle w:val="Heading2"/>
        <w:numPr>
          <w:ilvl w:val="1"/>
          <w:numId w:val="9"/>
        </w:numPr>
        <w:ind w:left="576" w:hanging="576"/>
        <w:rPr/>
      </w:pPr>
      <w:bookmarkStart w:colFirst="0" w:colLast="0" w:name="_heading=h.mjtmnc6708ze" w:id="8"/>
      <w:bookmarkEnd w:id="8"/>
      <w:r w:rsidDel="00000000" w:rsidR="00000000" w:rsidRPr="00000000">
        <w:rPr>
          <w:rtl w:val="0"/>
        </w:rPr>
        <w:t xml:space="preserve"> Contexto del problema: las pymes y la brecha tecnológica cloud</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tl w:val="0"/>
        </w:rPr>
        <w:t xml:space="preserve">La transformación digital y la adopción de servicios en la nube se han consolidado como motores fundamentales de la competitividad y la eficiencia operativa empresarial. Sin embargo, la velocidad y profundidad con la que las organizaciones asimilan estas tecnologías presenta una brecha acentuada según su tamaño y capacidad financiera. Mientras que las grandes empresas cuentan con capital y estructuras operativas para adoptar modelos automatizados de infraestructura, las PYMEs (especialmente en regiones en desarrollo como América Latina y el Caribe) avanzan a un ritmo más lento debido al limitado acceso a financiamiento, marcos regulatorios en desarrollo y capacidades técnicas restringidas (Hirs-Garzón &amp; Vargas, 2023).</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pStyle w:val="Heading3"/>
        <w:numPr>
          <w:ilvl w:val="2"/>
          <w:numId w:val="9"/>
        </w:numPr>
        <w:ind w:left="720" w:hanging="720"/>
        <w:rPr/>
      </w:pPr>
      <w:bookmarkStart w:colFirst="0" w:colLast="0" w:name="_heading=h.x4dirg87rcdg" w:id="9"/>
      <w:bookmarkEnd w:id="9"/>
      <w:r w:rsidDel="00000000" w:rsidR="00000000" w:rsidRPr="00000000">
        <w:rPr>
          <w:rtl w:val="0"/>
        </w:rPr>
        <w:t xml:space="preserve"> Barreras operativas y la complejidad del modelo DevOps</w:t>
      </w:r>
    </w:p>
    <w:p w:rsidR="00000000" w:rsidDel="00000000" w:rsidP="00000000" w:rsidRDefault="00000000" w:rsidRPr="00000000" w14:paraId="00000098">
      <w:pPr>
        <w:rPr/>
      </w:pPr>
      <w:r w:rsidDel="00000000" w:rsidR="00000000" w:rsidRPr="00000000">
        <w:rPr>
          <w:rtl w:val="0"/>
        </w:rPr>
        <w:t xml:space="preserve">El factor crítico en esta brecha no radica exclusivamente en la disponibilidad general de talento en el mercado, sino en la alta inversión que exige a una PYME la contratación y retención permanente de un equipo especializado en DevOps y arquitectura cloud (Alshamaila et al., 2012; Jones et al., 2016). Sostener estas estructuras resulta económicamente difícil de justificar para empresas de menor escala, lo que las lleva con frecuencia a posponer la modernización tecnológica o a depender de procesos manuales de configuración y despliegue (Jones et al., 2016). </w:t>
      </w:r>
    </w:p>
    <w:p w:rsidR="00000000" w:rsidDel="00000000" w:rsidP="00000000" w:rsidRDefault="00000000" w:rsidRPr="00000000" w14:paraId="00000099">
      <w:pPr>
        <w:rPr/>
      </w:pPr>
      <w:r w:rsidDel="00000000" w:rsidR="00000000" w:rsidRPr="00000000">
        <w:rPr>
          <w:rtl w:val="0"/>
        </w:rPr>
        <w:t xml:space="preserve">La gestión manual de infraestructura genera cuellos de botella operativos, carece de repetibilidad, incrementa la probabilidad de errores de configuración, dificulta la trazabilidad y limita severamente la escalabilidad del negocio. </w:t>
      </w:r>
    </w:p>
    <w:p w:rsidR="00000000" w:rsidDel="00000000" w:rsidP="00000000" w:rsidRDefault="00000000" w:rsidRPr="00000000" w14:paraId="0000009A">
      <w:pPr>
        <w:rPr/>
      </w:pPr>
      <w:r w:rsidDel="00000000" w:rsidR="00000000" w:rsidRPr="00000000">
        <w:rPr>
          <w:rtl w:val="0"/>
        </w:rPr>
        <w:t xml:space="preserve"> </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bookmarkStart w:colFirst="0" w:colLast="0" w:name="_heading=h.etgxjm6gh5tu" w:id="10"/>
      <w:bookmarkEnd w:id="10"/>
      <w:r>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Figura </w: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begin"/>
      </w:r>
      <w:r>
        <w:rPr>
          <w:rFonts w:ascii="Calibri" w:cs="Calibri" w:eastAsia="Calibri" w:hAnsi="Calibri"/>
          <w:b w:val="1"/>
          <w:bCs w:val="1"/>
          <w:i w:val="0"/>
          <w:iCs w:val="0"/>
          <w:smallCaps w:val="0"/>
          <w:strike w:val="0"/>
          <w:color w:val="000000"/>
          <w:sz w:val="24"/>
          <w:szCs w:val="24"/>
          <w:u w:val="none"/>
          <w:shd w:fill="auto" w:val="clear"/>
          <w:vertAlign w:val="baseline"/>
          <w:rtl w:val="0"/>
        </w:rPr>
        <w:instrText xml:space="preserve"> SEQ Figura \* ARABIC </w:instrTex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separate"/>
      </w:r>
      <w:r>
        <w:rPr>
          <w:rFonts w:ascii="Calibri" w:cs="Calibri" w:eastAsia="Calibri" w:hAnsi="Calibri"/>
          <w:b w:val="1"/>
          <w:bCs w:val="1"/>
          <w:i w:val="0"/>
          <w:iCs w:val="0"/>
          <w:smallCaps w:val="0"/>
          <w:strike w:val="0"/>
          <w:color w:val="000000"/>
          <w:sz w:val="24"/>
          <w:szCs w:val="24"/>
          <w:u w:val="none"/>
          <w:shd w:fill="auto" w:val="clear"/>
          <w:vertAlign w:val="baseline"/>
          <w:rtl w:val="0"/>
        </w:rPr>
        <w:t>1</w: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end"/>
      </w:r>
      <w:r>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Círculo vicioso de la gestión de infraestructura en PYMEs</w:t>
      </w:r>
      <w:r w:rsidDel="00000000" w:rsidR="00000000" w:rsidRPr="00000000">
        <w:rPr>
          <w:rtl w:val="0"/>
        </w:rPr>
      </w:r>
    </w:p>
    <w:p w:rsidR="00000000" w:rsidDel="00000000" w:rsidP="00000000" w:rsidRDefault="00000000" w:rsidRPr="00000000" w14:paraId="0000009C">
      <w:pPr>
        <w:jc w:val="center"/>
        <w:rPr/>
      </w:pPr>
      <w:r w:rsidDel="00000000" w:rsidR="00000000" w:rsidRPr="00000000">
        <w:rPr/>
        <w:drawing>
          <wp:inline distB="0" distT="0" distL="0" distR="0">
            <wp:extent cx="5124766" cy="2416095"/>
            <wp:effectExtent b="0" l="0" r="0" t="0"/>
            <wp:docPr id="1840857462" name="image3.jpg"/>
            <a:graphic>
              <a:graphicData uri="http://schemas.openxmlformats.org/drawingml/2006/picture">
                <pic:pic>
                  <pic:nvPicPr>
                    <pic:cNvPr id="0" name="image3.jpg"/>
                    <pic:cNvPicPr preferRelativeResize="0"/>
                  </pic:nvPicPr>
                  <pic:blipFill>
                    <a:blip r:embed="rId11"/>
                    <a:srcRect b="12264" l="4966" r="5132" t="7233"/>
                    <a:stretch>
                      <a:fillRect/>
                    </a:stretch>
                  </pic:blipFill>
                  <pic:spPr>
                    <a:xfrm>
                      <a:off x="0" y="0"/>
                      <a:ext cx="5124766" cy="2416095"/>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spacing w:after="0" w:line="276" w:lineRule="auto"/>
        <w:ind w:left="-113" w:right="-215" w:firstLine="0"/>
        <w:jc w:val="center"/>
        <w:rPr>
          <w:color w:val="595959"/>
          <w:sz w:val="19"/>
          <w:szCs w:val="19"/>
        </w:rPr>
      </w:pPr>
      <w:r w:rsidDel="00000000" w:rsidR="00000000" w:rsidRPr="00000000">
        <w:rPr>
          <w:color w:val="595959"/>
          <w:sz w:val="19"/>
          <w:szCs w:val="19"/>
          <w:rtl w:val="0"/>
        </w:rPr>
        <w:t xml:space="preserve">Fuente: Elaboración propia a partir de (Alshamaila et al., 2012; Jones et al., 2016) </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after="0" w:line="276" w:lineRule="auto"/>
        <w:ind w:left="-113" w:right="-215" w:firstLine="0"/>
        <w:jc w:val="center"/>
        <w:rPr>
          <w:color w:val="595959"/>
          <w:sz w:val="19"/>
          <w:szCs w:val="19"/>
        </w:rPr>
      </w:pPr>
      <w:r w:rsidDel="00000000" w:rsidR="00000000" w:rsidRPr="00000000">
        <w:rPr>
          <w:color w:val="595959"/>
          <w:sz w:val="19"/>
          <w:szCs w:val="19"/>
          <w:rtl w:val="0"/>
        </w:rPr>
        <w:t xml:space="preserve"> </w:t>
      </w:r>
    </w:p>
    <w:p w:rsidR="00000000" w:rsidDel="00000000" w:rsidP="00000000" w:rsidRDefault="00000000" w:rsidRPr="00000000" w14:paraId="0000009F">
      <w:pPr>
        <w:pBdr>
          <w:top w:space="0" w:sz="0" w:val="nil"/>
          <w:left w:space="0" w:sz="0" w:val="nil"/>
          <w:bottom w:space="0" w:sz="0" w:val="nil"/>
          <w:right w:space="0" w:sz="0" w:val="nil"/>
          <w:between w:space="0" w:sz="0" w:val="nil"/>
        </w:pBdr>
        <w:spacing w:after="0" w:line="276" w:lineRule="auto"/>
        <w:ind w:left="-113" w:right="-215" w:firstLine="0"/>
        <w:jc w:val="center"/>
        <w:rPr>
          <w:color w:val="595959"/>
          <w:sz w:val="19"/>
          <w:szCs w:val="19"/>
        </w:rPr>
      </w:pPr>
      <w:r w:rsidDel="00000000" w:rsidR="00000000" w:rsidRPr="00000000">
        <w:rPr>
          <w:color w:val="595959"/>
          <w:sz w:val="19"/>
          <w:szCs w:val="19"/>
          <w:rtl w:val="0"/>
        </w:rPr>
        <w:t xml:space="preserve">.</w:t>
      </w:r>
    </w:p>
    <w:p w:rsidR="00000000" w:rsidDel="00000000" w:rsidP="00000000" w:rsidRDefault="00000000" w:rsidRPr="00000000" w14:paraId="000000A0">
      <w:pPr>
        <w:pStyle w:val="Heading3"/>
        <w:numPr>
          <w:ilvl w:val="2"/>
          <w:numId w:val="9"/>
        </w:numPr>
        <w:ind w:left="720" w:hanging="720"/>
        <w:rPr/>
      </w:pPr>
      <w:r w:rsidDel="00000000" w:rsidR="00000000" w:rsidRPr="00000000">
        <w:rPr>
          <w:rtl w:val="0"/>
        </w:rPr>
        <w:t xml:space="preserve">Abstracción como estrategia de solución</w:t>
      </w:r>
    </w:p>
    <w:p w:rsidR="00000000" w:rsidDel="00000000" w:rsidP="00000000" w:rsidRDefault="00000000" w:rsidRPr="00000000" w14:paraId="000000A1">
      <w:pPr>
        <w:rPr/>
      </w:pPr>
      <w:r w:rsidDel="00000000" w:rsidR="00000000" w:rsidRPr="00000000">
        <w:rPr>
          <w:rtl w:val="0"/>
        </w:rPr>
        <w:t xml:space="preserve">Para romper la cadena descrita en la </w:t>
      </w:r>
      <w:r w:rsidDel="00000000" w:rsidR="00000000" w:rsidRPr="00000000">
        <w:rPr>
          <w:i w:val="1"/>
          <w:iCs w:val="1"/>
          <w:rtl w:val="0"/>
        </w:rPr>
        <w:t xml:space="preserve">Figura 1</w:t>
      </w:r>
      <w:r w:rsidDel="00000000" w:rsidR="00000000" w:rsidRPr="00000000">
        <w:rPr>
          <w:rtl w:val="0"/>
        </w:rPr>
        <w:t xml:space="preserve">, la literatura sobre ingeniería de software sugiere trasladar la complejidad técnica hacia capas de abstracción estandarizadas </w:t>
      </w:r>
      <w:r w:rsidDel="00000000" w:rsidR="00000000" w:rsidRPr="00000000">
        <w:rPr>
          <w:color w:val="000000"/>
          <w:rtl w:val="0"/>
        </w:rPr>
        <w:t xml:space="preserve">(Artac et al., 2017; Kumara et al., 2021)</w:t>
      </w:r>
      <w:r w:rsidDel="00000000" w:rsidR="00000000" w:rsidRPr="00000000">
        <w:rPr>
          <w:rtl w:val="0"/>
        </w:rPr>
        <w:t xml:space="preserve">. La propuesta de este trabajo se enfoca en empaquetar las buenas prácticas de diseño cloud e Infraestructura como Código (IaC) en plantillas preconfiguradas, accesibles a través de una plataforma web de autoservicio que no requiera la presencia continua de especialistas en operaciones de infraestructura. </w:t>
      </w:r>
    </w:p>
    <w:p w:rsidR="00000000" w:rsidDel="00000000" w:rsidP="00000000" w:rsidRDefault="00000000" w:rsidRPr="00000000" w14:paraId="000000A2">
      <w:pPr>
        <w:rPr/>
      </w:pPr>
      <w:r w:rsidDel="00000000" w:rsidR="00000000" w:rsidRPr="00000000">
        <w:rPr>
          <w:rtl w:val="0"/>
        </w:rPr>
        <w:t xml:space="preserve">Esta lógica de democratizar e independizar el acceso a soluciones tecnológicas avanzadas en entornos con recursos limitados mediante capas de software accesibles ha sido explorada previamente en el ámbito académico, como en el desarrollo de soluciones fintech y monederos virtuales sobre plataformas accesibles </w:t>
      </w:r>
      <w:r w:rsidDel="00000000" w:rsidR="00000000" w:rsidRPr="00000000">
        <w:rPr>
          <w:color w:val="000000"/>
          <w:rtl w:val="0"/>
        </w:rPr>
        <w:t xml:space="preserve">(Castro-Arana, 2023)</w:t>
      </w:r>
      <w:r w:rsidDel="00000000" w:rsidR="00000000" w:rsidRPr="00000000">
        <w:rPr>
          <w:rtl w:val="0"/>
        </w:rPr>
        <w:t xml:space="preserve"> .</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Calibri" w:cs="Calibri" w:eastAsia="Calibri" w:hAnsi="Calibri"/>
          <w:b w:val="1"/>
          <w:bCs w:val="1"/>
          <w:i w:val="1"/>
          <w:iCs w:val="1"/>
          <w:smallCaps w:val="0"/>
          <w:strike w:val="0"/>
          <w:color w:val="000000"/>
          <w:sz w:val="24"/>
          <w:szCs w:val="24"/>
          <w:u w:val="none"/>
          <w:shd w:fill="auto" w:val="clear"/>
          <w:vertAlign w:val="baseline"/>
        </w:rPr>
      </w:pPr>
      <w:bookmarkStart w:colFirst="0" w:colLast="0" w:name="_heading=h.21p020tet6zt" w:id="11"/>
      <w:bookmarkEnd w:id="11"/>
      <w:r>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Tabla </w: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begin"/>
      </w:r>
      <w:r>
        <w:rPr>
          <w:rFonts w:ascii="Calibri" w:cs="Calibri" w:eastAsia="Calibri" w:hAnsi="Calibri"/>
          <w:b w:val="1"/>
          <w:bCs w:val="1"/>
          <w:i w:val="0"/>
          <w:iCs w:val="0"/>
          <w:smallCaps w:val="0"/>
          <w:strike w:val="0"/>
          <w:color w:val="000000"/>
          <w:sz w:val="24"/>
          <w:szCs w:val="24"/>
          <w:u w:val="none"/>
          <w:shd w:fill="auto" w:val="clear"/>
          <w:vertAlign w:val="baseline"/>
          <w:rtl w:val="0"/>
        </w:rPr>
        <w:instrText xml:space="preserve"> SEQ Tabla \* ARABIC </w:instrTex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separate"/>
      </w:r>
      <w:r>
        <w:rPr>
          <w:rFonts w:ascii="Calibri" w:cs="Calibri" w:eastAsia="Calibri" w:hAnsi="Calibri"/>
          <w:b w:val="1"/>
          <w:bCs w:val="1"/>
          <w:i w:val="0"/>
          <w:iCs w:val="0"/>
          <w:smallCaps w:val="0"/>
          <w:strike w:val="0"/>
          <w:color w:val="000000"/>
          <w:sz w:val="24"/>
          <w:szCs w:val="24"/>
          <w:u w:val="none"/>
          <w:shd w:fill="auto" w:val="clear"/>
          <w:vertAlign w:val="baseline"/>
          <w:rtl w:val="0"/>
        </w:rPr>
        <w:t>2</w: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end"/>
      </w:r>
      <w:r>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Análisis cualitativo del problema de infraestructura en PYMEs vs. Enfoque de Autoservicio.</w:t>
      </w:r>
      <w:r w:rsidDel="00000000" w:rsidR="00000000" w:rsidRPr="00000000">
        <w:rPr>
          <w:rtl w:val="0"/>
        </w:rPr>
      </w:r>
    </w:p>
    <w:tbl>
      <w:tblPr>
        <w:tblStyle w:val="Table3"/>
        <w:tblW w:w="9776.0"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2405"/>
        <w:gridCol w:w="3544"/>
        <w:gridCol w:w="3827"/>
        <w:tblGridChange w:id="0">
          <w:tblGrid>
            <w:gridCol w:w="2405"/>
            <w:gridCol w:w="3544"/>
            <w:gridCol w:w="3827"/>
          </w:tblGrid>
        </w:tblGridChange>
      </w:tblGrid>
      <w:tr>
        <w:trPr>
          <w:cantSplit w:val="0"/>
          <w:tblHeader w:val="0"/>
        </w:trPr>
        <w:tc>
          <w:tcPr/>
          <w:p w:rsidR="00000000" w:rsidDel="00000000" w:rsidP="00000000" w:rsidRDefault="00000000" w:rsidRPr="00000000" w14:paraId="000000A5">
            <w:pPr>
              <w:spacing w:before="0" w:lineRule="auto"/>
              <w:jc w:val="left"/>
              <w:rPr/>
            </w:pPr>
            <w:r w:rsidDel="00000000" w:rsidR="00000000" w:rsidRPr="00000000">
              <w:rPr>
                <w:b w:val="1"/>
                <w:bCs w:val="1"/>
                <w:rtl w:val="0"/>
              </w:rPr>
              <w:t xml:space="preserve">Dimensión de Análisis</w:t>
            </w:r>
            <w:r w:rsidDel="00000000" w:rsidR="00000000" w:rsidRPr="00000000">
              <w:rPr>
                <w:rtl w:val="0"/>
              </w:rPr>
            </w:r>
          </w:p>
        </w:tc>
        <w:tc>
          <w:tcPr/>
          <w:p w:rsidR="00000000" w:rsidDel="00000000" w:rsidP="00000000" w:rsidRDefault="00000000" w:rsidRPr="00000000" w14:paraId="000000A6">
            <w:pPr>
              <w:spacing w:before="0" w:lineRule="auto"/>
              <w:jc w:val="left"/>
              <w:rPr/>
            </w:pPr>
            <w:r w:rsidDel="00000000" w:rsidR="00000000" w:rsidRPr="00000000">
              <w:rPr>
                <w:b w:val="1"/>
                <w:bCs w:val="1"/>
                <w:rtl w:val="0"/>
              </w:rPr>
              <w:t xml:space="preserve">Infraestructura Tradicional / Manual en PYMEs</w:t>
            </w:r>
            <w:r w:rsidDel="00000000" w:rsidR="00000000" w:rsidRPr="00000000">
              <w:rPr>
                <w:rtl w:val="0"/>
              </w:rPr>
            </w:r>
          </w:p>
        </w:tc>
        <w:tc>
          <w:tcPr/>
          <w:p w:rsidR="00000000" w:rsidDel="00000000" w:rsidP="00000000" w:rsidRDefault="00000000" w:rsidRPr="00000000" w14:paraId="000000A7">
            <w:pPr>
              <w:spacing w:before="0" w:lineRule="auto"/>
              <w:jc w:val="left"/>
              <w:rPr/>
            </w:pPr>
            <w:r w:rsidDel="00000000" w:rsidR="00000000" w:rsidRPr="00000000">
              <w:rPr>
                <w:b w:val="1"/>
                <w:bCs w:val="1"/>
                <w:rtl w:val="0"/>
              </w:rPr>
              <w:t xml:space="preserve">Solución Mediante Plataforma de Autoservicio Cloud</w:t>
            </w:r>
            <w:r w:rsidDel="00000000" w:rsidR="00000000" w:rsidRPr="00000000">
              <w:rPr>
                <w:rtl w:val="0"/>
              </w:rPr>
            </w:r>
          </w:p>
        </w:tc>
      </w:tr>
      <w:tr>
        <w:trPr>
          <w:cantSplit w:val="0"/>
          <w:tblHeader w:val="0"/>
        </w:trPr>
        <w:tc>
          <w:tcPr/>
          <w:p w:rsidR="00000000" w:rsidDel="00000000" w:rsidP="00000000" w:rsidRDefault="00000000" w:rsidRPr="00000000" w14:paraId="000000A8">
            <w:pPr>
              <w:spacing w:before="0" w:lineRule="auto"/>
              <w:jc w:val="left"/>
              <w:rPr/>
            </w:pPr>
            <w:r w:rsidDel="00000000" w:rsidR="00000000" w:rsidRPr="00000000">
              <w:rPr>
                <w:b w:val="1"/>
                <w:bCs w:val="1"/>
                <w:rtl w:val="0"/>
              </w:rPr>
              <w:t xml:space="preserve">Aprovisionamiento</w:t>
            </w:r>
            <w:r w:rsidDel="00000000" w:rsidR="00000000" w:rsidRPr="00000000">
              <w:rPr>
                <w:rtl w:val="0"/>
              </w:rPr>
            </w:r>
          </w:p>
        </w:tc>
        <w:tc>
          <w:tcPr/>
          <w:p w:rsidR="00000000" w:rsidDel="00000000" w:rsidP="00000000" w:rsidRDefault="00000000" w:rsidRPr="00000000" w14:paraId="000000A9">
            <w:pPr>
              <w:spacing w:before="0" w:lineRule="auto"/>
              <w:jc w:val="left"/>
              <w:rPr/>
            </w:pPr>
            <w:r w:rsidDel="00000000" w:rsidR="00000000" w:rsidRPr="00000000">
              <w:rPr>
                <w:rtl w:val="0"/>
              </w:rPr>
              <w:t xml:space="preserve">Interactivo en consola web o scripts locales propensos a error.</w:t>
            </w:r>
          </w:p>
        </w:tc>
        <w:tc>
          <w:tcPr/>
          <w:p w:rsidR="00000000" w:rsidDel="00000000" w:rsidP="00000000" w:rsidRDefault="00000000" w:rsidRPr="00000000" w14:paraId="000000AA">
            <w:pPr>
              <w:spacing w:before="0" w:lineRule="auto"/>
              <w:jc w:val="left"/>
              <w:rPr/>
            </w:pPr>
            <w:r w:rsidDel="00000000" w:rsidR="00000000" w:rsidRPr="00000000">
              <w:rPr>
                <w:rtl w:val="0"/>
              </w:rPr>
              <w:t xml:space="preserve">Declarativo e interactivo mediante plantillas IaC preconfiguradas.</w:t>
            </w:r>
          </w:p>
        </w:tc>
      </w:tr>
      <w:tr>
        <w:trPr>
          <w:cantSplit w:val="0"/>
          <w:tblHeader w:val="0"/>
        </w:trPr>
        <w:tc>
          <w:tcPr/>
          <w:p w:rsidR="00000000" w:rsidDel="00000000" w:rsidP="00000000" w:rsidRDefault="00000000" w:rsidRPr="00000000" w14:paraId="000000AB">
            <w:pPr>
              <w:spacing w:before="0" w:lineRule="auto"/>
              <w:jc w:val="left"/>
              <w:rPr/>
            </w:pPr>
            <w:r w:rsidDel="00000000" w:rsidR="00000000" w:rsidRPr="00000000">
              <w:rPr>
                <w:b w:val="1"/>
                <w:bCs w:val="1"/>
                <w:rtl w:val="0"/>
              </w:rPr>
              <w:t xml:space="preserve">Perfil Requerido</w:t>
            </w:r>
            <w:r w:rsidDel="00000000" w:rsidR="00000000" w:rsidRPr="00000000">
              <w:rPr>
                <w:rtl w:val="0"/>
              </w:rPr>
            </w:r>
          </w:p>
        </w:tc>
        <w:tc>
          <w:tcPr/>
          <w:p w:rsidR="00000000" w:rsidDel="00000000" w:rsidP="00000000" w:rsidRDefault="00000000" w:rsidRPr="00000000" w14:paraId="000000AC">
            <w:pPr>
              <w:spacing w:before="0" w:lineRule="auto"/>
              <w:jc w:val="left"/>
              <w:rPr/>
            </w:pPr>
            <w:r w:rsidDel="00000000" w:rsidR="00000000" w:rsidRPr="00000000">
              <w:rPr>
                <w:rtl w:val="0"/>
              </w:rPr>
              <w:t xml:space="preserve">Ingeniero Cloud / DevOps Senior para cada despliegue.</w:t>
            </w:r>
          </w:p>
        </w:tc>
        <w:tc>
          <w:tcPr/>
          <w:p w:rsidR="00000000" w:rsidDel="00000000" w:rsidP="00000000" w:rsidRDefault="00000000" w:rsidRPr="00000000" w14:paraId="000000AD">
            <w:pPr>
              <w:spacing w:before="0" w:lineRule="auto"/>
              <w:jc w:val="left"/>
              <w:rPr/>
            </w:pPr>
            <w:r w:rsidDel="00000000" w:rsidR="00000000" w:rsidRPr="00000000">
              <w:rPr>
                <w:rtl w:val="0"/>
              </w:rPr>
              <w:t xml:space="preserve">Desarrollador o administrador con conocimientos generales de software.</w:t>
            </w:r>
          </w:p>
        </w:tc>
      </w:tr>
      <w:tr>
        <w:trPr>
          <w:cantSplit w:val="0"/>
          <w:tblHeader w:val="0"/>
        </w:trPr>
        <w:tc>
          <w:tcPr/>
          <w:p w:rsidR="00000000" w:rsidDel="00000000" w:rsidP="00000000" w:rsidRDefault="00000000" w:rsidRPr="00000000" w14:paraId="000000AE">
            <w:pPr>
              <w:spacing w:before="0" w:lineRule="auto"/>
              <w:jc w:val="left"/>
              <w:rPr/>
            </w:pPr>
            <w:r w:rsidDel="00000000" w:rsidR="00000000" w:rsidRPr="00000000">
              <w:rPr>
                <w:b w:val="1"/>
                <w:bCs w:val="1"/>
                <w:rtl w:val="0"/>
              </w:rPr>
              <w:t xml:space="preserve">Carga Financiera</w:t>
            </w:r>
            <w:r w:rsidDel="00000000" w:rsidR="00000000" w:rsidRPr="00000000">
              <w:rPr>
                <w:rtl w:val="0"/>
              </w:rPr>
            </w:r>
          </w:p>
        </w:tc>
        <w:tc>
          <w:tcPr/>
          <w:p w:rsidR="00000000" w:rsidDel="00000000" w:rsidP="00000000" w:rsidRDefault="00000000" w:rsidRPr="00000000" w14:paraId="000000AF">
            <w:pPr>
              <w:spacing w:before="0" w:lineRule="auto"/>
              <w:jc w:val="left"/>
              <w:rPr/>
            </w:pPr>
            <w:r w:rsidDel="00000000" w:rsidR="00000000" w:rsidRPr="00000000">
              <w:rPr>
                <w:rtl w:val="0"/>
              </w:rPr>
              <w:t xml:space="preserve">Alto costo recurrente en nómina especializada.</w:t>
            </w:r>
          </w:p>
        </w:tc>
        <w:tc>
          <w:tcPr/>
          <w:p w:rsidR="00000000" w:rsidDel="00000000" w:rsidP="00000000" w:rsidRDefault="00000000" w:rsidRPr="00000000" w14:paraId="000000B0">
            <w:pPr>
              <w:spacing w:before="0" w:lineRule="auto"/>
              <w:jc w:val="left"/>
              <w:rPr/>
            </w:pPr>
            <w:r w:rsidDel="00000000" w:rsidR="00000000" w:rsidRPr="00000000">
              <w:rPr>
                <w:rtl w:val="0"/>
              </w:rPr>
              <w:t xml:space="preserve">Modelo autoservicio apoyado en servicios serverless gestionados.</w:t>
            </w:r>
          </w:p>
        </w:tc>
      </w:tr>
      <w:tr>
        <w:trPr>
          <w:cantSplit w:val="0"/>
          <w:tblHeader w:val="0"/>
        </w:trPr>
        <w:tc>
          <w:tcPr/>
          <w:p w:rsidR="00000000" w:rsidDel="00000000" w:rsidP="00000000" w:rsidRDefault="00000000" w:rsidRPr="00000000" w14:paraId="000000B1">
            <w:pPr>
              <w:spacing w:before="0" w:lineRule="auto"/>
              <w:jc w:val="left"/>
              <w:rPr/>
            </w:pPr>
            <w:r w:rsidDel="00000000" w:rsidR="00000000" w:rsidRPr="00000000">
              <w:rPr>
                <w:b w:val="1"/>
                <w:bCs w:val="1"/>
                <w:rtl w:val="0"/>
              </w:rPr>
              <w:t xml:space="preserve">Estandarización</w:t>
            </w:r>
            <w:r w:rsidDel="00000000" w:rsidR="00000000" w:rsidRPr="00000000">
              <w:rPr>
                <w:rtl w:val="0"/>
              </w:rPr>
            </w:r>
          </w:p>
        </w:tc>
        <w:tc>
          <w:tcPr/>
          <w:p w:rsidR="00000000" w:rsidDel="00000000" w:rsidP="00000000" w:rsidRDefault="00000000" w:rsidRPr="00000000" w14:paraId="000000B2">
            <w:pPr>
              <w:spacing w:before="0" w:lineRule="auto"/>
              <w:jc w:val="left"/>
              <w:rPr/>
            </w:pPr>
            <w:r w:rsidDel="00000000" w:rsidR="00000000" w:rsidRPr="00000000">
              <w:rPr>
                <w:rtl w:val="0"/>
              </w:rPr>
              <w:t xml:space="preserve">Configuración heterogénea y dificultad para replicar entornos.</w:t>
            </w:r>
          </w:p>
        </w:tc>
        <w:tc>
          <w:tcPr/>
          <w:p w:rsidR="00000000" w:rsidDel="00000000" w:rsidP="00000000" w:rsidRDefault="00000000" w:rsidRPr="00000000" w14:paraId="000000B3">
            <w:pPr>
              <w:spacing w:before="0" w:lineRule="auto"/>
              <w:jc w:val="left"/>
              <w:rPr/>
            </w:pPr>
            <w:r w:rsidDel="00000000" w:rsidR="00000000" w:rsidRPr="00000000">
              <w:rPr>
                <w:rtl w:val="0"/>
              </w:rPr>
              <w:t xml:space="preserve">Definición de infraestructura como código bajo control de versiones.</w:t>
            </w:r>
          </w:p>
        </w:tc>
      </w:tr>
    </w:tbl>
    <w:p w:rsidR="00000000" w:rsidDel="00000000" w:rsidP="00000000" w:rsidRDefault="00000000" w:rsidRPr="00000000" w14:paraId="000000B4">
      <w:pPr>
        <w:pBdr>
          <w:top w:space="0" w:sz="0" w:val="nil"/>
          <w:left w:space="0" w:sz="0" w:val="nil"/>
          <w:bottom w:space="0" w:sz="0" w:val="nil"/>
          <w:right w:space="0" w:sz="0" w:val="nil"/>
          <w:between w:space="0" w:sz="0" w:val="nil"/>
        </w:pBdr>
        <w:spacing w:after="0" w:line="276" w:lineRule="auto"/>
        <w:ind w:left="-113" w:right="-215" w:firstLine="0"/>
        <w:jc w:val="center"/>
        <w:rPr>
          <w:color w:val="595959"/>
          <w:sz w:val="19"/>
          <w:szCs w:val="19"/>
        </w:rPr>
      </w:pPr>
      <w:r w:rsidDel="00000000" w:rsidR="00000000" w:rsidRPr="00000000">
        <w:rPr>
          <w:color w:val="595959"/>
          <w:sz w:val="19"/>
          <w:szCs w:val="19"/>
          <w:rtl w:val="0"/>
        </w:rPr>
        <w:t xml:space="preserve">Fuente: Elaboración propia a partir de (Artac et al., 2017; Kumara et al., 2021) .</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2"/>
        <w:numPr>
          <w:ilvl w:val="1"/>
          <w:numId w:val="9"/>
        </w:numPr>
        <w:ind w:left="576" w:hanging="576"/>
        <w:rPr/>
      </w:pPr>
      <w:bookmarkStart w:colFirst="0" w:colLast="0" w:name="_heading=h.1beu8sq317rh" w:id="12"/>
      <w:bookmarkEnd w:id="12"/>
      <w:r w:rsidDel="00000000" w:rsidR="00000000" w:rsidRPr="00000000">
        <w:rPr>
          <w:rtl w:val="0"/>
        </w:rPr>
        <w:t xml:space="preserve"> Estado del arte y base teórica</w:t>
      </w:r>
    </w:p>
    <w:p w:rsidR="00000000" w:rsidDel="00000000" w:rsidP="00000000" w:rsidRDefault="00000000" w:rsidRPr="00000000" w14:paraId="000000B7">
      <w:pPr>
        <w:rPr/>
      </w:pPr>
      <w:r w:rsidDel="00000000" w:rsidR="00000000" w:rsidRPr="00000000">
        <w:rPr>
          <w:rtl w:val="0"/>
        </w:rPr>
        <w:t xml:space="preserve">A continuación, se revisan los pilares teóricos, metodológicos y tecnológicos del estado del arte que fundamentan el diseño y desarrollo de la plataforma de autoservicio cloud.</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3"/>
        <w:numPr>
          <w:ilvl w:val="2"/>
          <w:numId w:val="9"/>
        </w:numPr>
        <w:ind w:left="720" w:hanging="720"/>
        <w:rPr/>
      </w:pPr>
      <w:bookmarkStart w:colFirst="0" w:colLast="0" w:name="_heading=h.ys6e1q6peboa" w:id="13"/>
      <w:bookmarkEnd w:id="13"/>
      <w:r w:rsidDel="00000000" w:rsidR="00000000" w:rsidRPr="00000000">
        <w:rPr>
          <w:rtl w:val="0"/>
        </w:rPr>
        <w:t xml:space="preserve">Arquitecturas cloud-native y contenedores</w:t>
      </w:r>
    </w:p>
    <w:p w:rsidR="00000000" w:rsidDel="00000000" w:rsidP="00000000" w:rsidRDefault="00000000" w:rsidRPr="00000000" w14:paraId="000000BA">
      <w:pPr>
        <w:rPr/>
      </w:pPr>
      <w:r w:rsidDel="00000000" w:rsidR="00000000" w:rsidRPr="00000000">
        <w:rPr>
          <w:rtl w:val="0"/>
        </w:rPr>
        <w:t xml:space="preserve">El concepto </w:t>
      </w:r>
      <w:r w:rsidDel="00000000" w:rsidR="00000000" w:rsidRPr="00000000">
        <w:rPr>
          <w:i w:val="1"/>
          <w:iCs w:val="1"/>
          <w:rtl w:val="0"/>
        </w:rPr>
        <w:t xml:space="preserve">cloud-native</w:t>
      </w:r>
      <w:r w:rsidDel="00000000" w:rsidR="00000000" w:rsidRPr="00000000">
        <w:rPr>
          <w:rtl w:val="0"/>
        </w:rPr>
        <w:t xml:space="preserve"> define un paradigma de diseño enfocado en construir y ejecutar aplicaciones optimizadas para explotar la elasticidad y dinamicidad de la nube pública o privada </w:t>
      </w:r>
      <w:r w:rsidDel="00000000" w:rsidR="00000000" w:rsidRPr="00000000">
        <w:rPr>
          <w:color w:val="000000"/>
          <w:rtl w:val="0"/>
        </w:rPr>
        <w:t xml:space="preserve">(Kratzke &amp; Quint, 2017; Pahl et al., 2018) </w:t>
      </w:r>
      <w:r w:rsidDel="00000000" w:rsidR="00000000" w:rsidRPr="00000000">
        <w:rPr>
          <w:rtl w:val="0"/>
        </w:rPr>
        <w:t xml:space="preserve">Las aplicaciones bajo este paradigma se estructuran mediante microservicios o componentes desacoplados, empaquetados en contenedores y gestionados mediante automatización</w:t>
      </w:r>
      <w:r w:rsidDel="00000000" w:rsidR="00000000" w:rsidRPr="00000000">
        <w:rPr>
          <w:color w:val="000000"/>
          <w:rtl w:val="0"/>
        </w:rPr>
        <w:t xml:space="preserve">(Kratzke &amp; Quint, 2017; Pahl et al., 2018) </w:t>
      </w:r>
      <w:r w:rsidDel="00000000" w:rsidR="00000000" w:rsidRPr="00000000">
        <w:rPr>
          <w:rtl w:val="0"/>
        </w:rPr>
        <w:t xml:space="preserve">.</w:t>
      </w:r>
    </w:p>
    <w:p w:rsidR="00000000" w:rsidDel="00000000" w:rsidP="00000000" w:rsidRDefault="00000000" w:rsidRPr="00000000" w14:paraId="000000BB">
      <w:pPr>
        <w:rPr/>
      </w:pPr>
      <w:r w:rsidDel="00000000" w:rsidR="00000000" w:rsidRPr="00000000">
        <w:rPr>
          <w:rtl w:val="0"/>
        </w:rPr>
        <w:t xml:space="preserve">La tecnología de virtualización a nivel de sistema operativo mediante contenedores permite empaquetar una aplicación junto con sus dependencias en un entorno aislado, ligero y reproducible, garantizando la paridad entre los entornos de desarrollo, pruebas y producción </w:t>
      </w:r>
      <w:r w:rsidDel="00000000" w:rsidR="00000000" w:rsidRPr="00000000">
        <w:rPr>
          <w:color w:val="000000"/>
          <w:rtl w:val="0"/>
        </w:rPr>
        <w:t xml:space="preserve">(Adzic &amp; Chatley, 2017; Kratzke &amp; Quint, 2017)</w:t>
      </w:r>
      <w:r w:rsidDel="00000000" w:rsidR="00000000" w:rsidRPr="00000000">
        <w:rPr>
          <w:rtl w:val="0"/>
        </w:rPr>
        <w:t xml:space="preserve">. Sin embargo, la operación de múltiples microservicios en producción exige resolver complejos desafíos de orquestación, tales como el balanceo de carga, la comunicación interservicios, el auto-escalado y la recuperación ante fallos </w:t>
      </w:r>
      <w:r w:rsidDel="00000000" w:rsidR="00000000" w:rsidRPr="00000000">
        <w:rPr>
          <w:color w:val="000000"/>
          <w:rtl w:val="0"/>
        </w:rPr>
        <w:t xml:space="preserve">(Pahl et al., 2018)</w:t>
      </w:r>
      <w:r w:rsidDel="00000000" w:rsidR="00000000" w:rsidRPr="00000000">
        <w:rPr>
          <w:rtl w:val="0"/>
        </w:rPr>
        <w:t xml:space="preserve">.</w:t>
      </w:r>
    </w:p>
    <w:p w:rsidR="00000000" w:rsidDel="00000000" w:rsidP="00000000" w:rsidRDefault="00000000" w:rsidRPr="00000000" w14:paraId="000000BC">
      <w:pPr>
        <w:rPr/>
      </w:pPr>
      <w:r w:rsidDel="00000000" w:rsidR="00000000" w:rsidRPr="00000000">
        <w:rPr>
          <w:rtl w:val="0"/>
        </w:rPr>
        <w:t xml:space="preserve">Si bien marcos de orquestación tradicionales como </w:t>
      </w:r>
      <w:r w:rsidDel="00000000" w:rsidR="00000000" w:rsidRPr="00000000">
        <w:rPr>
          <w:i w:val="1"/>
          <w:iCs w:val="1"/>
          <w:rtl w:val="0"/>
        </w:rPr>
        <w:t xml:space="preserve">Kubernetes</w:t>
      </w:r>
      <w:r w:rsidDel="00000000" w:rsidR="00000000" w:rsidRPr="00000000">
        <w:rPr>
          <w:rtl w:val="0"/>
        </w:rPr>
        <w:t xml:space="preserve"> o clústeres autogestionados permiten operar estos entornos, la sobrecarga operativa de administrar el plano de control (</w:t>
      </w:r>
      <w:r w:rsidDel="00000000" w:rsidR="00000000" w:rsidRPr="00000000">
        <w:rPr>
          <w:i w:val="1"/>
          <w:iCs w:val="1"/>
          <w:rtl w:val="0"/>
        </w:rPr>
        <w:t xml:space="preserve">control plane</w:t>
      </w:r>
      <w:r w:rsidDel="00000000" w:rsidR="00000000" w:rsidRPr="00000000">
        <w:rPr>
          <w:rtl w:val="0"/>
        </w:rPr>
        <w:t xml:space="preserve">), aplicar parches y gestionar la infraestructura subyacente resulta impracticable para equipos reducidos </w:t>
      </w:r>
      <w:r w:rsidDel="00000000" w:rsidR="00000000" w:rsidRPr="00000000">
        <w:rPr>
          <w:color w:val="000000"/>
          <w:rtl w:val="0"/>
        </w:rPr>
        <w:t xml:space="preserve">(Pahl et al., 2018)</w:t>
      </w:r>
      <w:r w:rsidDel="00000000" w:rsidR="00000000" w:rsidRPr="00000000">
        <w:rPr>
          <w:rtl w:val="0"/>
        </w:rPr>
        <w:t xml:space="preserve"> . Asimismo, los modelos de computación </w:t>
      </w:r>
      <w:r w:rsidDel="00000000" w:rsidR="00000000" w:rsidRPr="00000000">
        <w:rPr>
          <w:i w:val="1"/>
          <w:iCs w:val="1"/>
          <w:rtl w:val="0"/>
        </w:rPr>
        <w:t xml:space="preserve">serverless</w:t>
      </w:r>
      <w:r w:rsidDel="00000000" w:rsidR="00000000" w:rsidRPr="00000000">
        <w:rPr>
          <w:rtl w:val="0"/>
        </w:rPr>
        <w:t xml:space="preserve">, aunque altamente eficientes para cargas de trabajo irregulares o esporádicas, cambian el paradigma económico hacia un pago por consumo que puede elevar sustancialmente el presupuesto operativo en servicios de ejecución continua 24/7 </w:t>
      </w:r>
      <w:r w:rsidDel="00000000" w:rsidR="00000000" w:rsidRPr="00000000">
        <w:rPr>
          <w:color w:val="000000"/>
          <w:rtl w:val="0"/>
        </w:rPr>
        <w:t xml:space="preserve">(Adzic &amp; Chatley, 2017) </w:t>
      </w:r>
      <w:r w:rsidDel="00000000" w:rsidR="00000000" w:rsidRPr="00000000">
        <w:rPr>
          <w:rtl w:val="0"/>
        </w:rPr>
      </w:r>
    </w:p>
    <w:p w:rsidR="00000000" w:rsidDel="00000000" w:rsidP="00000000" w:rsidRDefault="00000000" w:rsidRPr="00000000" w14:paraId="000000BD">
      <w:pPr>
        <w:rPr/>
      </w:pPr>
      <w:r>
        <w:rPr/>
        <w:t xml:space="preserve">En su lugar, una solución arquitectónica adecuada para organizaciones con presupuestos restringidos se orienta hacia cómputo gestionado de capacidad controlada. Las plataformas de orquestación gestionada como AWS ECS (Elastic Container Service) con tipo de lanzamiento EC2 delegan al proveedor de nube el ciclo de vida de los contenedores (</w:t>
      </w:r>
      <w:r>
        <w:rPr>
          <w:i w:val="1"/>
          <w:iCs w:val="1"/>
        </w:rPr>
        <w:t xml:space="preserve">Task Definitions</w:t>
      </w:r>
      <w:r>
        <w:rPr/>
        <w:t xml:space="preserve">, despliegues y </w:t>
      </w:r>
      <w:r>
        <w:rPr>
          <w:i w:val="1"/>
          <w:iCs w:val="1"/>
        </w:rPr>
        <w:t xml:space="preserve">health checks</w:t>
      </w:r>
      <w:r>
        <w:rPr/>
        <w:t xml:space="preserve">), mientras permiten al equipo técnico un control preciso sobre la capacidad de cómputo subyacente (Amazon Web Services, 2022). Siguiendo el mismo principio con una capa menos, un grupo de Auto Scaling de instancias EC2 que ejecutan el contenedor con Docker detrás de un balanceador de carga conserva ese control sin añadir un orquestador que mantener. El uso de instancias de bajo coste, como las familias de rendimiento ampliable t3 y t4g, permite ejecutar estas arquitecturas garantizando predictibilidad financiera y sostenibilidad operativa para las PYMEs (Amazon Web Services, 2022).</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Calibri" w:cs="Calibri" w:eastAsia="Calibri" w:hAnsi="Calibri"/>
          <w:b w:val="1"/>
          <w:bCs w:val="1"/>
          <w:i w:val="1"/>
          <w:iCs w:val="1"/>
          <w:smallCaps w:val="0"/>
          <w:strike w:val="0"/>
          <w:color w:val="000000"/>
          <w:sz w:val="24"/>
          <w:szCs w:val="24"/>
          <w:u w:val="none"/>
          <w:shd w:fill="auto" w:val="clear"/>
          <w:vertAlign w:val="baseline"/>
        </w:rPr>
      </w:pPr>
      <w:bookmarkStart w:colFirst="0" w:colLast="0" w:name="_heading=h.809uwd600tux" w:id="14"/>
      <w:bookmarkEnd w:id="14"/>
      <w:r>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Figura </w: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begin"/>
      </w:r>
      <w:r>
        <w:rPr>
          <w:rFonts w:ascii="Calibri" w:cs="Calibri" w:eastAsia="Calibri" w:hAnsi="Calibri"/>
          <w:b w:val="1"/>
          <w:bCs w:val="1"/>
          <w:i w:val="0"/>
          <w:iCs w:val="0"/>
          <w:smallCaps w:val="0"/>
          <w:strike w:val="0"/>
          <w:color w:val="000000"/>
          <w:sz w:val="24"/>
          <w:szCs w:val="24"/>
          <w:u w:val="none"/>
          <w:shd w:fill="auto" w:val="clear"/>
          <w:vertAlign w:val="baseline"/>
          <w:rtl w:val="0"/>
        </w:rPr>
        <w:instrText xml:space="preserve"> SEQ Figura \* ARABIC </w:instrTex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separate"/>
      </w:r>
      <w:r>
        <w:rPr>
          <w:rFonts w:ascii="Calibri" w:cs="Calibri" w:eastAsia="Calibri" w:hAnsi="Calibri"/>
          <w:b w:val="1"/>
          <w:bCs w:val="1"/>
          <w:i w:val="0"/>
          <w:iCs w:val="0"/>
          <w:smallCaps w:val="0"/>
          <w:strike w:val="0"/>
          <w:color w:val="000000"/>
          <w:sz w:val="24"/>
          <w:szCs w:val="24"/>
          <w:u w:val="none"/>
          <w:shd w:fill="auto" w:val="clear"/>
          <w:vertAlign w:val="baseline"/>
          <w:rtl w:val="0"/>
        </w:rPr>
        <w:t>2</w: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end"/>
      </w:r>
      <w:r>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Comparativa conceptual de orquestación: Kubernetes vs. AWS ECS/EC2 </w:t>
      </w:r>
      <w:r w:rsidDel="00000000" w:rsidR="00000000" w:rsidRPr="00000000">
        <w:rPr>
          <w:rtl w:val="0"/>
        </w:rPr>
      </w:r>
    </w:p>
    <w:p w:rsidR="00000000" w:rsidDel="00000000" w:rsidP="00000000" w:rsidRDefault="00000000" w:rsidRPr="00000000" w14:paraId="000000C3">
      <w:pPr>
        <w:jc w:val="center"/>
        <w:rPr/>
      </w:pPr>
      <w:r w:rsidDel="00000000" w:rsidR="00000000" w:rsidRPr="00000000">
        <w:rPr/>
        <w:drawing>
          <wp:inline distB="0" distT="0" distL="0" distR="0">
            <wp:extent cx="4805921" cy="1331946"/>
            <wp:effectExtent b="0" l="0" r="0" t="0"/>
            <wp:docPr id="184085746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805921" cy="1331946"/>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pBdr>
          <w:top w:space="0" w:sz="0" w:val="nil"/>
          <w:left w:space="0" w:sz="0" w:val="nil"/>
          <w:bottom w:space="0" w:sz="0" w:val="nil"/>
          <w:right w:space="0" w:sz="0" w:val="nil"/>
          <w:between w:space="0" w:sz="0" w:val="nil"/>
        </w:pBdr>
        <w:spacing w:after="0" w:line="276" w:lineRule="auto"/>
        <w:ind w:left="-113" w:right="-215" w:firstLine="0"/>
        <w:jc w:val="center"/>
        <w:rPr>
          <w:color w:val="595959"/>
          <w:sz w:val="19"/>
          <w:szCs w:val="19"/>
        </w:rPr>
      </w:pPr>
      <w:r w:rsidDel="00000000" w:rsidR="00000000" w:rsidRPr="00000000">
        <w:rPr>
          <w:color w:val="595959"/>
          <w:sz w:val="19"/>
          <w:szCs w:val="19"/>
          <w:rtl w:val="0"/>
        </w:rPr>
        <w:t xml:space="preserve">Fuente: Adaptado de Amazon Web Services, 2022; Pahl et al., 2018.</w:t>
      </w:r>
    </w:p>
    <w:p w:rsidR="00000000" w:rsidDel="00000000" w:rsidP="00000000" w:rsidRDefault="00000000" w:rsidRPr="00000000" w14:paraId="000000C5">
      <w:pPr>
        <w:pBdr>
          <w:top w:space="0" w:sz="0" w:val="nil"/>
          <w:left w:space="0" w:sz="0" w:val="nil"/>
          <w:bottom w:space="0" w:sz="0" w:val="nil"/>
          <w:right w:space="0" w:sz="0" w:val="nil"/>
          <w:between w:space="0" w:sz="0" w:val="nil"/>
        </w:pBdr>
        <w:jc w:val="left"/>
        <w:rPr>
          <w:i w:val="1"/>
          <w:iCs w:val="1"/>
          <w:color w:val="000000"/>
        </w:rPr>
      </w:pPr>
      <w:r w:rsidDel="00000000" w:rsidR="00000000" w:rsidRPr="00000000">
        <w:rPr>
          <w:rtl w:val="0"/>
        </w:rPr>
      </w:r>
    </w:p>
    <w:p w:rsidR="00000000" w:rsidDel="00000000" w:rsidP="00000000" w:rsidRDefault="00000000" w:rsidRPr="00000000" w14:paraId="000000C6">
      <w:pPr>
        <w:pStyle w:val="Heading3"/>
        <w:numPr>
          <w:ilvl w:val="2"/>
          <w:numId w:val="9"/>
        </w:numPr>
        <w:ind w:left="720" w:hanging="720"/>
        <w:rPr/>
      </w:pPr>
      <w:bookmarkStart w:colFirst="0" w:colLast="0" w:name="_heading=h.ln0njd4q45gw" w:id="15"/>
      <w:bookmarkEnd w:id="15"/>
      <w:r w:rsidDel="00000000" w:rsidR="00000000" w:rsidRPr="00000000">
        <w:rPr>
          <w:rtl w:val="0"/>
        </w:rPr>
        <w:t xml:space="preserve">Infraestructura como Código (IaC)</w:t>
      </w:r>
    </w:p>
    <w:p w:rsidR="00000000" w:rsidDel="00000000" w:rsidP="00000000" w:rsidRDefault="00000000" w:rsidRPr="00000000" w14:paraId="000000C7">
      <w:pPr>
        <w:rPr/>
      </w:pPr>
      <w:r w:rsidDel="00000000" w:rsidR="00000000" w:rsidRPr="00000000">
        <w:rPr>
          <w:rtl w:val="0"/>
        </w:rPr>
        <w:t xml:space="preserve">La Infraestructura como Código (IaC) es la práctica de gestionar y aprovisionar recursos informáticos (cómputo, redes, bases de datos) mediante archivos de definición legibles por máquina, aplicando los principios del desarrollo de software como el control de versiones, la revisión de código y las pruebas automatizadas </w:t>
      </w:r>
      <w:r w:rsidDel="00000000" w:rsidR="00000000" w:rsidRPr="00000000">
        <w:rPr>
          <w:color w:val="000000"/>
          <w:rtl w:val="0"/>
        </w:rPr>
        <w:t xml:space="preserve">(Artac et al., 2017; Morris, 2021)</w:t>
      </w: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Un aspecto crítico en IaC es la mitigación del </w:t>
      </w:r>
      <w:r w:rsidDel="00000000" w:rsidR="00000000" w:rsidRPr="00000000">
        <w:rPr>
          <w:i w:val="1"/>
          <w:iCs w:val="1"/>
          <w:rtl w:val="0"/>
        </w:rPr>
        <w:t xml:space="preserve">configuration drift</w:t>
      </w:r>
      <w:r w:rsidDel="00000000" w:rsidR="00000000" w:rsidRPr="00000000">
        <w:rPr>
          <w:rtl w:val="0"/>
        </w:rPr>
        <w:t xml:space="preserve"> (desviación de configuración), el cual ocurre cuando los recursos en la nube sufren modificaciones manuales fuera del código fuente </w:t>
      </w:r>
      <w:r w:rsidDel="00000000" w:rsidR="00000000" w:rsidRPr="00000000">
        <w:rPr>
          <w:color w:val="000000"/>
          <w:rtl w:val="0"/>
        </w:rPr>
        <w:t xml:space="preserve">(Guerriero et al., 2019; Kumara et al., 2021)</w:t>
      </w:r>
      <w:r w:rsidDel="00000000" w:rsidR="00000000" w:rsidRPr="00000000">
        <w:rPr>
          <w:rtl w:val="0"/>
        </w:rPr>
        <w:t xml:space="preserve">. Para resolver esto, las herramientas modernas emplean modelos declarativos apoyados en archivos de estado que rastrean la topología desplegada </w:t>
      </w:r>
      <w:r w:rsidDel="00000000" w:rsidR="00000000" w:rsidRPr="00000000">
        <w:rPr>
          <w:color w:val="000000"/>
          <w:rtl w:val="0"/>
        </w:rPr>
        <w:t xml:space="preserve">(Guerriero et al., 2019)</w:t>
      </w:r>
      <w:r w:rsidDel="00000000" w:rsidR="00000000" w:rsidRPr="00000000">
        <w:rPr>
          <w:rtl w:val="0"/>
        </w:rPr>
        <w:t xml:space="preserve">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bookmarkStart w:colFirst="0" w:colLast="0" w:name="_heading=h.cjlkh7msxhrn" w:id="16"/>
      <w:bookmarkEnd w:id="16"/>
      <w:r>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Tabla </w: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begin"/>
      </w:r>
      <w:r>
        <w:rPr>
          <w:rFonts w:ascii="Calibri" w:cs="Calibri" w:eastAsia="Calibri" w:hAnsi="Calibri"/>
          <w:b w:val="1"/>
          <w:bCs w:val="1"/>
          <w:i w:val="0"/>
          <w:iCs w:val="0"/>
          <w:smallCaps w:val="0"/>
          <w:strike w:val="0"/>
          <w:color w:val="000000"/>
          <w:sz w:val="24"/>
          <w:szCs w:val="24"/>
          <w:u w:val="none"/>
          <w:shd w:fill="auto" w:val="clear"/>
          <w:vertAlign w:val="baseline"/>
          <w:rtl w:val="0"/>
        </w:rPr>
        <w:instrText xml:space="preserve"> SEQ Tabla \* ARABIC </w:instrTex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separate"/>
      </w:r>
      <w:r>
        <w:rPr>
          <w:rFonts w:ascii="Calibri" w:cs="Calibri" w:eastAsia="Calibri" w:hAnsi="Calibri"/>
          <w:b w:val="1"/>
          <w:bCs w:val="1"/>
          <w:i w:val="0"/>
          <w:iCs w:val="0"/>
          <w:smallCaps w:val="0"/>
          <w:strike w:val="0"/>
          <w:color w:val="000000"/>
          <w:sz w:val="24"/>
          <w:szCs w:val="24"/>
          <w:u w:val="none"/>
          <w:shd w:fill="auto" w:val="clear"/>
          <w:vertAlign w:val="baseline"/>
          <w:rtl w:val="0"/>
        </w:rPr>
        <w:t>3</w:t>
      </w:r>
      <w:r>
        <w:rPr>
          <w:rFonts w:ascii="Calibri" w:cs="Calibri" w:eastAsia="Calibri" w:hAnsi="Calibri"/>
          <w:b w:val="1"/>
          <w:bCs w:val="1"/>
          <w:i w:val="0"/>
          <w:iCs w:val="0"/>
          <w:smallCaps w:val="0"/>
          <w:strike w:val="0"/>
          <w:color w:val="000000"/>
          <w:sz w:val="24"/>
          <w:szCs w:val="24"/>
          <w:u w:val="none"/>
          <w:shd w:fill="auto" w:val="clear"/>
          <w:vertAlign w:val="baseline"/>
          <w:rtl w:val="0"/>
        </w:rPr>
        <w:fldChar w:fldCharType="end"/>
      </w:r>
      <w:r>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Comparativa de herramientas de Infraestructura como Código.</w:t>
      </w:r>
      <w:r w:rsidDel="00000000" w:rsidR="00000000" w:rsidRPr="00000000">
        <w:rPr>
          <w:rtl w:val="0"/>
        </w:rPr>
      </w:r>
    </w:p>
    <w:tbl>
      <w:tblPr>
        <w:tblStyle w:val="Table4"/>
        <w:tblW w:w="9055.0"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1968"/>
        <w:gridCol w:w="2483"/>
        <w:gridCol w:w="2006"/>
        <w:gridCol w:w="2598"/>
        <w:tblGridChange w:id="0">
          <w:tblGrid>
            <w:gridCol w:w="1968"/>
            <w:gridCol w:w="2483"/>
            <w:gridCol w:w="2006"/>
            <w:gridCol w:w="2598"/>
          </w:tblGrid>
        </w:tblGridChange>
      </w:tblGrid>
      <w:tr>
        <w:trPr>
          <w:cantSplit w:val="0"/>
          <w:tblHeader w:val="0"/>
        </w:trPr>
        <w:tc>
          <w:tcPr/>
          <w:p w:rsidR="00000000" w:rsidDel="00000000" w:rsidP="00000000" w:rsidRDefault="00000000" w:rsidRPr="00000000" w14:paraId="000000CB">
            <w:pPr>
              <w:spacing w:before="0" w:lineRule="auto"/>
              <w:jc w:val="left"/>
              <w:rPr/>
            </w:pPr>
            <w:r w:rsidDel="00000000" w:rsidR="00000000" w:rsidRPr="00000000">
              <w:rPr>
                <w:b w:val="1"/>
                <w:bCs w:val="1"/>
                <w:rtl w:val="0"/>
              </w:rPr>
              <w:t xml:space="preserve">Criterio</w:t>
            </w:r>
            <w:r w:rsidDel="00000000" w:rsidR="00000000" w:rsidRPr="00000000">
              <w:rPr>
                <w:rtl w:val="0"/>
              </w:rPr>
            </w:r>
          </w:p>
        </w:tc>
        <w:tc>
          <w:tcPr/>
          <w:p w:rsidR="00000000" w:rsidDel="00000000" w:rsidP="00000000" w:rsidRDefault="00000000" w:rsidRPr="00000000" w14:paraId="000000CC">
            <w:pPr>
              <w:spacing w:before="0" w:lineRule="auto"/>
              <w:jc w:val="left"/>
              <w:rPr/>
            </w:pPr>
            <w:r w:rsidDel="00000000" w:rsidR="00000000" w:rsidRPr="00000000">
              <w:rPr>
                <w:b w:val="1"/>
                <w:bCs w:val="1"/>
                <w:rtl w:val="0"/>
              </w:rPr>
              <w:t xml:space="preserve">AWS CloudFormation</w:t>
            </w:r>
            <w:r w:rsidDel="00000000" w:rsidR="00000000" w:rsidRPr="00000000">
              <w:rPr>
                <w:rtl w:val="0"/>
              </w:rPr>
            </w:r>
          </w:p>
        </w:tc>
        <w:tc>
          <w:tcPr/>
          <w:p w:rsidR="00000000" w:rsidDel="00000000" w:rsidP="00000000" w:rsidRDefault="00000000" w:rsidRPr="00000000" w14:paraId="000000CD">
            <w:pPr>
              <w:spacing w:before="0" w:lineRule="auto"/>
              <w:jc w:val="left"/>
              <w:rPr/>
            </w:pPr>
            <w:r w:rsidDel="00000000" w:rsidR="00000000" w:rsidRPr="00000000">
              <w:rPr>
                <w:b w:val="1"/>
                <w:bCs w:val="1"/>
                <w:rtl w:val="0"/>
              </w:rPr>
              <w:t xml:space="preserve">Ansible</w:t>
            </w:r>
            <w:r w:rsidDel="00000000" w:rsidR="00000000" w:rsidRPr="00000000">
              <w:rPr>
                <w:rtl w:val="0"/>
              </w:rPr>
            </w:r>
          </w:p>
        </w:tc>
        <w:tc>
          <w:tcPr/>
          <w:p w:rsidR="00000000" w:rsidDel="00000000" w:rsidP="00000000" w:rsidRDefault="00000000" w:rsidRPr="00000000" w14:paraId="000000CE">
            <w:pPr>
              <w:spacing w:before="0" w:lineRule="auto"/>
              <w:jc w:val="left"/>
              <w:rPr/>
            </w:pPr>
            <w:r w:rsidDel="00000000" w:rsidR="00000000" w:rsidRPr="00000000">
              <w:rPr>
                <w:b w:val="1"/>
                <w:bCs w:val="1"/>
                <w:rtl w:val="0"/>
              </w:rPr>
              <w:t xml:space="preserve">Terraform</w:t>
            </w:r>
            <w:r w:rsidDel="00000000" w:rsidR="00000000" w:rsidRPr="00000000">
              <w:rPr>
                <w:rtl w:val="0"/>
              </w:rPr>
            </w:r>
          </w:p>
        </w:tc>
      </w:tr>
      <w:tr>
        <w:trPr>
          <w:cantSplit w:val="0"/>
          <w:tblHeader w:val="0"/>
        </w:trPr>
        <w:tc>
          <w:tcPr/>
          <w:p w:rsidR="00000000" w:rsidDel="00000000" w:rsidP="00000000" w:rsidRDefault="00000000" w:rsidRPr="00000000" w14:paraId="000000CF">
            <w:pPr>
              <w:spacing w:before="0" w:lineRule="auto"/>
              <w:jc w:val="left"/>
              <w:rPr/>
            </w:pPr>
            <w:r w:rsidDel="00000000" w:rsidR="00000000" w:rsidRPr="00000000">
              <w:rPr>
                <w:b w:val="1"/>
                <w:bCs w:val="1"/>
                <w:rtl w:val="0"/>
              </w:rPr>
              <w:t xml:space="preserve">Enfoque principal</w:t>
            </w:r>
            <w:r w:rsidDel="00000000" w:rsidR="00000000" w:rsidRPr="00000000">
              <w:rPr>
                <w:rtl w:val="0"/>
              </w:rPr>
            </w:r>
          </w:p>
        </w:tc>
        <w:tc>
          <w:tcPr/>
          <w:p w:rsidR="00000000" w:rsidDel="00000000" w:rsidP="00000000" w:rsidRDefault="00000000" w:rsidRPr="00000000" w14:paraId="000000D0">
            <w:pPr>
              <w:spacing w:before="0" w:lineRule="auto"/>
              <w:jc w:val="left"/>
              <w:rPr/>
            </w:pPr>
            <w:r w:rsidDel="00000000" w:rsidR="00000000" w:rsidRPr="00000000">
              <w:rPr>
                <w:rtl w:val="0"/>
              </w:rPr>
              <w:t xml:space="preserve">Aprovisionamiento cloud </w:t>
            </w:r>
          </w:p>
        </w:tc>
        <w:tc>
          <w:tcPr/>
          <w:p w:rsidR="00000000" w:rsidDel="00000000" w:rsidP="00000000" w:rsidRDefault="00000000" w:rsidRPr="00000000" w14:paraId="000000D1">
            <w:pPr>
              <w:spacing w:before="0" w:lineRule="auto"/>
              <w:jc w:val="left"/>
              <w:rPr/>
            </w:pPr>
            <w:r w:rsidDel="00000000" w:rsidR="00000000" w:rsidRPr="00000000">
              <w:rPr>
                <w:rtl w:val="0"/>
              </w:rPr>
              <w:t xml:space="preserve">Gestión de configuración</w:t>
            </w:r>
          </w:p>
        </w:tc>
        <w:tc>
          <w:tcPr/>
          <w:p w:rsidR="00000000" w:rsidDel="00000000" w:rsidP="00000000" w:rsidRDefault="00000000" w:rsidRPr="00000000" w14:paraId="000000D2">
            <w:pPr>
              <w:spacing w:before="0" w:lineRule="auto"/>
              <w:jc w:val="left"/>
              <w:rPr/>
            </w:pPr>
            <w:r w:rsidDel="00000000" w:rsidR="00000000" w:rsidRPr="00000000">
              <w:rPr>
                <w:rtl w:val="0"/>
              </w:rPr>
              <w:t xml:space="preserve">Aprovisionamiento de infraestructura </w:t>
            </w:r>
          </w:p>
        </w:tc>
      </w:tr>
      <w:tr>
        <w:trPr>
          <w:cantSplit w:val="0"/>
          <w:tblHeader w:val="0"/>
        </w:trPr>
        <w:tc>
          <w:tcPr/>
          <w:p w:rsidR="00000000" w:rsidDel="00000000" w:rsidP="00000000" w:rsidRDefault="00000000" w:rsidRPr="00000000" w14:paraId="000000D3">
            <w:pPr>
              <w:spacing w:before="0" w:lineRule="auto"/>
              <w:jc w:val="left"/>
              <w:rPr/>
            </w:pPr>
            <w:r w:rsidDel="00000000" w:rsidR="00000000" w:rsidRPr="00000000">
              <w:rPr>
                <w:b w:val="1"/>
                <w:bCs w:val="1"/>
                <w:rtl w:val="0"/>
              </w:rPr>
              <w:t xml:space="preserve">Paradigma</w:t>
            </w:r>
            <w:r w:rsidDel="00000000" w:rsidR="00000000" w:rsidRPr="00000000">
              <w:rPr>
                <w:rtl w:val="0"/>
              </w:rPr>
            </w:r>
          </w:p>
        </w:tc>
        <w:tc>
          <w:tcPr/>
          <w:p w:rsidR="00000000" w:rsidDel="00000000" w:rsidP="00000000" w:rsidRDefault="00000000" w:rsidRPr="00000000" w14:paraId="000000D4">
            <w:pPr>
              <w:spacing w:before="0" w:lineRule="auto"/>
              <w:jc w:val="left"/>
              <w:rPr/>
            </w:pPr>
            <w:r w:rsidDel="00000000" w:rsidR="00000000" w:rsidRPr="00000000">
              <w:rPr>
                <w:rtl w:val="0"/>
              </w:rPr>
              <w:t xml:space="preserve">Declarativo</w:t>
            </w:r>
          </w:p>
        </w:tc>
        <w:tc>
          <w:tcPr/>
          <w:p w:rsidR="00000000" w:rsidDel="00000000" w:rsidP="00000000" w:rsidRDefault="00000000" w:rsidRPr="00000000" w14:paraId="000000D5">
            <w:pPr>
              <w:spacing w:before="0" w:lineRule="auto"/>
              <w:jc w:val="left"/>
              <w:rPr/>
            </w:pPr>
            <w:r w:rsidDel="00000000" w:rsidR="00000000" w:rsidRPr="00000000">
              <w:rPr>
                <w:rtl w:val="0"/>
              </w:rPr>
              <w:t xml:space="preserve">Imperativo / Declarativo</w:t>
            </w:r>
          </w:p>
        </w:tc>
        <w:tc>
          <w:tcPr/>
          <w:p w:rsidR="00000000" w:rsidDel="00000000" w:rsidP="00000000" w:rsidRDefault="00000000" w:rsidRPr="00000000" w14:paraId="000000D6">
            <w:pPr>
              <w:spacing w:before="0" w:lineRule="auto"/>
              <w:jc w:val="left"/>
              <w:rPr/>
            </w:pPr>
            <w:r w:rsidDel="00000000" w:rsidR="00000000" w:rsidRPr="00000000">
              <w:rPr>
                <w:rtl w:val="0"/>
              </w:rPr>
              <w:t xml:space="preserve">Declarativo </w:t>
            </w:r>
          </w:p>
        </w:tc>
      </w:tr>
      <w:tr>
        <w:trPr>
          <w:cantSplit w:val="0"/>
          <w:tblHeader w:val="0"/>
        </w:trPr>
        <w:tc>
          <w:tcPr/>
          <w:p w:rsidR="00000000" w:rsidDel="00000000" w:rsidP="00000000" w:rsidRDefault="00000000" w:rsidRPr="00000000" w14:paraId="000000D7">
            <w:pPr>
              <w:spacing w:before="0" w:lineRule="auto"/>
              <w:jc w:val="left"/>
              <w:rPr/>
            </w:pPr>
            <w:r w:rsidDel="00000000" w:rsidR="00000000" w:rsidRPr="00000000">
              <w:rPr>
                <w:b w:val="1"/>
                <w:bCs w:val="1"/>
                <w:rtl w:val="0"/>
              </w:rPr>
              <w:t xml:space="preserve">Portabilidad</w:t>
            </w:r>
            <w:r w:rsidDel="00000000" w:rsidR="00000000" w:rsidRPr="00000000">
              <w:rPr>
                <w:rtl w:val="0"/>
              </w:rPr>
            </w:r>
          </w:p>
        </w:tc>
        <w:tc>
          <w:tcPr/>
          <w:p w:rsidR="00000000" w:rsidDel="00000000" w:rsidP="00000000" w:rsidRDefault="00000000" w:rsidRPr="00000000" w14:paraId="000000D8">
            <w:pPr>
              <w:spacing w:before="0" w:lineRule="auto"/>
              <w:jc w:val="left"/>
              <w:rPr/>
            </w:pPr>
            <w:r w:rsidDel="00000000" w:rsidR="00000000" w:rsidRPr="00000000">
              <w:rPr>
                <w:rtl w:val="0"/>
              </w:rPr>
              <w:t xml:space="preserve">Exclusivo de AWS (</w:t>
            </w:r>
            <w:r w:rsidDel="00000000" w:rsidR="00000000" w:rsidRPr="00000000">
              <w:rPr>
                <w:i w:val="1"/>
                <w:iCs w:val="1"/>
                <w:rtl w:val="0"/>
              </w:rPr>
              <w:t xml:space="preserve">lock-in</w:t>
            </w:r>
            <w:r w:rsidDel="00000000" w:rsidR="00000000" w:rsidRPr="00000000">
              <w:rPr>
                <w:rtl w:val="0"/>
              </w:rPr>
              <w:t xml:space="preserve">)</w:t>
            </w:r>
          </w:p>
        </w:tc>
        <w:tc>
          <w:tcPr/>
          <w:p w:rsidR="00000000" w:rsidDel="00000000" w:rsidP="00000000" w:rsidRDefault="00000000" w:rsidRPr="00000000" w14:paraId="000000D9">
            <w:pPr>
              <w:spacing w:before="0" w:lineRule="auto"/>
              <w:jc w:val="left"/>
              <w:rPr/>
            </w:pPr>
            <w:r w:rsidDel="00000000" w:rsidR="00000000" w:rsidRPr="00000000">
              <w:rPr>
                <w:rtl w:val="0"/>
              </w:rPr>
              <w:t xml:space="preserve">Multi-proveedor</w:t>
            </w:r>
          </w:p>
        </w:tc>
        <w:tc>
          <w:tcPr/>
          <w:p w:rsidR="00000000" w:rsidDel="00000000" w:rsidP="00000000" w:rsidRDefault="00000000" w:rsidRPr="00000000" w14:paraId="000000DA">
            <w:pPr>
              <w:spacing w:before="0" w:lineRule="auto"/>
              <w:jc w:val="left"/>
              <w:rPr/>
            </w:pPr>
            <w:r w:rsidDel="00000000" w:rsidR="00000000" w:rsidRPr="00000000">
              <w:rPr>
                <w:rtl w:val="0"/>
              </w:rPr>
              <w:t xml:space="preserve">Multi-proveedor (</w:t>
            </w:r>
            <w:r w:rsidDel="00000000" w:rsidR="00000000" w:rsidRPr="00000000">
              <w:rPr>
                <w:i w:val="1"/>
                <w:iCs w:val="1"/>
                <w:rtl w:val="0"/>
              </w:rPr>
              <w:t xml:space="preserve">Agnóstico</w:t>
            </w:r>
            <w:r w:rsidDel="00000000" w:rsidR="00000000" w:rsidRPr="00000000">
              <w:rPr>
                <w:rtl w:val="0"/>
              </w:rPr>
              <w:t xml:space="preserve">) </w:t>
            </w:r>
          </w:p>
        </w:tc>
      </w:tr>
      <w:tr>
        <w:trPr>
          <w:cantSplit w:val="0"/>
          <w:tblHeader w:val="0"/>
        </w:trPr>
        <w:tc>
          <w:tcPr/>
          <w:p w:rsidR="00000000" w:rsidDel="00000000" w:rsidP="00000000" w:rsidRDefault="00000000" w:rsidRPr="00000000" w14:paraId="000000DB">
            <w:pPr>
              <w:spacing w:before="0" w:lineRule="auto"/>
              <w:jc w:val="left"/>
              <w:rPr/>
            </w:pPr>
            <w:r w:rsidDel="00000000" w:rsidR="00000000" w:rsidRPr="00000000">
              <w:rPr>
                <w:b w:val="1"/>
                <w:bCs w:val="1"/>
                <w:rtl w:val="0"/>
              </w:rPr>
              <w:t xml:space="preserve">Manejo de estado</w:t>
            </w:r>
            <w:r w:rsidDel="00000000" w:rsidR="00000000" w:rsidRPr="00000000">
              <w:rPr>
                <w:rtl w:val="0"/>
              </w:rPr>
            </w:r>
          </w:p>
        </w:tc>
        <w:tc>
          <w:tcPr/>
          <w:p w:rsidR="00000000" w:rsidDel="00000000" w:rsidP="00000000" w:rsidRDefault="00000000" w:rsidRPr="00000000" w14:paraId="000000DC">
            <w:pPr>
              <w:spacing w:before="0" w:lineRule="auto"/>
              <w:jc w:val="left"/>
              <w:rPr/>
            </w:pPr>
            <w:r w:rsidDel="00000000" w:rsidR="00000000" w:rsidRPr="00000000">
              <w:rPr>
                <w:rtl w:val="0"/>
              </w:rPr>
              <w:t xml:space="preserve">Gestionado por AWS</w:t>
            </w:r>
          </w:p>
        </w:tc>
        <w:tc>
          <w:tcPr/>
          <w:p w:rsidR="00000000" w:rsidDel="00000000" w:rsidP="00000000" w:rsidRDefault="00000000" w:rsidRPr="00000000" w14:paraId="000000DD">
            <w:pPr>
              <w:spacing w:before="0" w:lineRule="auto"/>
              <w:jc w:val="left"/>
              <w:rPr/>
            </w:pPr>
            <w:r w:rsidDel="00000000" w:rsidR="00000000" w:rsidRPr="00000000">
              <w:rPr>
                <w:rtl w:val="0"/>
              </w:rPr>
              <w:t xml:space="preserve">Sin estado nativo (</w:t>
            </w:r>
            <w:r w:rsidDel="00000000" w:rsidR="00000000" w:rsidRPr="00000000">
              <w:rPr>
                <w:i w:val="1"/>
                <w:iCs w:val="1"/>
                <w:rtl w:val="0"/>
              </w:rPr>
              <w:t xml:space="preserve">Stateless</w:t>
            </w:r>
            <w:r w:rsidDel="00000000" w:rsidR="00000000" w:rsidRPr="00000000">
              <w:rPr>
                <w:rtl w:val="0"/>
              </w:rPr>
              <w:t xml:space="preserve">)</w:t>
            </w:r>
          </w:p>
        </w:tc>
        <w:tc>
          <w:tcPr/>
          <w:p w:rsidR="00000000" w:rsidDel="00000000" w:rsidP="00000000" w:rsidRDefault="00000000" w:rsidRPr="00000000" w14:paraId="000000DE">
            <w:pPr>
              <w:spacing w:before="0" w:lineRule="auto"/>
              <w:jc w:val="left"/>
              <w:rPr/>
            </w:pPr>
            <w:r w:rsidDel="00000000" w:rsidR="00000000" w:rsidRPr="00000000">
              <w:rPr>
                <w:rtl w:val="0"/>
              </w:rPr>
              <w:t xml:space="preserve">Archivo de estado (</w:t>
            </w:r>
            <w:r w:rsidDel="00000000" w:rsidR="00000000" w:rsidRPr="00000000">
              <w:rPr>
                <w:i w:val="1"/>
                <w:iCs w:val="1"/>
                <w:rtl w:val="0"/>
              </w:rPr>
              <w:t xml:space="preserve">tfstate</w:t>
            </w:r>
            <w:r w:rsidDel="00000000" w:rsidR="00000000" w:rsidRPr="00000000">
              <w:rPr>
                <w:rtl w:val="0"/>
              </w:rPr>
              <w:t xml:space="preserve">)</w:t>
            </w:r>
          </w:p>
        </w:tc>
      </w:tr>
      <w:tr>
        <w:trPr>
          <w:cantSplit w:val="0"/>
          <w:tblHeader w:val="0"/>
        </w:trPr>
        <w:tc>
          <w:tcPr/>
          <w:p w:rsidR="00000000" w:rsidDel="00000000" w:rsidP="00000000" w:rsidRDefault="00000000" w:rsidRPr="00000000" w14:paraId="000000DF">
            <w:pPr>
              <w:spacing w:before="0" w:lineRule="auto"/>
              <w:jc w:val="left"/>
              <w:rPr/>
            </w:pPr>
            <w:r w:rsidDel="00000000" w:rsidR="00000000" w:rsidRPr="00000000">
              <w:rPr>
                <w:b w:val="1"/>
                <w:bCs w:val="1"/>
                <w:rtl w:val="0"/>
              </w:rPr>
              <w:t xml:space="preserve">Ecosistema y comunidad</w:t>
            </w:r>
            <w:r w:rsidDel="00000000" w:rsidR="00000000" w:rsidRPr="00000000">
              <w:rPr>
                <w:rtl w:val="0"/>
              </w:rPr>
            </w:r>
          </w:p>
        </w:tc>
        <w:tc>
          <w:tcPr/>
          <w:p w:rsidR="00000000" w:rsidDel="00000000" w:rsidP="00000000" w:rsidRDefault="00000000" w:rsidRPr="00000000" w14:paraId="000000E0">
            <w:pPr>
              <w:spacing w:before="0" w:lineRule="auto"/>
              <w:jc w:val="left"/>
              <w:rPr/>
            </w:pPr>
            <w:r w:rsidDel="00000000" w:rsidR="00000000" w:rsidRPr="00000000">
              <w:rPr>
                <w:rtl w:val="0"/>
              </w:rPr>
              <w:t xml:space="preserve">Propietario de AWS</w:t>
            </w:r>
          </w:p>
        </w:tc>
        <w:tc>
          <w:tcPr/>
          <w:p w:rsidR="00000000" w:rsidDel="00000000" w:rsidP="00000000" w:rsidRDefault="00000000" w:rsidRPr="00000000" w14:paraId="000000E1">
            <w:pPr>
              <w:spacing w:before="0" w:lineRule="auto"/>
              <w:jc w:val="left"/>
              <w:rPr/>
            </w:pPr>
            <w:r w:rsidDel="00000000" w:rsidR="00000000" w:rsidRPr="00000000">
              <w:rPr>
                <w:rtl w:val="0"/>
              </w:rPr>
              <w:t xml:space="preserve">Amplia (Red Hat)</w:t>
            </w:r>
          </w:p>
        </w:tc>
        <w:tc>
          <w:tcPr/>
          <w:p w:rsidR="00000000" w:rsidDel="00000000" w:rsidP="00000000" w:rsidRDefault="00000000" w:rsidRPr="00000000" w14:paraId="000000E2">
            <w:pPr>
              <w:spacing w:before="0" w:lineRule="auto"/>
              <w:jc w:val="left"/>
              <w:rPr/>
            </w:pPr>
            <w:r w:rsidDel="00000000" w:rsidR="00000000" w:rsidRPr="00000000">
              <w:rPr>
                <w:rtl w:val="0"/>
              </w:rPr>
              <w:t xml:space="preserve">Muy amplia (HashiCorp) </w:t>
            </w:r>
          </w:p>
        </w:tc>
      </w:tr>
    </w:tbl>
    <w:p w:rsidR="00000000" w:rsidDel="00000000" w:rsidP="00000000" w:rsidRDefault="00000000" w:rsidRPr="00000000" w14:paraId="000000E3">
      <w:pPr>
        <w:pBdr>
          <w:top w:space="0" w:sz="0" w:val="nil"/>
          <w:left w:space="0" w:sz="0" w:val="nil"/>
          <w:bottom w:space="0" w:sz="0" w:val="nil"/>
          <w:right w:space="0" w:sz="0" w:val="nil"/>
          <w:between w:space="0" w:sz="0" w:val="nil"/>
        </w:pBdr>
        <w:spacing w:after="0" w:line="276" w:lineRule="auto"/>
        <w:ind w:left="-113" w:right="-215" w:firstLine="0"/>
        <w:jc w:val="center"/>
        <w:rPr>
          <w:color w:val="595959"/>
          <w:sz w:val="19"/>
          <w:szCs w:val="19"/>
        </w:rPr>
      </w:pPr>
      <w:r w:rsidDel="00000000" w:rsidR="00000000" w:rsidRPr="00000000">
        <w:rPr>
          <w:color w:val="595959"/>
          <w:sz w:val="19"/>
          <w:szCs w:val="19"/>
          <w:rtl w:val="0"/>
        </w:rPr>
        <w:t xml:space="preserve">Fuente</w:t>
      </w:r>
      <w:r w:rsidDel="00000000" w:rsidR="00000000" w:rsidRPr="00000000">
        <w:rPr>
          <w:rtl w:val="0"/>
        </w:rPr>
        <w:t xml:space="preserve"> </w:t>
      </w:r>
      <w:r w:rsidDel="00000000" w:rsidR="00000000" w:rsidRPr="00000000">
        <w:rPr>
          <w:color w:val="595959"/>
          <w:sz w:val="19"/>
          <w:szCs w:val="19"/>
          <w:rtl w:val="0"/>
        </w:rPr>
        <w:t xml:space="preserve">Elaboración propia a partir (Guerriero et al., 2019; Kumara et al., 2021) </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Como se resume en la Tabla 3, Terraform constituye la herramienta seleccionada para este trabajo debido a su lenguaje declarativo HCL (</w:t>
      </w:r>
      <w:r w:rsidDel="00000000" w:rsidR="00000000" w:rsidRPr="00000000">
        <w:rPr>
          <w:i w:val="1"/>
          <w:iCs w:val="1"/>
          <w:rtl w:val="0"/>
        </w:rPr>
        <w:t xml:space="preserve">HashiCorp Configuration Language</w:t>
      </w:r>
      <w:r w:rsidDel="00000000" w:rsidR="00000000" w:rsidRPr="00000000">
        <w:rPr>
          <w:rtl w:val="0"/>
        </w:rPr>
        <w:t xml:space="preserve">), su capacidad de modularización y la gestión transparente del archivo de estado (tfstate).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3"/>
        <w:numPr>
          <w:ilvl w:val="2"/>
          <w:numId w:val="9"/>
        </w:numPr>
        <w:ind w:left="720" w:hanging="720"/>
        <w:rPr/>
      </w:pPr>
      <w:r w:rsidDel="00000000" w:rsidR="00000000" w:rsidRPr="00000000">
        <w:rPr>
          <w:rtl w:val="0"/>
        </w:rPr>
        <w:t xml:space="preserve">Paradigma GitOps e Integración Continua en la Gestión de Infraestructura</w:t>
      </w:r>
    </w:p>
    <w:p w:rsidR="00000000" w:rsidDel="00000000" w:rsidP="00000000" w:rsidRDefault="00000000" w:rsidRPr="00000000" w14:paraId="000000E8">
      <w:pPr>
        <w:rPr/>
      </w:pPr>
      <w:r w:rsidDel="00000000" w:rsidR="00000000" w:rsidRPr="00000000">
        <w:rPr>
          <w:rtl w:val="0"/>
        </w:rPr>
        <w:t xml:space="preserve">El paradigma GitOps extiende las prácticas de desarrollo de software a la administración de infraestructura, utilizando repositorios Git como la única fuente de verdad para la definición del estado deseado del sistema </w:t>
      </w:r>
      <w:r w:rsidDel="00000000" w:rsidR="00000000" w:rsidRPr="00000000">
        <w:rPr>
          <w:color w:val="000000"/>
          <w:rtl w:val="0"/>
        </w:rPr>
        <w:t xml:space="preserve">(Alif &amp; Munggaran, 2024)</w:t>
      </w:r>
      <w:r w:rsidDel="00000000" w:rsidR="00000000" w:rsidRPr="00000000">
        <w:rPr>
          <w:rtl w:val="0"/>
        </w:rPr>
        <w:t xml:space="preserve">. Mediante canalizaciones de integración y despliegue continuos (CI/CD), cualquier cambio en las plantillas de Infraestructura como Código es validado y aplicado automáticamente. Asimismo, la literatura advierte que la escritura de plantillas de IaC sin controles estandarizados puede derivar en malas prácticas de mantenibilidad e inconsistencias de configuración </w:t>
      </w:r>
      <w:r w:rsidDel="00000000" w:rsidR="00000000" w:rsidRPr="00000000">
        <w:rPr>
          <w:color w:val="000000"/>
          <w:rtl w:val="0"/>
        </w:rPr>
        <w:t xml:space="preserve">(Rahman et al., 2019)</w:t>
      </w:r>
      <w:r w:rsidDel="00000000" w:rsidR="00000000" w:rsidRPr="00000000">
        <w:rPr>
          <w:rtl w:val="0"/>
        </w:rPr>
        <w:t xml:space="preserve">, lo que justifica empaquetar estas definiciones en la plataforma de autoservicio bajo parámetros preconfigurados e idempotentes.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3"/>
        <w:numPr>
          <w:ilvl w:val="2"/>
          <w:numId w:val="9"/>
        </w:numPr>
        <w:ind w:left="720" w:hanging="720"/>
        <w:rPr/>
      </w:pPr>
      <w:bookmarkStart w:colFirst="0" w:colLast="0" w:name="_heading=h.7qeayskzhz36" w:id="17"/>
      <w:bookmarkEnd w:id="17"/>
      <w:r w:rsidDel="00000000" w:rsidR="00000000" w:rsidRPr="00000000">
        <w:rPr>
          <w:rtl w:val="0"/>
        </w:rPr>
        <w:t xml:space="preserve">Paradigma de las plataformas de autoservicio (Internal Developer Platforms)</w:t>
      </w:r>
    </w:p>
    <w:p w:rsidR="00000000" w:rsidDel="00000000" w:rsidP="00000000" w:rsidRDefault="00000000" w:rsidRPr="00000000" w14:paraId="000000EB">
      <w:pPr>
        <w:rPr/>
      </w:pPr>
      <w:r w:rsidDel="00000000" w:rsidR="00000000" w:rsidRPr="00000000">
        <w:rPr>
          <w:rtl w:val="0"/>
        </w:rPr>
        <w:t xml:space="preserve">La Ingeniería de Plataformas (</w:t>
      </w:r>
      <w:r w:rsidDel="00000000" w:rsidR="00000000" w:rsidRPr="00000000">
        <w:rPr>
          <w:i w:val="1"/>
          <w:iCs w:val="1"/>
          <w:rtl w:val="0"/>
        </w:rPr>
        <w:t xml:space="preserve">Platform Engineering</w:t>
      </w:r>
      <w:r w:rsidDel="00000000" w:rsidR="00000000" w:rsidRPr="00000000">
        <w:rPr>
          <w:rtl w:val="0"/>
        </w:rPr>
        <w:t xml:space="preserve">) busca estructurar la interacción entre desarrollo y operaciones mediante la creación de plataformas de autoservicio o </w:t>
      </w:r>
      <w:r w:rsidDel="00000000" w:rsidR="00000000" w:rsidRPr="00000000">
        <w:rPr>
          <w:i w:val="1"/>
          <w:iCs w:val="1"/>
          <w:rtl w:val="0"/>
        </w:rPr>
        <w:t xml:space="preserve">Internal Developer Platforms</w:t>
      </w:r>
      <w:r w:rsidDel="00000000" w:rsidR="00000000" w:rsidRPr="00000000">
        <w:rPr>
          <w:rtl w:val="0"/>
        </w:rPr>
        <w:t xml:space="preserve"> (IDP) </w:t>
      </w:r>
      <w:r w:rsidDel="00000000" w:rsidR="00000000" w:rsidRPr="00000000">
        <w:rPr>
          <w:color w:val="000000"/>
          <w:rtl w:val="0"/>
        </w:rPr>
        <w:t xml:space="preserve">(Skelton &amp; Pais, 2019)</w:t>
      </w:r>
      <w:r w:rsidDel="00000000" w:rsidR="00000000" w:rsidRPr="00000000">
        <w:rPr>
          <w:rtl w:val="0"/>
        </w:rPr>
        <w:t xml:space="preserve">  </w:t>
      </w:r>
      <w:r w:rsidDel="00000000" w:rsidR="00000000" w:rsidRPr="00000000">
        <w:rPr>
          <w:color w:val="000000"/>
          <w:rtl w:val="0"/>
        </w:rPr>
        <w:t xml:space="preserve"> </w:t>
      </w:r>
      <w:r w:rsidDel="00000000" w:rsidR="00000000" w:rsidRPr="00000000">
        <w:rPr>
          <w:rtl w:val="0"/>
        </w:rPr>
        <w:t xml:space="preserve">Estas plataformas ofrecen a los usuarios finales un catálogo de servicios prediseñados ("caminos pavimentados") para desplegar recursos sin interactuar directamente con la API compleja del proveedor cloud </w:t>
      </w:r>
      <w:r w:rsidDel="00000000" w:rsidR="00000000" w:rsidRPr="00000000">
        <w:rPr>
          <w:color w:val="000000"/>
          <w:rtl w:val="0"/>
        </w:rPr>
        <w:t xml:space="preserve">(Nygard, 2018)</w:t>
      </w:r>
      <w:r w:rsidDel="00000000" w:rsidR="00000000" w:rsidRPr="00000000">
        <w:rPr>
          <w:rtl w:val="0"/>
        </w:rPr>
        <w:t xml:space="preserve"> </w:t>
      </w:r>
    </w:p>
    <w:p w:rsidR="00000000" w:rsidDel="00000000" w:rsidP="00000000" w:rsidRDefault="00000000" w:rsidRPr="00000000" w14:paraId="000000EC">
      <w:pPr>
        <w:rPr/>
      </w:pPr>
      <w:r w:rsidDel="00000000" w:rsidR="00000000" w:rsidRPr="00000000">
        <w:rPr>
          <w:rtl w:val="0"/>
        </w:rPr>
        <w:t xml:space="preserve">Soluciones comerciales y de código abierto existentes en el mercado, como </w:t>
      </w:r>
      <w:r w:rsidDel="00000000" w:rsidR="00000000" w:rsidRPr="00000000">
        <w:rPr>
          <w:i w:val="1"/>
          <w:iCs w:val="1"/>
          <w:rtl w:val="0"/>
        </w:rPr>
        <w:t xml:space="preserve">Backstage</w:t>
      </w:r>
      <w:r w:rsidDel="00000000" w:rsidR="00000000" w:rsidRPr="00000000">
        <w:rPr>
          <w:rtl w:val="0"/>
        </w:rPr>
        <w:t xml:space="preserve"> (desarrollada por Spotify) o </w:t>
      </w:r>
      <w:r w:rsidDel="00000000" w:rsidR="00000000" w:rsidRPr="00000000">
        <w:rPr>
          <w:i w:val="1"/>
          <w:iCs w:val="1"/>
          <w:rtl w:val="0"/>
        </w:rPr>
        <w:t xml:space="preserve">Portainer</w:t>
      </w:r>
      <w:r w:rsidDel="00000000" w:rsidR="00000000" w:rsidRPr="00000000">
        <w:rPr>
          <w:rtl w:val="0"/>
        </w:rPr>
        <w:t xml:space="preserve">, ofrecen catálogos de servicios y paneles para la gestión de desplegables. Sin embargo, estas herramientas están diseñadas primariamente para organizaciones de mediano a gran tamaño que ya poseen un equipo interno de ingeniería de infraestructura encargado de configurar y mantener la propia IDP. Para las PYMEs, la instalación, integración y mantenimiento de una IDP tradicional representa una barrera de entrada tan alta como la propia gestión directa de la nube. Esta limitación justificó la necesidad de diseñar una plataforma simplificada y preconfigurada, ajustada específicamente a los escenarios comunes de despliegue en PYMEs.</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pStyle w:val="Heading3"/>
        <w:numPr>
          <w:ilvl w:val="2"/>
          <w:numId w:val="9"/>
        </w:numPr>
        <w:ind w:left="720" w:hanging="720"/>
        <w:rPr/>
      </w:pPr>
      <w:bookmarkStart w:colFirst="0" w:colLast="0" w:name="_heading=h.a9b9p9u693c2" w:id="18"/>
      <w:bookmarkEnd w:id="18"/>
      <w:r w:rsidDel="00000000" w:rsidR="00000000" w:rsidRPr="00000000">
        <w:rPr>
          <w:rtl w:val="0"/>
        </w:rPr>
        <w:t xml:space="preserve">Observabilidad y monitoreo cloud</w:t>
      </w:r>
    </w:p>
    <w:p w:rsidR="00000000" w:rsidDel="00000000" w:rsidP="00000000" w:rsidRDefault="00000000" w:rsidRPr="00000000" w14:paraId="000000EF">
      <w:pPr>
        <w:rPr/>
      </w:pPr>
      <w:r w:rsidDel="00000000" w:rsidR="00000000" w:rsidRPr="00000000">
        <w:rPr>
          <w:rtl w:val="0"/>
        </w:rPr>
        <w:t xml:space="preserve">La observabilidad en sistemas distribuidos se define como la capacidad de inferir el estado interno de un sistema a partir de las salidas y telemetría que este genera (Sridharan, 2018). A diferencia del monitoreo tradicional (centrado en determinar si un servicio está activo o caído), la observabilidad permite diagnosticar </w:t>
      </w:r>
      <w:r w:rsidDel="00000000" w:rsidR="00000000" w:rsidRPr="00000000">
        <w:rPr>
          <w:i w:val="1"/>
          <w:iCs w:val="1"/>
          <w:rtl w:val="0"/>
        </w:rPr>
        <w:t xml:space="preserve">por qué</w:t>
      </w:r>
      <w:r w:rsidDel="00000000" w:rsidR="00000000" w:rsidRPr="00000000">
        <w:rPr>
          <w:rtl w:val="0"/>
        </w:rPr>
        <w:t xml:space="preserve"> está ocurriendo una degradación o fallo en un entorno complejo </w:t>
      </w:r>
      <w:r w:rsidDel="00000000" w:rsidR="00000000" w:rsidRPr="00000000">
        <w:rPr>
          <w:color w:val="000000"/>
          <w:rtl w:val="0"/>
        </w:rPr>
        <w:t xml:space="preserve">(Sridharan, 2018)</w:t>
      </w:r>
      <w:r w:rsidDel="00000000" w:rsidR="00000000" w:rsidRPr="00000000">
        <w:rPr>
          <w:rtl w:val="0"/>
        </w:rPr>
        <w:t xml:space="preserve">.</w:t>
      </w:r>
    </w:p>
    <w:p w:rsidR="00000000" w:rsidDel="00000000" w:rsidP="00000000" w:rsidRDefault="00000000" w:rsidRPr="00000000" w14:paraId="000000F0">
      <w:pPr>
        <w:rPr/>
      </w:pPr>
      <w:r w:rsidDel="00000000" w:rsidR="00000000" w:rsidRPr="00000000">
        <w:rPr>
          <w:rtl w:val="0"/>
        </w:rPr>
        <w:t xml:space="preserve">La literatura define la observabilidad sobre tres pilares fundamentales </w:t>
      </w:r>
      <w:r w:rsidDel="00000000" w:rsidR="00000000" w:rsidRPr="00000000">
        <w:rPr>
          <w:color w:val="000000"/>
          <w:rtl w:val="0"/>
        </w:rPr>
        <w:t xml:space="preserve">(Sridharan, 2018)</w:t>
      </w:r>
      <w:r w:rsidDel="00000000" w:rsidR="00000000" w:rsidRPr="00000000">
        <w:rPr>
          <w:rtl w:val="0"/>
        </w:rPr>
        <w:t xml:space="preserve"> : </w:t>
      </w:r>
    </w:p>
    <w:p w:rsidR="00000000" w:rsidDel="00000000" w:rsidP="00000000" w:rsidRDefault="00000000" w:rsidRPr="00000000" w14:paraId="000000F1">
      <w:pPr>
        <w:numPr>
          <w:ilvl w:val="0"/>
          <w:numId w:val="8"/>
        </w:numPr>
        <w:ind w:left="720" w:hanging="360"/>
        <w:rPr/>
      </w:pPr>
      <w:r w:rsidDel="00000000" w:rsidR="00000000" w:rsidRPr="00000000">
        <w:rPr>
          <w:b w:val="1"/>
          <w:bCs w:val="1"/>
          <w:rtl w:val="0"/>
        </w:rPr>
        <w:t xml:space="preserve">Métricas:</w:t>
      </w:r>
      <w:r w:rsidDel="00000000" w:rsidR="00000000" w:rsidRPr="00000000">
        <w:rPr>
          <w:rtl w:val="0"/>
        </w:rPr>
        <w:t xml:space="preserve"> Valores numéricos agregados a lo largo del tiempo que representan el rendimiento del sistema (uso de CPU, memoria, latencia de red). </w:t>
      </w:r>
    </w:p>
    <w:p w:rsidR="00000000" w:rsidDel="00000000" w:rsidP="00000000" w:rsidRDefault="00000000" w:rsidRPr="00000000" w14:paraId="000000F2">
      <w:pPr>
        <w:numPr>
          <w:ilvl w:val="0"/>
          <w:numId w:val="8"/>
        </w:numPr>
        <w:ind w:left="720" w:hanging="360"/>
        <w:rPr/>
      </w:pPr>
      <w:r w:rsidDel="00000000" w:rsidR="00000000" w:rsidRPr="00000000">
        <w:rPr>
          <w:b w:val="1"/>
          <w:bCs w:val="1"/>
          <w:rtl w:val="0"/>
        </w:rPr>
        <w:t xml:space="preserve">Registros (</w:t>
      </w:r>
      <w:r w:rsidDel="00000000" w:rsidR="00000000" w:rsidRPr="00000000">
        <w:rPr>
          <w:b w:val="1"/>
          <w:bCs w:val="1"/>
          <w:i w:val="1"/>
          <w:iCs w:val="1"/>
          <w:rtl w:val="0"/>
        </w:rPr>
        <w:t xml:space="preserve">Logs</w:t>
      </w:r>
      <w:r w:rsidDel="00000000" w:rsidR="00000000" w:rsidRPr="00000000">
        <w:rPr>
          <w:b w:val="1"/>
          <w:bCs w:val="1"/>
          <w:rtl w:val="0"/>
        </w:rPr>
        <w:t xml:space="preserve">):</w:t>
      </w:r>
      <w:r w:rsidDel="00000000" w:rsidR="00000000" w:rsidRPr="00000000">
        <w:rPr>
          <w:rtl w:val="0"/>
        </w:rPr>
        <w:t xml:space="preserve"> Eventos con marca de tiempo producidos por los servicios o la infraestructura que proporcionan contexto detallado sobre la ejecución. </w:t>
      </w:r>
    </w:p>
    <w:p w:rsidR="00000000" w:rsidDel="00000000" w:rsidP="00000000" w:rsidRDefault="00000000" w:rsidRPr="00000000" w14:paraId="000000F3">
      <w:pPr>
        <w:numPr>
          <w:ilvl w:val="0"/>
          <w:numId w:val="8"/>
        </w:numPr>
        <w:ind w:left="720" w:hanging="360"/>
        <w:rPr/>
      </w:pPr>
      <w:r w:rsidDel="00000000" w:rsidR="00000000" w:rsidRPr="00000000">
        <w:rPr>
          <w:b w:val="1"/>
          <w:bCs w:val="1"/>
          <w:rtl w:val="0"/>
        </w:rPr>
        <w:t xml:space="preserve">Trazas (</w:t>
      </w:r>
      <w:r w:rsidDel="00000000" w:rsidR="00000000" w:rsidRPr="00000000">
        <w:rPr>
          <w:b w:val="1"/>
          <w:bCs w:val="1"/>
          <w:i w:val="1"/>
          <w:iCs w:val="1"/>
          <w:rtl w:val="0"/>
        </w:rPr>
        <w:t xml:space="preserve">Traces</w:t>
      </w:r>
      <w:r w:rsidDel="00000000" w:rsidR="00000000" w:rsidRPr="00000000">
        <w:rPr>
          <w:b w:val="1"/>
          <w:bCs w:val="1"/>
          <w:rtl w:val="0"/>
        </w:rPr>
        <w:t xml:space="preserve">):</w:t>
      </w:r>
      <w:r w:rsidDel="00000000" w:rsidR="00000000" w:rsidRPr="00000000">
        <w:rPr>
          <w:rtl w:val="0"/>
        </w:rPr>
        <w:t xml:space="preserve"> Seguimiento del ciclo de vida de una solicitud a medida que atraviesa los distintos nodos de un sistema distribuido. </w:t>
      </w:r>
    </w:p>
    <w:p w:rsidR="00000000" w:rsidDel="00000000" w:rsidP="00000000" w:rsidRDefault="00000000" w:rsidRPr="00000000" w14:paraId="000000F4">
      <w:pPr>
        <w:rPr/>
      </w:pPr>
      <w:r>
        <w:rPr/>
        <w:t xml:space="preserve">En el contexto de la solución desarrollada, los tres pilares se cubren con servicios nativos de AWS que la plataforma activa como componentes opcionales de cada plantilla: Amazon CloudWatch para las métricas, los registros y las alarmas, AWS X-Ray para las trazas distribuidas y CloudWatch RUM para la experiencia de los usuarios reales. Al tratarse de servicios gestionados, las PYMEs no solo pueden aprovisionar su infraestructura en AWS de manera automatizada, sino también supervisarla en tiempo real sin desplegar ni mantener servidores de monitorización propios ni realizar configuraciones complejas de telemetría.</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3"/>
        <w:numPr>
          <w:ilvl w:val="2"/>
          <w:numId w:val="9"/>
        </w:numPr>
        <w:ind w:left="720" w:hanging="720"/>
        <w:rPr/>
      </w:pPr>
      <w:r w:rsidDel="00000000" w:rsidR="00000000" w:rsidRPr="00000000">
        <w:rPr>
          <w:rtl w:val="0"/>
        </w:rPr>
        <w:t xml:space="preserve">Barreras de Ciberseguridad e Incorporación de Controles por Defecto en PYMEs</w:t>
      </w:r>
    </w:p>
    <w:p w:rsidR="00000000" w:rsidDel="00000000" w:rsidP="00000000" w:rsidRDefault="00000000" w:rsidRPr="00000000" w14:paraId="000000F7">
      <w:pPr>
        <w:rPr/>
      </w:pPr>
      <w:r w:rsidDel="00000000" w:rsidR="00000000" w:rsidRPr="00000000">
        <w:rPr>
          <w:rtl w:val="0"/>
        </w:rPr>
        <w:t xml:space="preserve">Un desafío transversal en la adopción de tecnologías cloud es la vulnerabilidad de las pequeñas y medianas empresas frente a riesgos de ciberseguridad, derivada de la falta de personal especializado y de presupuestos limitados para la gestión continua de infraestructuras</w:t>
      </w:r>
      <w:r w:rsidDel="00000000" w:rsidR="00000000" w:rsidRPr="00000000">
        <w:rPr>
          <w:color w:val="000000"/>
          <w:rtl w:val="0"/>
        </w:rPr>
        <w:t xml:space="preserve"> (Domingo Soriano &amp; Isabel Guevara Arias, 2022)</w:t>
      </w:r>
      <w:r w:rsidDel="00000000" w:rsidR="00000000" w:rsidRPr="00000000">
        <w:rPr>
          <w:rtl w:val="0"/>
        </w:rPr>
        <w:t xml:space="preserve">  . Las PYMEs suelen carecer de mecanismos para evaluar la postura de seguridad en despliegues automatizados y enfrentan dificultades para estructurar marcos formales de gestión de riesgos en la nube </w:t>
      </w:r>
      <w:r w:rsidDel="00000000" w:rsidR="00000000" w:rsidRPr="00000000">
        <w:rPr>
          <w:color w:val="000000"/>
          <w:rtl w:val="0"/>
        </w:rPr>
        <w:t xml:space="preserve">(Limón Ulloa et al., 2025)</w:t>
      </w:r>
      <w:r w:rsidDel="00000000" w:rsidR="00000000" w:rsidRPr="00000000">
        <w:rPr>
          <w:rtl w:val="0"/>
        </w:rPr>
        <w:t xml:space="preserve">, lo que las expone a filtraciones de credenciales o accesos no autorizados. Asimismo, la transición desde entornos locales hacia plataformas cloud requiere acompañarse de mecanismos que simplifiquen la adopción de buenas prácticas de desarrollo y aprovisionamiento seguro </w:t>
      </w:r>
      <w:r w:rsidDel="00000000" w:rsidR="00000000" w:rsidRPr="00000000">
        <w:rPr>
          <w:color w:val="000000"/>
          <w:rtl w:val="0"/>
        </w:rPr>
        <w:t xml:space="preserve">(Ortiz et al., 2024)</w:t>
      </w:r>
      <w:r w:rsidDel="00000000" w:rsidR="00000000" w:rsidRPr="00000000">
        <w:rPr>
          <w:rtl w:val="0"/>
        </w:rPr>
        <w:t xml:space="preserve"> . Por ello, la plataforma desarrollada busca abstraer los controles de seguridad e integrarlos desde el diseño (Security by Design), garantizando que los entornos aprovisionados incluyan cifrado, aislamiento de red y autenticación por defecto sin requerir la intervención manual del usuario.</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pStyle w:val="Heading3"/>
        <w:numPr>
          <w:ilvl w:val="2"/>
          <w:numId w:val="9"/>
        </w:numPr>
        <w:ind w:left="720" w:hanging="720"/>
        <w:rPr/>
      </w:pPr>
      <w:r w:rsidDel="00000000" w:rsidR="00000000" w:rsidRPr="00000000">
        <w:rPr>
          <w:rtl w:val="0"/>
        </w:rPr>
        <w:t xml:space="preserve">Seguridad en el aprovisionamiento (DevSecOps)</w:t>
      </w:r>
    </w:p>
    <w:p w:rsidR="00000000" w:rsidDel="00000000" w:rsidP="00000000" w:rsidRDefault="00000000" w:rsidRPr="00000000" w14:paraId="000000FA">
      <w:pPr>
        <w:rPr/>
      </w:pPr>
      <w:r w:rsidDel="00000000" w:rsidR="00000000" w:rsidRPr="00000000">
        <w:rPr>
          <w:rtl w:val="0"/>
        </w:rPr>
        <w:t xml:space="preserve">La automatización de infraestructura debe incorporar controles de seguridad integrados (</w:t>
      </w:r>
      <w:r w:rsidDel="00000000" w:rsidR="00000000" w:rsidRPr="00000000">
        <w:rPr>
          <w:i w:val="1"/>
          <w:iCs w:val="1"/>
          <w:rtl w:val="0"/>
        </w:rPr>
        <w:t xml:space="preserve">Security by Design</w:t>
      </w:r>
      <w:r w:rsidDel="00000000" w:rsidR="00000000" w:rsidRPr="00000000">
        <w:rPr>
          <w:rtl w:val="0"/>
        </w:rPr>
        <w:t xml:space="preserve">) </w:t>
      </w:r>
      <w:r w:rsidDel="00000000" w:rsidR="00000000" w:rsidRPr="00000000">
        <w:rPr>
          <w:color w:val="000000"/>
          <w:rtl w:val="0"/>
        </w:rPr>
        <w:t xml:space="preserve">(Fernandez, 2007; OWASP Foundation, 2025)</w:t>
      </w:r>
      <w:r w:rsidDel="00000000" w:rsidR="00000000" w:rsidRPr="00000000">
        <w:rPr>
          <w:rtl w:val="0"/>
        </w:rPr>
        <w:t xml:space="preserve">. La exposición no intencionada de credenciales o la falta de aislamiento de acceso representan riesgos mayores en despliegues automatizados.</w:t>
      </w:r>
    </w:p>
    <w:p w:rsidR="00000000" w:rsidDel="00000000" w:rsidP="00000000" w:rsidRDefault="00000000" w:rsidRPr="00000000" w14:paraId="000000FB">
      <w:pPr>
        <w:pBdr>
          <w:top w:space="0" w:sz="0" w:val="nil"/>
          <w:left w:space="0" w:sz="0" w:val="nil"/>
          <w:bottom w:space="0" w:sz="0" w:val="nil"/>
          <w:right w:space="0" w:sz="0" w:val="nil"/>
          <w:between w:space="0" w:sz="0" w:val="nil"/>
        </w:pBdr>
        <w:rPr>
          <w:b w:val="1"/>
          <w:bCs w:val="1"/>
          <w:color w:val="000000"/>
        </w:rPr>
      </w:pPr>
      <w:r>
        <w:rPr>
          <w:b w:val="1"/>
          <w:bCs w:val="1"/>
          <w:color w:val="000000"/>
          <w:rtl w:val="0"/>
        </w:rPr>
        <w:t xml:space="preserve">Tabla </w:t>
      </w:r>
      <w:r>
        <w:rPr>
          <w:b w:val="1"/>
          <w:bCs w:val="1"/>
          <w:color w:val="000000"/>
          <w:rtl w:val="0"/>
        </w:rPr>
        <w:fldChar w:fldCharType="begin"/>
      </w:r>
      <w:r>
        <w:rPr>
          <w:b w:val="1"/>
          <w:bCs w:val="1"/>
          <w:color w:val="000000"/>
          <w:rtl w:val="0"/>
        </w:rPr>
        <w:instrText xml:space="preserve"> SEQ Tabla \* ARABIC </w:instrText>
      </w:r>
      <w:r>
        <w:rPr>
          <w:b w:val="1"/>
          <w:bCs w:val="1"/>
          <w:color w:val="000000"/>
          <w:rtl w:val="0"/>
        </w:rPr>
        <w:fldChar w:fldCharType="separate"/>
      </w:r>
      <w:r>
        <w:rPr>
          <w:b w:val="1"/>
          <w:bCs w:val="1"/>
          <w:color w:val="000000"/>
          <w:rtl w:val="0"/>
        </w:rPr>
        <w:t>4</w:t>
      </w:r>
      <w:r>
        <w:rPr>
          <w:b w:val="1"/>
          <w:bCs w:val="1"/>
          <w:color w:val="000000"/>
          <w:rtl w:val="0"/>
        </w:rPr>
        <w:fldChar w:fldCharType="end"/>
      </w:r>
      <w:r>
        <w:rPr>
          <w:b w:val="1"/>
          <w:bCs w:val="1"/>
          <w:color w:val="000000"/>
          <w:rtl w:val="0"/>
        </w:rPr>
        <w:t xml:space="preserve">. </w:t>
      </w:r>
      <w:r w:rsidDel="00000000" w:rsidR="00000000" w:rsidRPr="00000000">
        <w:rPr>
          <w:i w:val="1"/>
          <w:iCs w:val="1"/>
          <w:color w:val="000000"/>
          <w:rtl w:val="0"/>
        </w:rPr>
        <w:t xml:space="preserve">Mecanismos de seguridad implementados en la plataforma.</w:t>
      </w:r>
      <w:r w:rsidDel="00000000" w:rsidR="00000000" w:rsidRPr="00000000">
        <w:rPr>
          <w:rtl w:val="0"/>
        </w:rPr>
      </w:r>
    </w:p>
    <w:tbl>
      <w:tblPr>
        <w:tblStyle w:val="Table5"/>
        <w:tblpPr w:leftFromText="141" w:rightFromText="141" w:topFromText="0" w:bottomFromText="0" w:vertAnchor="text" w:horzAnchor="text" w:tblpX="0" w:tblpY="44"/>
        <w:tblW w:w="9175.0"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2257"/>
        <w:gridCol w:w="3326"/>
        <w:gridCol w:w="3592"/>
        <w:tblGridChange w:id="0">
          <w:tblGrid>
            <w:gridCol w:w="2257"/>
            <w:gridCol w:w="3326"/>
            <w:gridCol w:w="3592"/>
          </w:tblGrid>
        </w:tblGridChange>
      </w:tblGrid>
      <w:tr>
        <w:trPr>
          <w:cantSplit w:val="0"/>
          <w:trHeight w:val="695" w:hRule="atLeast"/>
          <w:tblHeader w:val="0"/>
        </w:trPr>
        <w:tc>
          <w:tcPr/>
          <w:p w:rsidR="00000000" w:rsidDel="00000000" w:rsidP="00000000" w:rsidRDefault="00000000" w:rsidRPr="00000000" w14:paraId="000000FC">
            <w:pPr>
              <w:spacing w:before="0" w:lineRule="auto"/>
              <w:jc w:val="left"/>
              <w:rPr>
                <w:b w:val="1"/>
                <w:bCs w:val="1"/>
              </w:rPr>
            </w:pPr>
            <w:r w:rsidDel="00000000" w:rsidR="00000000" w:rsidRPr="00000000">
              <w:rPr>
                <w:b w:val="1"/>
                <w:bCs w:val="1"/>
                <w:rtl w:val="0"/>
              </w:rPr>
              <w:t xml:space="preserve">Amenaza (OWASP 2025)</w:t>
            </w:r>
          </w:p>
        </w:tc>
        <w:tc>
          <w:tcPr/>
          <w:p w:rsidR="00000000" w:rsidDel="00000000" w:rsidP="00000000" w:rsidRDefault="00000000" w:rsidRPr="00000000" w14:paraId="000000FD">
            <w:pPr>
              <w:spacing w:before="0" w:lineRule="auto"/>
              <w:jc w:val="left"/>
              <w:rPr>
                <w:b w:val="1"/>
                <w:bCs w:val="1"/>
              </w:rPr>
            </w:pPr>
            <w:r w:rsidDel="00000000" w:rsidR="00000000" w:rsidRPr="00000000">
              <w:rPr>
                <w:b w:val="1"/>
                <w:bCs w:val="1"/>
                <w:rtl w:val="0"/>
              </w:rPr>
              <w:t xml:space="preserve">Riesgo Asociado</w:t>
            </w:r>
          </w:p>
        </w:tc>
        <w:tc>
          <w:tcPr/>
          <w:p w:rsidR="00000000" w:rsidDel="00000000" w:rsidP="00000000" w:rsidRDefault="00000000" w:rsidRPr="00000000" w14:paraId="000000FE">
            <w:pPr>
              <w:spacing w:before="0" w:lineRule="auto"/>
              <w:jc w:val="left"/>
              <w:rPr>
                <w:b w:val="1"/>
                <w:bCs w:val="1"/>
              </w:rPr>
            </w:pPr>
            <w:r w:rsidDel="00000000" w:rsidR="00000000" w:rsidRPr="00000000">
              <w:rPr>
                <w:b w:val="1"/>
                <w:bCs w:val="1"/>
                <w:rtl w:val="0"/>
              </w:rPr>
              <w:t xml:space="preserve">Control Implementado en la Solución</w:t>
            </w:r>
          </w:p>
        </w:tc>
      </w:tr>
      <w:tr>
        <w:trPr>
          <w:cantSplit w:val="0"/>
          <w:trHeight w:val="990" w:hRule="atLeast"/>
          <w:tblHeader w:val="0"/>
        </w:trPr>
        <w:tc>
          <w:tcPr/>
          <w:p w:rsidR="00000000" w:rsidDel="00000000" w:rsidP="00000000" w:rsidRDefault="00000000" w:rsidRPr="00000000" w14:paraId="000000FF">
            <w:pPr>
              <w:spacing w:before="0" w:lineRule="auto"/>
              <w:jc w:val="left"/>
              <w:rPr>
                <w:b w:val="1"/>
                <w:bCs w:val="1"/>
              </w:rPr>
            </w:pPr>
            <w:r w:rsidDel="00000000" w:rsidR="00000000" w:rsidRPr="00000000">
              <w:rPr>
                <w:b w:val="1"/>
                <w:bCs w:val="1"/>
                <w:rtl w:val="0"/>
              </w:rPr>
              <w:t xml:space="preserve">Control de Acceso Inadecuado</w:t>
            </w:r>
          </w:p>
        </w:tc>
        <w:tc>
          <w:tcPr/>
          <w:p w:rsidR="00000000" w:rsidDel="00000000" w:rsidP="00000000" w:rsidRDefault="00000000" w:rsidRPr="00000000" w14:paraId="00000100">
            <w:pPr>
              <w:spacing w:before="0" w:lineRule="auto"/>
              <w:jc w:val="left"/>
              <w:rPr/>
            </w:pPr>
            <w:r w:rsidDel="00000000" w:rsidR="00000000" w:rsidRPr="00000000">
              <w:rPr>
                <w:rtl w:val="0"/>
              </w:rPr>
              <w:t xml:space="preserve">Despliegue de recursos por usuarios no autorizados.</w:t>
            </w:r>
          </w:p>
        </w:tc>
        <w:tc>
          <w:tcPr/>
          <w:p w:rsidR="00000000" w:rsidDel="00000000" w:rsidP="00000000" w:rsidRDefault="00000000" w:rsidRPr="00000000" w14:paraId="00000101">
            <w:pPr>
              <w:spacing w:before="0" w:lineRule="auto"/>
              <w:jc w:val="left"/>
              <w:rPr/>
            </w:pPr>
            <w:r w:rsidDel="00000000" w:rsidR="00000000" w:rsidRPr="00000000">
              <w:rPr>
                <w:rtl w:val="0"/>
              </w:rPr>
              <w:t xml:space="preserve">Autenticación y autorización mediante JWT (JSON Web Tokens).</w:t>
            </w:r>
          </w:p>
        </w:tc>
      </w:tr>
      <w:tr>
        <w:trPr>
          <w:cantSplit w:val="0"/>
          <w:trHeight w:val="1038" w:hRule="atLeast"/>
          <w:tblHeader w:val="0"/>
        </w:trPr>
        <w:tc>
          <w:tcPr/>
          <w:p w:rsidR="00000000" w:rsidDel="00000000" w:rsidP="00000000" w:rsidRDefault="00000000" w:rsidRPr="00000000" w14:paraId="00000102">
            <w:pPr>
              <w:spacing w:before="0" w:lineRule="auto"/>
              <w:jc w:val="left"/>
              <w:rPr>
                <w:b w:val="1"/>
                <w:bCs w:val="1"/>
              </w:rPr>
            </w:pPr>
            <w:r w:rsidDel="00000000" w:rsidR="00000000" w:rsidRPr="00000000">
              <w:rPr>
                <w:b w:val="1"/>
                <w:bCs w:val="1"/>
                <w:rtl w:val="0"/>
              </w:rPr>
              <w:t xml:space="preserve">Falla en la Integridad de Datos</w:t>
            </w:r>
          </w:p>
        </w:tc>
        <w:tc>
          <w:tcPr/>
          <w:p w:rsidR="00000000" w:rsidDel="00000000" w:rsidP="00000000" w:rsidRDefault="00000000" w:rsidRPr="00000000" w14:paraId="00000103">
            <w:pPr>
              <w:spacing w:before="0" w:lineRule="auto"/>
              <w:jc w:val="left"/>
              <w:rPr/>
            </w:pPr>
            <w:r w:rsidDel="00000000" w:rsidR="00000000" w:rsidRPr="00000000">
              <w:rPr>
                <w:rtl w:val="0"/>
              </w:rPr>
              <w:t xml:space="preserve">Intercepción de comandos o credenciales en tránsito.</w:t>
            </w:r>
          </w:p>
        </w:tc>
        <w:tc>
          <w:tcPr/>
          <w:p w:rsidR="00000000" w:rsidDel="00000000" w:rsidP="00000000" w:rsidRDefault="00000000" w:rsidRPr="00000000" w14:paraId="00000104">
            <w:pPr>
              <w:spacing w:before="0" w:lineRule="auto"/>
              <w:jc w:val="left"/>
              <w:rPr/>
            </w:pPr>
            <w:r w:rsidDel="00000000" w:rsidR="00000000" w:rsidRPr="00000000">
              <w:rPr>
                <w:rtl w:val="0"/>
              </w:rPr>
              <w:t xml:space="preserve">Cifrado obligatorio de tráfico mediante protocolo HTTPS/TLS.</w:t>
            </w:r>
          </w:p>
        </w:tc>
      </w:tr>
      <w:tr>
        <w:trPr>
          <w:cantSplit w:val="0"/>
          <w:trHeight w:val="840" w:hRule="atLeast"/>
          <w:tblHeader w:val="0"/>
        </w:trPr>
        <w:tc>
          <w:tcPr/>
          <w:p w:rsidR="00000000" w:rsidDel="00000000" w:rsidP="00000000" w:rsidRDefault="00000000" w:rsidRPr="00000000" w14:paraId="00000105">
            <w:pPr>
              <w:spacing w:before="0" w:lineRule="auto"/>
              <w:jc w:val="left"/>
              <w:rPr>
                <w:b w:val="1"/>
                <w:bCs w:val="1"/>
              </w:rPr>
            </w:pPr>
            <w:r w:rsidDel="00000000" w:rsidR="00000000" w:rsidRPr="00000000">
              <w:rPr>
                <w:b w:val="1"/>
                <w:bCs w:val="1"/>
                <w:rtl w:val="0"/>
              </w:rPr>
              <w:t xml:space="preserve">Fuga de Secretos / Credenciales</w:t>
            </w:r>
          </w:p>
        </w:tc>
        <w:tc>
          <w:tcPr/>
          <w:p w:rsidR="00000000" w:rsidDel="00000000" w:rsidP="00000000" w:rsidRDefault="00000000" w:rsidRPr="00000000" w14:paraId="00000106">
            <w:pPr>
              <w:spacing w:before="0" w:lineRule="auto"/>
              <w:jc w:val="left"/>
              <w:rPr/>
            </w:pPr>
            <w:r w:rsidDel="00000000" w:rsidR="00000000" w:rsidRPr="00000000">
              <w:rPr>
                <w:rtl w:val="0"/>
              </w:rPr>
              <w:t xml:space="preserve">Inserción de claves API de AWS en el código.</w:t>
            </w:r>
          </w:p>
        </w:tc>
        <w:tc>
          <w:tcPr/>
          <w:p w:rsidR="00000000" w:rsidDel="00000000" w:rsidP="00000000" w:rsidRDefault="00000000" w:rsidRPr="00000000" w14:paraId="00000107">
            <w:pPr>
              <w:spacing w:before="0" w:lineRule="auto"/>
              <w:jc w:val="left"/>
              <w:rPr/>
            </w:pPr>
            <w:r w:rsidDel="00000000" w:rsidR="00000000" w:rsidRPr="00000000">
              <w:rPr>
                <w:rtl w:val="0"/>
              </w:rPr>
              <w:t xml:space="preserve">Gestión de variables mediante AWS Secrets Manager e IAM Roles.</w:t>
            </w:r>
          </w:p>
        </w:tc>
      </w:tr>
    </w:tbl>
    <w:p w:rsidR="00000000" w:rsidDel="00000000" w:rsidP="00000000" w:rsidRDefault="00000000" w:rsidRPr="00000000" w14:paraId="00000108">
      <w:pPr>
        <w:pBdr>
          <w:top w:space="0" w:sz="0" w:val="nil"/>
          <w:left w:space="0" w:sz="0" w:val="nil"/>
          <w:bottom w:space="0" w:sz="0" w:val="nil"/>
          <w:right w:space="0" w:sz="0" w:val="nil"/>
          <w:between w:space="0" w:sz="0" w:val="nil"/>
        </w:pBdr>
        <w:spacing w:after="0" w:line="276" w:lineRule="auto"/>
        <w:ind w:left="-113" w:right="-215" w:firstLine="0"/>
        <w:jc w:val="center"/>
        <w:rPr>
          <w:color w:val="595959"/>
          <w:sz w:val="19"/>
          <w:szCs w:val="19"/>
        </w:rPr>
      </w:pPr>
      <w:r w:rsidDel="00000000" w:rsidR="00000000" w:rsidRPr="00000000">
        <w:rPr>
          <w:color w:val="595959"/>
          <w:sz w:val="19"/>
          <w:szCs w:val="19"/>
          <w:rtl w:val="0"/>
        </w:rPr>
        <w:t xml:space="preserve">Fuente: Elaboración propia a partir de Fernandez (2007) y OWASP Foundation (2025).</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Incorporar estos controles desde el diseño, y no como una capa añadida al final del desarrollo, resulta especialmente relevante para una PYME: al no contar con un equipo de seguridad dedicado, la plataforma debe encargarse de aplicar por defecto buenas prácticas como el cifrado en tránsito, la gestión centralizada de secretos y el control de acceso basado en roles, de modo que una configuración segura no dependa de que el usuario final la conozca o la active manualmente.</w:t>
      </w:r>
    </w:p>
    <w:p w:rsidR="00000000" w:rsidDel="00000000" w:rsidP="00000000" w:rsidRDefault="00000000" w:rsidRPr="00000000" w14:paraId="0000010B">
      <w:pPr>
        <w:pStyle w:val="Heading3"/>
        <w:numPr>
          <w:ilvl w:val="2"/>
          <w:numId w:val="9"/>
        </w:numPr>
        <w:ind w:left="720" w:hanging="720"/>
        <w:rPr/>
      </w:pPr>
      <w:bookmarkStart w:colFirst="0" w:colLast="0" w:name="_heading=h.1mb4t9x2joh7" w:id="19"/>
      <w:bookmarkEnd w:id="19"/>
      <w:r w:rsidDel="00000000" w:rsidR="00000000" w:rsidRPr="00000000">
        <w:rPr>
          <w:rtl w:val="0"/>
        </w:rPr>
        <w:t xml:space="preserve"> Conclusiones del estado del arte</w:t>
      </w:r>
    </w:p>
    <w:p w:rsidR="00000000" w:rsidDel="00000000" w:rsidP="00000000" w:rsidRDefault="00000000" w:rsidRPr="00000000" w14:paraId="0000010C">
      <w:pPr>
        <w:rPr/>
      </w:pPr>
      <w:r w:rsidDel="00000000" w:rsidR="00000000" w:rsidRPr="00000000">
        <w:rPr>
          <w:rtl w:val="0"/>
        </w:rPr>
        <w:t xml:space="preserve">Tras la revisión de la literatura científica y el análisis del estado del arte, se extrajeron las siguientes conclusiones clave que justifican la contribución realizada en este TFE: </w:t>
      </w:r>
    </w:p>
    <w:p w:rsidR="00000000" w:rsidDel="00000000" w:rsidP="00000000" w:rsidRDefault="00000000" w:rsidRPr="00000000" w14:paraId="0000010D">
      <w:pPr>
        <w:numPr>
          <w:ilvl w:val="0"/>
          <w:numId w:val="5"/>
        </w:numPr>
        <w:ind w:left="720" w:hanging="360"/>
        <w:rPr/>
      </w:pPr>
      <w:r w:rsidDel="00000000" w:rsidR="00000000" w:rsidRPr="00000000">
        <w:rPr>
          <w:b w:val="1"/>
          <w:bCs w:val="1"/>
          <w:rtl w:val="0"/>
        </w:rPr>
        <w:t xml:space="preserve">Persistencia de la brecha en PYMEs:</w:t>
      </w:r>
      <w:r w:rsidDel="00000000" w:rsidR="00000000" w:rsidRPr="00000000">
        <w:rPr>
          <w:rtl w:val="0"/>
        </w:rPr>
        <w:t xml:space="preserve"> Existe una necesidad real de democratizar la adopción de tecnologías </w:t>
      </w:r>
      <w:r w:rsidDel="00000000" w:rsidR="00000000" w:rsidRPr="00000000">
        <w:rPr>
          <w:i w:val="1"/>
          <w:iCs w:val="1"/>
          <w:rtl w:val="0"/>
        </w:rPr>
        <w:t xml:space="preserve">cloud-native</w:t>
      </w:r>
      <w:r w:rsidDel="00000000" w:rsidR="00000000" w:rsidRPr="00000000">
        <w:rPr>
          <w:rtl w:val="0"/>
        </w:rPr>
        <w:t xml:space="preserve"> y DevOps en las PYMEs, mitigando la dependencia de equipos altamente especializados mediante la automatización de procesos. </w:t>
      </w:r>
    </w:p>
    <w:p w:rsidR="00000000" w:rsidDel="00000000" w:rsidP="00000000" w:rsidRDefault="00000000" w:rsidRPr="00000000" w14:paraId="0000010E">
      <w:pPr>
        <w:numPr>
          <w:ilvl w:val="0"/>
          <w:numId w:val="5"/>
        </w:numPr>
        <w:ind w:left="720" w:hanging="360"/>
        <w:rPr/>
      </w:pPr>
      <w:r>
        <w:rPr>
          <w:b w:val="1"/>
          <w:bCs w:val="1"/>
        </w:rPr>
        <w:t xml:space="preserve">Madurez técnica de las herramientas de IaC:</w:t>
      </w:r>
      <w:r>
        <w:rPr/>
        <w:t xml:space="preserve"> Herramientas como Terraform ofrecen un marco robusto y declarativo para automatizar infraestructuras en AWS (como redes VPC, grupos de Auto Scaling de EC2, balanceadores de carga y distribuciones de CloudFront), pero requieren una capa de abstracción para ser utilizadas por personal no técnico o desarrolladores sin perfil de operaciones. </w:t>
      </w:r>
    </w:p>
    <w:p w:rsidR="00000000" w:rsidDel="00000000" w:rsidP="00000000" w:rsidRDefault="00000000" w:rsidRPr="00000000" w14:paraId="0000010F">
      <w:pPr>
        <w:numPr>
          <w:ilvl w:val="0"/>
          <w:numId w:val="5"/>
        </w:numPr>
        <w:ind w:left="720" w:hanging="360"/>
        <w:rPr/>
      </w:pPr>
      <w:r w:rsidDel="00000000" w:rsidR="00000000" w:rsidRPr="00000000">
        <w:rPr>
          <w:b w:val="1"/>
          <w:bCs w:val="1"/>
          <w:rtl w:val="0"/>
        </w:rPr>
        <w:t xml:space="preserve">Inexistencia de soluciones ligeras adaptadas:</w:t>
      </w:r>
      <w:r w:rsidDel="00000000" w:rsidR="00000000" w:rsidRPr="00000000">
        <w:rPr>
          <w:rtl w:val="0"/>
        </w:rPr>
        <w:t xml:space="preserve"> Las plataformas de autoservicio actuales resultan excesivamente complejas o requieren costes de mantenimiento que las PYMEs no pueden asumir, lo que justifica el desarrollo de una solución a medida enfocada en la simplicidad y en el uso de plantillas preconfiguradas. </w:t>
      </w:r>
    </w:p>
    <w:p w:rsidR="00000000" w:rsidDel="00000000" w:rsidP="00000000" w:rsidRDefault="00000000" w:rsidRPr="00000000" w14:paraId="00000110">
      <w:pPr>
        <w:numPr>
          <w:ilvl w:val="0"/>
          <w:numId w:val="5"/>
        </w:numPr>
        <w:ind w:left="720" w:hanging="360"/>
        <w:rPr/>
      </w:pPr>
      <w:r>
        <w:rPr>
          <w:b w:val="1"/>
          <w:bCs w:val="1"/>
        </w:rPr>
        <w:t xml:space="preserve">Necesidad de observabilidad integrada:</w:t>
      </w:r>
      <w:r>
        <w:rPr/>
        <w:t xml:space="preserve"> Para que una solución de infraestructura sea viable operacionalmente en una PYME, debe incluir mecanismos nativos de visibilidad y monitoreo (métricas, registros, trazas y alarmas) que permitan supervisar el estado de los servicios desplegados desde el primer momento. </w:t>
      </w:r>
    </w:p>
    <w:p w:rsidR="00000000" w:rsidDel="00000000" w:rsidP="00000000" w:rsidRDefault="00000000" w:rsidRPr="00000000" w14:paraId="00000111">
      <w:pPr>
        <w:numPr>
          <w:ilvl w:val="0"/>
          <w:numId w:val="5"/>
        </w:numPr>
        <w:ind w:left="720" w:hanging="360"/>
        <w:rPr/>
      </w:pPr>
      <w:r w:rsidDel="00000000" w:rsidR="00000000" w:rsidRPr="00000000">
        <w:rPr>
          <w:b w:val="1"/>
          <w:bCs w:val="1"/>
          <w:rtl w:val="0"/>
        </w:rPr>
        <w:t xml:space="preserve">Seguridad integrada desde el diseño:</w:t>
      </w:r>
      <w:r w:rsidDel="00000000" w:rsidR="00000000" w:rsidRPr="00000000">
        <w:rPr>
          <w:rtl w:val="0"/>
        </w:rPr>
        <w:t xml:space="preserve"> la automatización de infraestructura debe incorporar controles de seguridad (autenticación, cifrado en tránsito y gestión centralizada de secretos) desde las primeras fases del desarrollo, de modo que una PYME sin equipo de seguridad dedicado quede protegida por defecto frente a los riesgos más comunes de un despliegue automatizado.</w:t>
      </w:r>
    </w:p>
    <w:p w:rsidR="00000000" w:rsidDel="00000000" w:rsidP="00000000" w:rsidRDefault="00000000" w:rsidRPr="00000000" w14:paraId="00000112">
      <w:pPr>
        <w:ind w:left="720" w:firstLine="0"/>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Estas conclusiones sirvieron como nexo de unión e insumo directo para la definición de los objetivos específicos y el diseño de la arquitectura del sistema que se detallan en los capítulos posteriores. </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spacing w:after="0" w:before="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1"/>
        <w:numPr>
          <w:ilvl w:val="0"/>
          <w:numId w:val="9"/>
        </w:numPr>
        <w:ind w:left="432" w:hanging="432"/>
        <w:rPr>
          <w:smallCaps w:val="0"/>
        </w:rPr>
      </w:pPr>
      <w:bookmarkStart w:colFirst="0" w:colLast="0" w:name="_heading=h.ve35m1ghtouz" w:id="20"/>
      <w:bookmarkEnd w:id="20"/>
      <w:r w:rsidDel="00000000" w:rsidR="00000000" w:rsidRPr="00000000">
        <w:rPr>
          <w:smallCaps w:val="0"/>
          <w:rtl w:val="0"/>
        </w:rPr>
        <w:t xml:space="preserve">Objetivos concretos y metodología de trabajo</w:t>
      </w:r>
    </w:p>
    <w:p w:rsidR="00000000" w:rsidDel="00000000" w:rsidP="00000000" w:rsidRDefault="00000000" w:rsidRPr="00000000" w14:paraId="00000117">
      <w:pPr>
        <w:rPr/>
      </w:pPr>
      <w:r w:rsidDel="00000000" w:rsidR="00000000" w:rsidRPr="00000000">
        <w:rPr>
          <w:rtl w:val="0"/>
        </w:rPr>
        <w:t xml:space="preserve">Las conclusiones del capítulo anterior evidencian la necesidad de una plataforma de autoservicio que automatice el aprovisionamiento de infraestructura cloud y lo haga de forma segura y observable desde el primer momento. Este capítulo traduce esa necesidad en un objetivo general y un conjunto de objetivos específicos evaluables, y describe la metodología de trabajo —ágil, iterativa e incremental— que se seguirá para alcanzarlos durante el desarrollo de la contribución.</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2"/>
        <w:numPr>
          <w:ilvl w:val="1"/>
          <w:numId w:val="9"/>
        </w:numPr>
        <w:ind w:left="576" w:hanging="576"/>
        <w:rPr/>
      </w:pPr>
      <w:bookmarkStart w:colFirst="0" w:colLast="0" w:name="_heading=h.28f6a2men045" w:id="21"/>
      <w:bookmarkEnd w:id="21"/>
      <w:r w:rsidDel="00000000" w:rsidR="00000000" w:rsidRPr="00000000">
        <w:rPr>
          <w:rtl w:val="0"/>
        </w:rPr>
        <w:t xml:space="preserve">Objetivo general</w:t>
      </w:r>
    </w:p>
    <w:p w:rsidR="00000000" w:rsidDel="00000000" w:rsidP="00000000" w:rsidRDefault="00000000" w:rsidRPr="00000000" w14:paraId="0000011A">
      <w:pPr>
        <w:rPr/>
      </w:pPr>
      <w:r w:rsidDel="00000000" w:rsidR="00000000" w:rsidRPr="00000000">
        <w:rPr>
          <w:rtl w:val="0"/>
        </w:rPr>
        <w:t xml:space="preserve">Diseñar e implementar una plataforma de autoservicio cloud que facilite el despliegue y la gestión inicial de infraestructura moderna en AWS para PYMEs, mediante la automatización basada en Infraestructura como Código y la incorporación de mecanismos básicos de observabilidad, reduciendo así la dependencia de estas organizaciones de equipos especializados en DevOps y arquitectura cloud.</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pStyle w:val="Heading2"/>
        <w:numPr>
          <w:ilvl w:val="1"/>
          <w:numId w:val="9"/>
        </w:numPr>
        <w:ind w:left="576" w:hanging="576"/>
        <w:rPr/>
      </w:pPr>
      <w:bookmarkStart w:colFirst="0" w:colLast="0" w:name="_heading=h.r4wptnvmnuce" w:id="22"/>
      <w:bookmarkEnd w:id="22"/>
      <w:r w:rsidDel="00000000" w:rsidR="00000000" w:rsidRPr="00000000">
        <w:rPr>
          <w:rtl w:val="0"/>
        </w:rPr>
        <w:t xml:space="preserve">Objetivos específicos</w:t>
      </w:r>
    </w:p>
    <w:p w:rsidR="00000000" w:rsidDel="00000000" w:rsidP="00000000" w:rsidRDefault="00000000" w:rsidRPr="00000000" w14:paraId="0000011D">
      <w:pPr>
        <w:rPr/>
      </w:pPr>
      <w:r w:rsidDel="00000000" w:rsidR="00000000" w:rsidRPr="00000000">
        <w:rPr>
          <w:rtl w:val="0"/>
        </w:rPr>
        <w:t xml:space="preserve">A partir del objetivo general, se definen los siguientes objetivos específicos, formulados como pasos concretos y evaluables hacia su consecución:</w:t>
      </w:r>
    </w:p>
    <w:p w:rsidR="00000000" w:rsidDel="00000000" w:rsidP="00000000" w:rsidRDefault="00000000" w:rsidRPr="00000000" w14:paraId="0000011E">
      <w:pPr>
        <w:rPr/>
      </w:pPr>
      <w:r>
        <w:rPr/>
        <w:t xml:space="preserve">– Diseñar una arquitectura cloud-native modular que sirva de base para la plataforma de autoservicio, apoyada en contenedores y servicios gestionados de AWS (EC2 con Auto Scaling, Elastic Load Balancing, S3 y CloudFront).</w:t>
      </w:r>
    </w:p>
    <w:p w:rsidR="00000000" w:rsidDel="00000000" w:rsidP="00000000" w:rsidRDefault="00000000" w:rsidRPr="00000000" w14:paraId="0000011F">
      <w:pPr>
        <w:rPr/>
      </w:pPr>
      <w:r w:rsidDel="00000000" w:rsidR="00000000" w:rsidRPr="00000000">
        <w:rPr>
          <w:rtl w:val="0"/>
        </w:rPr>
        <w:t xml:space="preserve">– Desarrollar una plataforma web de autoservicio que permita automatizar el aprovisionamiento y la gestión simplificada de infraestructura cloud en AWS mediante plantillas preconfiguradas de Infraestructura como Código construidas con Terraform.</w:t>
      </w:r>
    </w:p>
    <w:p w:rsidR="00000000" w:rsidDel="00000000" w:rsidP="00000000" w:rsidRDefault="00000000" w:rsidRPr="00000000" w14:paraId="00000120">
      <w:pPr>
        <w:rPr/>
      </w:pPr>
      <w:r>
        <w:rPr/>
        <w:t xml:space="preserve">– Integrar mecanismos básicos de observabilidad, mediante métricas, registros, alarmas y trazas con Amazon CloudWatch y AWS X-Ray, que faciliten la supervisión de los entornos desplegados.</w:t>
      </w:r>
    </w:p>
    <w:p w:rsidR="00000000" w:rsidDel="00000000" w:rsidP="00000000" w:rsidRDefault="00000000" w:rsidRPr="00000000" w14:paraId="00000121">
      <w:pPr>
        <w:rPr/>
      </w:pPr>
      <w:r w:rsidDel="00000000" w:rsidR="00000000" w:rsidRPr="00000000">
        <w:rPr>
          <w:rtl w:val="0"/>
        </w:rPr>
        <w:t xml:space="preserve">– Evaluar la usabilidad y la aplicabilidad de la plataforma desarrollada mediante pruebas funcionales y la validación de un caso de uso representativo de una PYME.</w:t>
      </w:r>
    </w:p>
    <w:p w:rsidR="00000000" w:rsidDel="00000000" w:rsidP="00000000" w:rsidRDefault="00000000" w:rsidRPr="00000000" w14:paraId="00000122">
      <w:pPr>
        <w:pStyle w:val="Heading2"/>
        <w:numPr>
          <w:ilvl w:val="1"/>
          <w:numId w:val="9"/>
        </w:numPr>
        <w:ind w:left="576" w:hanging="576"/>
        <w:rPr>
          <w:smallCaps w:val="1"/>
        </w:rPr>
      </w:pPr>
      <w:bookmarkStart w:colFirst="0" w:colLast="0" w:name="_heading=h.arbkrqstzcwa" w:id="23"/>
      <w:bookmarkEnd w:id="23"/>
      <w:r w:rsidDel="00000000" w:rsidR="00000000" w:rsidRPr="00000000">
        <w:rPr>
          <w:rtl w:val="0"/>
        </w:rPr>
        <w:t xml:space="preserve">Metodología del trabajo</w:t>
      </w:r>
      <w:r w:rsidDel="00000000" w:rsidR="00000000" w:rsidRPr="00000000">
        <w:rPr>
          <w:rtl w:val="0"/>
        </w:rPr>
      </w:r>
    </w:p>
    <w:p w:rsidR="00000000" w:rsidDel="00000000" w:rsidP="00000000" w:rsidRDefault="00000000" w:rsidRPr="00000000" w14:paraId="00000123">
      <w:pPr>
        <w:spacing w:after="240" w:before="0" w:lineRule="auto"/>
        <w:rPr/>
      </w:pPr>
      <w:r w:rsidDel="00000000" w:rsidR="00000000" w:rsidRPr="00000000">
        <w:rPr>
          <w:rtl w:val="0"/>
        </w:rPr>
        <w:t xml:space="preserve">Para el desarrollo de la contribución (capítulo 4) se adopta un enfoque de Desarrollo Ágil Iterativo e Incremental, tomando como referencia las prácticas operativas de marcos como Scrum y Kanban. En lugar de adoptar una estructura de roles formales (como </w:t>
      </w:r>
      <w:r w:rsidDel="00000000" w:rsidR="00000000" w:rsidRPr="00000000">
        <w:rPr>
          <w:i w:val="1"/>
          <w:iCs w:val="1"/>
          <w:rtl w:val="0"/>
        </w:rPr>
        <w:t xml:space="preserve">Product Owner</w:t>
      </w:r>
      <w:r w:rsidDel="00000000" w:rsidR="00000000" w:rsidRPr="00000000">
        <w:rPr>
          <w:rtl w:val="0"/>
        </w:rPr>
        <w:t xml:space="preserve"> o </w:t>
      </w:r>
      <w:r w:rsidDel="00000000" w:rsidR="00000000" w:rsidRPr="00000000">
        <w:rPr>
          <w:i w:val="1"/>
          <w:iCs w:val="1"/>
          <w:rtl w:val="0"/>
        </w:rPr>
        <w:t xml:space="preserve">Scrum Master</w:t>
      </w:r>
      <w:r w:rsidDel="00000000" w:rsidR="00000000" w:rsidRPr="00000000">
        <w:rPr>
          <w:rtl w:val="0"/>
        </w:rPr>
        <w:t xml:space="preserve"> dedicados), se optó por un esquema de autogestión directa enfocado en la organización visual de tareas, la priorización del trabajo y la ejecución por iteraciones (</w:t>
      </w:r>
      <w:r w:rsidDel="00000000" w:rsidR="00000000" w:rsidRPr="00000000">
        <w:rPr>
          <w:i w:val="1"/>
          <w:iCs w:val="1"/>
          <w:rtl w:val="0"/>
        </w:rPr>
        <w:t xml:space="preserve">sprints</w:t>
      </w:r>
      <w:r w:rsidDel="00000000" w:rsidR="00000000" w:rsidRPr="00000000">
        <w:rPr>
          <w:rtl w:val="0"/>
        </w:rPr>
        <w:t xml:space="preserve">).</w:t>
      </w:r>
    </w:p>
    <w:p w:rsidR="00000000" w:rsidDel="00000000" w:rsidP="00000000" w:rsidRDefault="00000000" w:rsidRPr="00000000" w14:paraId="00000124">
      <w:pPr>
        <w:spacing w:after="240" w:before="0" w:lineRule="auto"/>
        <w:rPr/>
      </w:pPr>
      <w:r w:rsidDel="00000000" w:rsidR="00000000" w:rsidRPr="00000000">
        <w:rPr>
          <w:rtl w:val="0"/>
        </w:rPr>
        <w:t xml:space="preserve">Este esquema operativo se eligió porque la estructura de </w:t>
      </w:r>
      <w:r w:rsidDel="00000000" w:rsidR="00000000" w:rsidRPr="00000000">
        <w:rPr>
          <w:i w:val="1"/>
          <w:iCs w:val="1"/>
          <w:rtl w:val="0"/>
        </w:rPr>
        <w:t xml:space="preserve">sprints</w:t>
      </w:r>
      <w:r w:rsidDel="00000000" w:rsidR="00000000" w:rsidRPr="00000000">
        <w:rPr>
          <w:rtl w:val="0"/>
        </w:rPr>
        <w:t xml:space="preserve"> cortos con entregables incrementales encaja de forma natural con el calendario de entregas fijado por la titulación para este TFM. Asimismo, permite priorizar y reordenar el </w:t>
      </w:r>
      <w:r w:rsidDel="00000000" w:rsidR="00000000" w:rsidRPr="00000000">
        <w:rPr>
          <w:i w:val="1"/>
          <w:iCs w:val="1"/>
          <w:rtl w:val="0"/>
        </w:rPr>
        <w:t xml:space="preserve">backlog</w:t>
      </w:r>
      <w:r w:rsidDel="00000000" w:rsidR="00000000" w:rsidRPr="00000000">
        <w:rPr>
          <w:rtl w:val="0"/>
        </w:rPr>
        <w:t xml:space="preserve"> de tareas a medida que avanza el desarrollo, algo especialmente útil en un proyecto de dos integrantes con responsabilidades técnicas complementarias (backend/IaC y frontend/integración).</w:t>
      </w:r>
    </w:p>
    <w:p w:rsidR="00000000" w:rsidDel="00000000" w:rsidP="00000000" w:rsidRDefault="00000000" w:rsidRPr="00000000" w14:paraId="00000125">
      <w:pPr>
        <w:spacing w:after="240" w:before="0" w:lineRule="auto"/>
        <w:rPr/>
      </w:pPr>
      <w:r w:rsidDel="00000000" w:rsidR="00000000" w:rsidRPr="00000000">
        <w:rPr>
          <w:rtl w:val="0"/>
        </w:rPr>
        <w:t xml:space="preserve">Para la gestión del flujo de trabajo se emplearon tres instrumentos principales:</w:t>
      </w:r>
    </w:p>
    <w:p w:rsidR="00000000" w:rsidDel="00000000" w:rsidP="00000000" w:rsidRDefault="00000000" w:rsidRPr="00000000" w14:paraId="00000126">
      <w:pPr>
        <w:numPr>
          <w:ilvl w:val="0"/>
          <w:numId w:val="4"/>
        </w:numPr>
        <w:spacing w:after="0" w:before="0" w:lineRule="auto"/>
        <w:ind w:left="720" w:hanging="360"/>
        <w:jc w:val="left"/>
        <w:rPr/>
      </w:pPr>
      <w:r w:rsidDel="00000000" w:rsidR="00000000" w:rsidRPr="00000000">
        <w:rPr>
          <w:rtl w:val="0"/>
        </w:rPr>
        <w:t xml:space="preserve">Product Backlog: Registro centralizado que reúne las tareas e historias de desarrollo derivadas de los objetivos específicos.</w:t>
      </w:r>
    </w:p>
    <w:p w:rsidR="00000000" w:rsidDel="00000000" w:rsidP="00000000" w:rsidRDefault="00000000" w:rsidRPr="00000000" w14:paraId="00000127">
      <w:pPr>
        <w:numPr>
          <w:ilvl w:val="0"/>
          <w:numId w:val="4"/>
        </w:numPr>
        <w:spacing w:after="0" w:before="0" w:lineRule="auto"/>
        <w:ind w:left="720" w:hanging="360"/>
        <w:jc w:val="left"/>
        <w:rPr/>
      </w:pPr>
      <w:r w:rsidDel="00000000" w:rsidR="00000000" w:rsidRPr="00000000">
        <w:rPr>
          <w:rtl w:val="0"/>
        </w:rPr>
        <w:t xml:space="preserve">Tablero de Tareas (Sprint Backlog): Herramienta de seguimiento visual (Kanban) para organizar las actividades de cada ciclo por estado (</w:t>
      </w:r>
      <w:r w:rsidDel="00000000" w:rsidR="00000000" w:rsidRPr="00000000">
        <w:rPr>
          <w:i w:val="1"/>
          <w:iCs w:val="1"/>
          <w:rtl w:val="0"/>
        </w:rPr>
        <w:t xml:space="preserve">Por hacer</w:t>
      </w:r>
      <w:r w:rsidDel="00000000" w:rsidR="00000000" w:rsidRPr="00000000">
        <w:rPr>
          <w:rtl w:val="0"/>
        </w:rPr>
        <w:t xml:space="preserve">, </w:t>
      </w:r>
      <w:r w:rsidDel="00000000" w:rsidR="00000000" w:rsidRPr="00000000">
        <w:rPr>
          <w:i w:val="1"/>
          <w:iCs w:val="1"/>
          <w:rtl w:val="0"/>
        </w:rPr>
        <w:t xml:space="preserve">En progreso</w:t>
      </w:r>
      <w:r w:rsidDel="00000000" w:rsidR="00000000" w:rsidRPr="00000000">
        <w:rPr>
          <w:rtl w:val="0"/>
        </w:rPr>
        <w:t xml:space="preserve">, </w:t>
      </w:r>
      <w:r w:rsidDel="00000000" w:rsidR="00000000" w:rsidRPr="00000000">
        <w:rPr>
          <w:i w:val="1"/>
          <w:iCs w:val="1"/>
          <w:rtl w:val="0"/>
        </w:rPr>
        <w:t xml:space="preserve">Completado</w:t>
      </w:r>
      <w:r w:rsidDel="00000000" w:rsidR="00000000" w:rsidRPr="00000000">
        <w:rPr>
          <w:rtl w:val="0"/>
        </w:rPr>
        <w:t xml:space="preserve">), facilitando la distribución equitativa del trabajo (plataforma web, servicios backend, plantillas de Terraform e integración de observabilidad).</w:t>
      </w:r>
    </w:p>
    <w:p w:rsidR="00000000" w:rsidDel="00000000" w:rsidP="00000000" w:rsidRDefault="00000000" w:rsidRPr="00000000" w14:paraId="00000128">
      <w:pPr>
        <w:numPr>
          <w:ilvl w:val="0"/>
          <w:numId w:val="4"/>
        </w:numPr>
        <w:spacing w:after="240" w:before="0" w:lineRule="auto"/>
        <w:ind w:left="720" w:hanging="360"/>
        <w:jc w:val="left"/>
        <w:rPr/>
      </w:pPr>
      <w:r w:rsidDel="00000000" w:rsidR="00000000" w:rsidRPr="00000000">
        <w:rPr>
          <w:rtl w:val="0"/>
        </w:rPr>
        <w:t xml:space="preserve">Incremento de Software: Versión funcional del sistema que se integra al cierre de cada iteración.</w:t>
      </w:r>
    </w:p>
    <w:p w:rsidR="00000000" w:rsidDel="00000000" w:rsidP="00000000" w:rsidRDefault="00000000" w:rsidRPr="00000000" w14:paraId="00000129">
      <w:pPr>
        <w:spacing w:after="240" w:before="0" w:lineRule="auto"/>
        <w:rPr/>
      </w:pPr>
      <w:r w:rsidDel="00000000" w:rsidR="00000000" w:rsidRPr="00000000">
        <w:rPr>
          <w:rtl w:val="0"/>
        </w:rPr>
        <w:t xml:space="preserve">La dinámica de trabajo se apoya en sesiones breves de planificación al inicio de cada </w:t>
      </w:r>
      <w:r w:rsidDel="00000000" w:rsidR="00000000" w:rsidRPr="00000000">
        <w:rPr>
          <w:i w:val="1"/>
          <w:iCs w:val="1"/>
          <w:rtl w:val="0"/>
        </w:rPr>
        <w:t xml:space="preserve">sprint</w:t>
      </w:r>
      <w:r w:rsidDel="00000000" w:rsidR="00000000" w:rsidRPr="00000000">
        <w:rPr>
          <w:rtl w:val="0"/>
        </w:rPr>
        <w:t xml:space="preserve"> (</w:t>
      </w:r>
      <w:r w:rsidDel="00000000" w:rsidR="00000000" w:rsidRPr="00000000">
        <w:rPr>
          <w:i w:val="1"/>
          <w:iCs w:val="1"/>
          <w:rtl w:val="0"/>
        </w:rPr>
        <w:t xml:space="preserve">Sprint Planning</w:t>
      </w:r>
      <w:r w:rsidDel="00000000" w:rsidR="00000000" w:rsidRPr="00000000">
        <w:rPr>
          <w:rtl w:val="0"/>
        </w:rPr>
        <w:t xml:space="preserve">) para definir el alcance y asignar las tareas entre ambos desarrolladores, sincronizaciones periódicas de avance para resolver bloqueos técnicos, y revisiones al cierre de cada ciclo junto con la validación de avance por parte del director del TFM, Javier Bermejo Higuera.</w:t>
      </w:r>
    </w:p>
    <w:p w:rsidR="00000000" w:rsidDel="00000000" w:rsidP="00000000" w:rsidRDefault="00000000" w:rsidRPr="00000000" w14:paraId="0000012A">
      <w:pPr>
        <w:spacing w:after="240" w:before="0" w:lineRule="auto"/>
        <w:rPr/>
      </w:pPr>
      <w:r w:rsidDel="00000000" w:rsidR="00000000" w:rsidRPr="00000000">
        <w:rPr>
          <w:rtl w:val="0"/>
        </w:rPr>
        <w:t xml:space="preserve">La planificación de los </w:t>
      </w:r>
      <w:r w:rsidDel="00000000" w:rsidR="00000000" w:rsidRPr="00000000">
        <w:rPr>
          <w:i w:val="1"/>
          <w:iCs w:val="1"/>
          <w:rtl w:val="0"/>
        </w:rPr>
        <w:t xml:space="preserve">sprints</w:t>
      </w:r>
      <w:r w:rsidDel="00000000" w:rsidR="00000000" w:rsidRPr="00000000">
        <w:rPr>
          <w:rtl w:val="0"/>
        </w:rPr>
        <w:t xml:space="preserve"> se ajusta al calendario oficial de entregas del TFM. El desarrollo específico de la contribución (capítulo 4) se concentra en el periodo comprendido entre la Entrega 1 (07/10/2026, capítulos 1 a 3) y la Entrega 3 (09/12/2026, aproximación al resultado final), organizándose en cuatro </w:t>
      </w:r>
      <w:r w:rsidDel="00000000" w:rsidR="00000000" w:rsidRPr="00000000">
        <w:rPr>
          <w:i w:val="1"/>
          <w:iCs w:val="1"/>
          <w:rtl w:val="0"/>
        </w:rPr>
        <w:t xml:space="preserve">sprints</w:t>
      </w:r>
      <w:r w:rsidDel="00000000" w:rsidR="00000000" w:rsidRPr="00000000">
        <w:rPr>
          <w:rtl w:val="0"/>
        </w:rPr>
        <w:t xml:space="preserve"> de aproximadamente dos semanas:</w:t>
      </w:r>
    </w:p>
    <w:p w:rsidR="00000000" w:rsidDel="00000000" w:rsidP="00000000" w:rsidRDefault="00000000" w:rsidRPr="00000000" w14:paraId="0000012B">
      <w:pPr>
        <w:numPr>
          <w:ilvl w:val="0"/>
          <w:numId w:val="1"/>
        </w:numPr>
        <w:spacing w:after="0" w:before="0" w:lineRule="auto"/>
        <w:ind w:left="720" w:hanging="360"/>
        <w:jc w:val="left"/>
        <w:rPr/>
      </w:pPr>
      <w:r w:rsidDel="00000000" w:rsidR="00000000" w:rsidRPr="00000000">
        <w:rPr>
          <w:rtl w:val="0"/>
        </w:rPr>
        <w:t xml:space="preserve">Sprint 1 (08/10/2026 – 21/10/2026): Definición del </w:t>
      </w:r>
      <w:r w:rsidDel="00000000" w:rsidR="00000000" w:rsidRPr="00000000">
        <w:rPr>
          <w:i w:val="1"/>
          <w:iCs w:val="1"/>
          <w:rtl w:val="0"/>
        </w:rPr>
        <w:t xml:space="preserve">Product Backlog</w:t>
      </w:r>
      <w:r w:rsidDel="00000000" w:rsidR="00000000" w:rsidRPr="00000000">
        <w:rPr>
          <w:rtl w:val="0"/>
        </w:rPr>
        <w:t xml:space="preserve">, diseño de la arquitectura </w:t>
      </w:r>
      <w:r w:rsidDel="00000000" w:rsidR="00000000" w:rsidRPr="00000000">
        <w:rPr>
          <w:i w:val="1"/>
          <w:iCs w:val="1"/>
          <w:rtl w:val="0"/>
        </w:rPr>
        <w:t xml:space="preserve">cloud-native</w:t>
      </w:r>
      <w:r w:rsidDel="00000000" w:rsidR="00000000" w:rsidRPr="00000000">
        <w:rPr>
          <w:rtl w:val="0"/>
        </w:rPr>
        <w:t xml:space="preserve"> y configuración base del repositorio, la integración continua (GitHub Actions) y el entorno de AWS.</w:t>
      </w:r>
    </w:p>
    <w:p w:rsidR="00000000" w:rsidDel="00000000" w:rsidP="00000000" w:rsidRDefault="00000000" w:rsidRPr="00000000" w14:paraId="0000012C">
      <w:pPr>
        <w:numPr>
          <w:ilvl w:val="0"/>
          <w:numId w:val="1"/>
        </w:numPr>
        <w:spacing w:after="0" w:before="0" w:lineRule="auto"/>
        <w:ind w:left="720" w:hanging="360"/>
        <w:jc w:val="left"/>
        <w:rPr/>
      </w:pPr>
      <w:r>
        <w:rPr/>
        <w:t xml:space="preserve">Sprint 2 (22/10/2026 – 04/11/2026): Desarrollo de las primeras plantillas de Infraestructura como Código en Terraform (red, cómputo con Auto Scaling de EC2 y distribución del frontend con S3 y CloudFront) y del backend en Spring Boot que las orquesta. Este </w:t>
      </w:r>
      <w:r>
        <w:rPr>
          <w:i w:val="1"/>
          <w:iCs w:val="1"/>
        </w:rPr>
        <w:t xml:space="preserve">sprint</w:t>
      </w:r>
      <w:r>
        <w:rPr/>
        <w:t xml:space="preserve"> cierra justo antes de la Entrega 2 (11/11/2026), de modo que su incremento constituye el avance del capítulo 4 que se presenta en dicha entrega.</w:t>
      </w:r>
    </w:p>
    <w:p w:rsidR="00000000" w:rsidDel="00000000" w:rsidP="00000000" w:rsidRDefault="00000000" w:rsidRPr="00000000" w14:paraId="0000012D">
      <w:pPr>
        <w:numPr>
          <w:ilvl w:val="0"/>
          <w:numId w:val="1"/>
        </w:numPr>
        <w:spacing w:after="0" w:before="0" w:lineRule="auto"/>
        <w:ind w:left="720" w:hanging="360"/>
        <w:jc w:val="left"/>
        <w:rPr/>
      </w:pPr>
      <w:r>
        <w:rPr/>
        <w:t xml:space="preserve">Sprint 3 (05/11/2026 – 18/11/2026): Desarrollo del frontend en Angular para el autoservicio de aprovisionamiento y consolidación del flujo de despliegue automatizado de extremo a extremo.</w:t>
      </w:r>
    </w:p>
    <w:p w:rsidR="00000000" w:rsidDel="00000000" w:rsidP="00000000" w:rsidRDefault="00000000" w:rsidRPr="00000000" w14:paraId="0000012E">
      <w:pPr>
        <w:numPr>
          <w:ilvl w:val="0"/>
          <w:numId w:val="1"/>
        </w:numPr>
        <w:spacing w:after="240" w:before="0" w:lineRule="auto"/>
        <w:ind w:left="720" w:hanging="360"/>
        <w:jc w:val="left"/>
        <w:rPr/>
      </w:pPr>
      <w:r>
        <w:rPr/>
        <w:t xml:space="preserve">Sprint 4 (19/11/2026 – 02/12/2026): Integración de la observabilidad (Amazon CloudWatch y AWS X-Ray), pruebas funcionales y de usabilidad, y cierre de incidencias. La primera semana de diciembre (03/12/2026 – 09/12/2026) se reserva, fuera de </w:t>
      </w:r>
      <w:r>
        <w:rPr>
          <w:i w:val="1"/>
          <w:iCs w:val="1"/>
        </w:rPr>
        <w:t xml:space="preserve">sprint</w:t>
      </w:r>
      <w:r>
        <w:rPr/>
        <w:t xml:space="preserve">, para consolidar resultados, redactar las conclusiones y preparar la Entrega 3 (09/12/2026).</w:t>
      </w:r>
    </w:p>
    <w:p w:rsidR="00000000" w:rsidDel="00000000" w:rsidP="00000000" w:rsidRDefault="00000000" w:rsidRPr="00000000" w14:paraId="0000012F">
      <w:pPr>
        <w:spacing w:after="240" w:before="0" w:lineRule="auto"/>
        <w:rPr/>
      </w:pPr>
      <w:r w:rsidDel="00000000" w:rsidR="00000000" w:rsidRPr="00000000">
        <w:rPr>
          <w:rtl w:val="0"/>
        </w:rPr>
        <w:t xml:space="preserve">Esta planificación garantiza que cada entrega oficial del TFM coincida con el cierre de una iteración: la Entrega 1 recoge el trabajo de fundamentación (capítulos 1 a 3, ya sin desarrollo de </w:t>
      </w:r>
      <w:r w:rsidDel="00000000" w:rsidR="00000000" w:rsidRPr="00000000">
        <w:rPr>
          <w:i w:val="1"/>
          <w:iCs w:val="1"/>
          <w:rtl w:val="0"/>
        </w:rPr>
        <w:t xml:space="preserve">sprints</w:t>
      </w:r>
      <w:r w:rsidDel="00000000" w:rsidR="00000000" w:rsidRPr="00000000">
        <w:rPr>
          <w:rtl w:val="0"/>
        </w:rPr>
        <w:t xml:space="preserve">), la Entrega 2 recoge el incremento resultante de los </w:t>
      </w:r>
      <w:r w:rsidDel="00000000" w:rsidR="00000000" w:rsidRPr="00000000">
        <w:rPr>
          <w:i w:val="1"/>
          <w:iCs w:val="1"/>
          <w:rtl w:val="0"/>
        </w:rPr>
        <w:t xml:space="preserve">sprints</w:t>
      </w:r>
      <w:r w:rsidDel="00000000" w:rsidR="00000000" w:rsidRPr="00000000">
        <w:rPr>
          <w:rtl w:val="0"/>
        </w:rPr>
        <w:t xml:space="preserve"> 1 y 2 (arquitectura, IaC y backend), y la Entrega 3 recoge el incremento acumulado de los </w:t>
      </w:r>
      <w:r w:rsidDel="00000000" w:rsidR="00000000" w:rsidRPr="00000000">
        <w:rPr>
          <w:i w:val="1"/>
          <w:iCs w:val="1"/>
          <w:rtl w:val="0"/>
        </w:rPr>
        <w:t xml:space="preserve">sprints</w:t>
      </w:r>
      <w:r w:rsidDel="00000000" w:rsidR="00000000" w:rsidRPr="00000000">
        <w:rPr>
          <w:rtl w:val="0"/>
        </w:rPr>
        <w:t xml:space="preserve"> 3 y 4 (frontend, observabilidad y validación), en consonancia con el carácter no necesariamente lineal con el que se elabora la memoria.</w:t>
      </w:r>
    </w:p>
    <w:p>
      <w:pPr>
        <w:rPr/>
      </w:pPr>
      <w:r>
        <w:br w:type="page"/>
      </w:r>
    </w:p>
    <w:p>
      <w:pPr>
        <w:pStyle w:val="Heading1"/>
        <w:numPr>
          <w:ilvl w:val="0"/>
          <w:numId w:val="9"/>
        </w:numPr>
        <w:ind w:left="432" w:hanging="432"/>
        <w:rPr/>
      </w:pPr>
      <w:r>
        <w:t xml:space="preserve">Desarrollo específico de la contribución</w:t>
      </w:r>
    </w:p>
    <w:p>
      <w:pPr>
        <w:rPr/>
      </w:pPr>
      <w:r>
        <w:rPr/>
        <w:t xml:space="preserve">Este capítulo describe la contribución práctica del trabajo: </w:t>
      </w:r>
      <w:r>
        <w:rPr>
          <w:b w:val="1"/>
          <w:bCs w:val="1"/>
        </w:rPr>
        <w:t xml:space="preserve">ReleEasy Cloud</w:t>
      </w:r>
      <w:r>
        <w:rPr/>
        <w:t xml:space="preserve">, una plataforma web de autoservicio que permite a una PYME desplegar sus aplicaciones en su propia cuenta de AWS a partir de plantillas preconfiguradas, sin gestionar directamente la infraestructura. Siguiendo la estructura de los trabajos de desarrollo práctico, se presentan primero los requisitos identificados y las tecnologías seleccionadas, después la arquitectura y los componentes del sistema y, por último, la evaluación realizada.</w:t>
      </w:r>
    </w:p>
    <w:p>
      <w:pPr>
        <w:rPr/>
      </w:pPr>
      <w:r>
        <w:rPr/>
        <w:t xml:space="preserve">El capítulo refleja el estado del desarrollo a 24 de octubre de 2026, al inicio del Sprint 2. Están implementados el portal web, la API de orquestación y la integración real con GitHub; el aprovisionamiento real en AWS mediante Terraform y los pipelines de despliegue se encuentran en desarrollo. En cada apartado se indica qué partes están terminadas y cuáles están pendientes.</w:t>
      </w:r>
    </w:p>
    <w:p>
      <w:pPr>
        <w:rPr/>
      </w:pPr>
    </w:p>
    <w:p>
      <w:pPr>
        <w:pStyle w:val="Heading2"/>
        <w:numPr>
          <w:ilvl w:val="1"/>
          <w:numId w:val="9"/>
        </w:numPr>
        <w:ind w:left="576" w:hanging="576"/>
        <w:rPr/>
      </w:pPr>
      <w:r>
        <w:t xml:space="preserve">Identificación de requisitos</w:t>
      </w:r>
    </w:p>
    <w:p>
      <w:pPr>
        <w:rPr/>
      </w:pPr>
      <w:r>
        <w:rPr/>
        <w:t xml:space="preserve">Los requisitos se obtuvieron a partir de las conclusiones del estado del arte (apartado 2.3) y del análisis del escenario típico de una PYME que desarrolla sus propias aplicaciones web pero no dispone de un equipo DevOps. Durante el Sprint 1 se refinaron de forma iterativa, y varias decisiones de alcance se revisaron al detectar limitaciones técnicas o de coste (apartado 4.2.2). Cada decisión se registró de forma trazable en un registro de decisiones del repositorio (</w:t>
      </w:r>
      <w:r>
        <w:rPr>
          <w:rFonts w:ascii="Consolas" w:hAnsi="Consolas" w:cs="Consolas"/>
          <w:sz w:val="21"/>
          <w:szCs w:val="21"/>
        </w:rPr>
        <w:t xml:space="preserve">backend/docs/decisiones.md</w:t>
      </w:r>
      <w:r>
        <w:rPr/>
        <w:t xml:space="preserve">, decisiones D-01 a D-26).</w:t>
      </w:r>
    </w:p>
    <w:p>
      <w:pPr>
        <w:rPr/>
      </w:pPr>
    </w:p>
    <w:p>
      <w:pPr>
        <w:pStyle w:val="Heading3"/>
        <w:numPr>
          <w:ilvl w:val="2"/>
          <w:numId w:val="9"/>
        </w:numPr>
        <w:ind w:left="720" w:hanging="720"/>
        <w:rPr/>
      </w:pPr>
      <w:r>
        <w:t xml:space="preserve">Actores y contexto de uso</w:t>
      </w:r>
    </w:p>
    <w:p>
      <w:pPr>
        <w:rPr/>
      </w:pPr>
      <w:r>
        <w:rPr/>
        <w:t xml:space="preserve">La plataforma contempla dos actores humanos y dos sistemas externos:</w:t>
      </w:r>
    </w:p>
    <w:p>
      <w:pPr>
        <w:numPr>
          <w:ilvl w:val="0"/>
          <w:numId w:val="1"/>
        </w:numPr>
        <w:ind w:left="720" w:hanging="360"/>
        <w:rPr/>
      </w:pPr>
      <w:r>
        <w:rPr>
          <w:b w:val="1"/>
          <w:bCs w:val="1"/>
        </w:rPr>
        <w:t xml:space="preserve">Cliente (PYME):</w:t>
      </w:r>
      <w:r>
        <w:rPr/>
        <w:t xml:space="preserve"> empresa que se registra en el portal, conecta su cuenta de AWS y su cuenta de GitHub, y crea aplicaciones a partir del catálogo. Es el único actor que crea aplicaciones.</w:t>
      </w:r>
    </w:p>
    <w:p>
      <w:pPr>
        <w:numPr>
          <w:ilvl w:val="0"/>
          <w:numId w:val="1"/>
        </w:numPr>
        <w:ind w:left="720" w:hanging="360"/>
        <w:rPr/>
      </w:pPr>
      <w:r>
        <w:rPr>
          <w:b w:val="1"/>
          <w:bCs w:val="1"/>
        </w:rPr>
        <w:t xml:space="preserve">Administrador de la plataforma:</w:t>
      </w:r>
      <w:r>
        <w:rPr/>
        <w:t xml:space="preserve"> consulta, en modo de solo lectura, todos los clientes, sus conexiones, sus aplicaciones y sus despliegues, con fines de soporte.</w:t>
      </w:r>
    </w:p>
    <w:p>
      <w:pPr>
        <w:numPr>
          <w:ilvl w:val="0"/>
          <w:numId w:val="1"/>
        </w:numPr>
        <w:ind w:left="720" w:hanging="360"/>
        <w:rPr/>
      </w:pPr>
      <w:r>
        <w:rPr>
          <w:b w:val="1"/>
          <w:bCs w:val="1"/>
        </w:rPr>
        <w:t xml:space="preserve">GitHub:</w:t>
      </w:r>
      <w:r>
        <w:rPr/>
        <w:t xml:space="preserve"> aloja el código del cliente y notifica a la plataforma cada </w:t>
      </w:r>
      <w:r>
        <w:rPr>
          <w:i w:val="1"/>
          <w:iCs w:val="1"/>
        </w:rPr>
        <w:t xml:space="preserve">push</w:t>
      </w:r>
      <w:r>
        <w:rPr/>
        <w:t xml:space="preserve"> a la rama configurada.</w:t>
      </w:r>
    </w:p>
    <w:p>
      <w:pPr>
        <w:numPr>
          <w:ilvl w:val="0"/>
          <w:numId w:val="1"/>
        </w:numPr>
        <w:ind w:left="720" w:hanging="360"/>
        <w:rPr/>
      </w:pPr>
      <w:r>
        <w:rPr>
          <w:b w:val="1"/>
          <w:bCs w:val="1"/>
        </w:rPr>
        <w:t xml:space="preserve">AWS (cuenta del cliente):</w:t>
      </w:r>
      <w:r>
        <w:rPr/>
        <w:t xml:space="preserve"> es donde se crea la infraestructura de cada aplicación. AWS factura directamente al cliente, y la plataforma cobra una cuota propia por aplicación.</w:t>
      </w:r>
    </w:p>
    <w:p>
      <w:pPr>
        <w:rPr/>
      </w:pPr>
    </w:p>
    <w:p>
      <w:pPr>
        <w:pStyle w:val="Heading3"/>
        <w:numPr>
          <w:ilvl w:val="2"/>
          <w:numId w:val="9"/>
        </w:numPr>
        <w:ind w:left="720" w:hanging="720"/>
        <w:rPr/>
      </w:pPr>
      <w:r>
        <w:t xml:space="preserve">Requisitos funcionales</w:t>
      </w:r>
    </w:p>
    <w:p>
      <w:pPr>
        <w:rPr/>
      </w:pPr>
      <w:r>
        <w:rPr/>
        <w:t xml:space="preserve">La Tabla 5 recoge los requisitos funcionales y su estado a la fecha de este capítulo.</w:t>
      </w:r>
    </w:p>
    <w:p>
      <w:pPr>
        <w:keepNext w:val="1"/>
        <w:spacing w:after="120" w:before="120" w:line="360" w:lineRule="auto"/>
        <w:ind w:left="0" w:right="0" w:firstLine="0"/>
        <w:jc w:val="both"/>
        <w:rPr/>
      </w:pPr>
      <w:r>
        <w:rPr>
          <w:rFonts w:ascii="Calibri" w:cs="Calibri" w:eastAsia="Calibri" w:hAnsi="Calibri"/>
          <w:b w:val="1"/>
          <w:bCs w:val="1"/>
          <w:i w:val="0"/>
          <w:iCs w:val="0"/>
          <w:color w:val="000000"/>
          <w:sz w:val="24"/>
          <w:szCs w:val="24"/>
        </w:rPr>
        <w:t xml:space="preserve">Tabla </w:t>
      </w:r>
      <w:r>
        <w:rPr>
          <w:rFonts w:ascii="Calibri" w:cs="Calibri" w:eastAsia="Calibri" w:hAnsi="Calibri"/>
          <w:b w:val="1"/>
          <w:bCs w:val="1"/>
          <w:i w:val="0"/>
          <w:iCs w:val="0"/>
          <w:color w:val="000000"/>
          <w:sz w:val="24"/>
          <w:szCs w:val="24"/>
        </w:rPr>
        <w:fldChar w:fldCharType="begin"/>
      </w:r>
      <w:r>
        <w:rPr>
          <w:rFonts w:ascii="Calibri" w:cs="Calibri" w:eastAsia="Calibri" w:hAnsi="Calibri"/>
          <w:b w:val="1"/>
          <w:bCs w:val="1"/>
          <w:i w:val="0"/>
          <w:iCs w:val="0"/>
          <w:color w:val="000000"/>
          <w:sz w:val="24"/>
          <w:szCs w:val="24"/>
        </w:rPr>
        <w:instrText xml:space="preserve"> SEQ Tabla \* ARABIC </w:instrText>
      </w:r>
      <w:r>
        <w:rPr>
          <w:rFonts w:ascii="Calibri" w:cs="Calibri" w:eastAsia="Calibri" w:hAnsi="Calibri"/>
          <w:b w:val="1"/>
          <w:bCs w:val="1"/>
          <w:i w:val="0"/>
          <w:iCs w:val="0"/>
          <w:color w:val="000000"/>
          <w:sz w:val="24"/>
          <w:szCs w:val="24"/>
        </w:rPr>
        <w:fldChar w:fldCharType="separate"/>
      </w:r>
      <w:r>
        <w:rPr>
          <w:rFonts w:ascii="Calibri" w:cs="Calibri" w:eastAsia="Calibri" w:hAnsi="Calibri"/>
          <w:b w:val="1"/>
          <w:bCs w:val="1"/>
          <w:i w:val="0"/>
          <w:iCs w:val="0"/>
          <w:color w:val="000000"/>
          <w:sz w:val="24"/>
          <w:szCs w:val="24"/>
        </w:rPr>
        <w:t>5</w:t>
      </w:r>
      <w:r>
        <w:rPr>
          <w:rFonts w:ascii="Calibri" w:cs="Calibri" w:eastAsia="Calibri" w:hAnsi="Calibri"/>
          <w:b w:val="1"/>
          <w:bCs w:val="1"/>
          <w:i w:val="0"/>
          <w:iCs w:val="0"/>
          <w:color w:val="000000"/>
          <w:sz w:val="24"/>
          <w:szCs w:val="24"/>
        </w:rPr>
        <w:fldChar w:fldCharType="end"/>
      </w:r>
      <w:r>
        <w:rPr>
          <w:rFonts w:ascii="Calibri" w:cs="Calibri" w:eastAsia="Calibri" w:hAnsi="Calibri"/>
          <w:b w:val="1"/>
          <w:bCs w:val="1"/>
          <w:i w:val="0"/>
          <w:iCs w:val="0"/>
          <w:color w:val="000000"/>
          <w:sz w:val="24"/>
          <w:szCs w:val="24"/>
        </w:rPr>
        <w:t xml:space="preserve">.</w:t>
      </w:r>
      <w:r>
        <w:rPr>
          <w:rFonts w:ascii="Calibri" w:cs="Calibri" w:eastAsia="Calibri" w:hAnsi="Calibri"/>
          <w:b w:val="0"/>
          <w:bCs w:val="0"/>
          <w:i w:val="1"/>
          <w:iCs w:val="1"/>
          <w:color w:val="000000"/>
          <w:sz w:val="24"/>
          <w:szCs w:val="24"/>
        </w:rPr>
        <w:t xml:space="preserve"> Requisitos funcionales de la plataforma.</w:t>
      </w:r>
    </w:p>
    <w:tbl>
      <w:tblPr>
        <w:tblStyle w:val="Table3"/>
        <w:tblW w:w="9776"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1000"/>
        <w:gridCol w:w="6276"/>
        <w:gridCol w:w="2500"/>
      </w:tblGrid>
      <w:tr>
        <w:trPr>
          <w:cantSplit w:val="1"/>
          <w:tblHeader w:val="1"/>
        </w:trPr>
        <w:tc>
          <w:tcPr>
            <w:tcW w:w="1000" w:type="dxa"/>
          </w:tcPr>
          <w:p>
            <w:pPr>
              <w:spacing w:before="0" w:after="0" w:line="276" w:lineRule="auto"/>
              <w:jc w:val="left"/>
              <w:rPr>
                <w:sz w:val="20"/>
                <w:szCs w:val="20"/>
              </w:rPr>
            </w:pPr>
            <w:r>
              <w:rPr>
                <w:b w:val="1"/>
                <w:bCs w:val="1"/>
                <w:sz w:val="20"/>
                <w:szCs w:val="20"/>
              </w:rPr>
              <w:t xml:space="preserve">ID</w:t>
            </w:r>
          </w:p>
        </w:tc>
        <w:tc>
          <w:tcPr>
            <w:tcW w:w="6276" w:type="dxa"/>
          </w:tcPr>
          <w:p>
            <w:pPr>
              <w:spacing w:before="0" w:after="0" w:line="276" w:lineRule="auto"/>
              <w:jc w:val="left"/>
              <w:rPr>
                <w:sz w:val="20"/>
                <w:szCs w:val="20"/>
              </w:rPr>
            </w:pPr>
            <w:r>
              <w:rPr>
                <w:b w:val="1"/>
                <w:bCs w:val="1"/>
                <w:sz w:val="20"/>
                <w:szCs w:val="20"/>
              </w:rPr>
              <w:t xml:space="preserve">Requisito</w:t>
            </w:r>
          </w:p>
        </w:tc>
        <w:tc>
          <w:tcPr>
            <w:tcW w:w="2500" w:type="dxa"/>
          </w:tcPr>
          <w:p>
            <w:pPr>
              <w:spacing w:before="0" w:after="0" w:line="276" w:lineRule="auto"/>
              <w:jc w:val="left"/>
              <w:rPr>
                <w:sz w:val="20"/>
                <w:szCs w:val="20"/>
              </w:rPr>
            </w:pPr>
            <w:r>
              <w:rPr>
                <w:b w:val="1"/>
                <w:bCs w:val="1"/>
                <w:sz w:val="20"/>
                <w:szCs w:val="20"/>
              </w:rPr>
              <w:t xml:space="preserve">Estado</w:t>
            </w:r>
          </w:p>
        </w:tc>
      </w:tr>
      <w:tr>
        <w:trPr>
          <w:cantSplit w:val="1"/>
        </w:trPr>
        <w:tc>
          <w:tcPr>
            <w:tcW w:w="1000" w:type="dxa"/>
          </w:tcPr>
          <w:p>
            <w:pPr>
              <w:spacing w:before="0" w:after="0" w:line="276" w:lineRule="auto"/>
              <w:jc w:val="left"/>
              <w:rPr>
                <w:sz w:val="20"/>
                <w:szCs w:val="20"/>
              </w:rPr>
            </w:pPr>
            <w:r>
              <w:rPr>
                <w:sz w:val="20"/>
                <w:szCs w:val="20"/>
              </w:rPr>
              <w:t xml:space="preserve">RF-01</w:t>
            </w:r>
          </w:p>
        </w:tc>
        <w:tc>
          <w:tcPr>
            <w:tcW w:w="6276" w:type="dxa"/>
          </w:tcPr>
          <w:p>
            <w:pPr>
              <w:spacing w:before="0" w:after="0" w:line="276" w:lineRule="auto"/>
              <w:jc w:val="left"/>
              <w:rPr>
                <w:sz w:val="20"/>
                <w:szCs w:val="20"/>
              </w:rPr>
            </w:pPr>
            <w:r>
              <w:rPr>
                <w:sz w:val="20"/>
                <w:szCs w:val="20"/>
              </w:rPr>
              <w:t xml:space="preserve">Registro de clientes (empresa, email y contraseña) e inicio de sesión con dos roles: CLIENT y ADMIN.</w:t>
            </w:r>
          </w:p>
        </w:tc>
        <w:tc>
          <w:tcPr>
            <w:tcW w:w="2500" w:type="dxa"/>
          </w:tcPr>
          <w:p>
            <w:pPr>
              <w:spacing w:before="0" w:after="0" w:line="276" w:lineRule="auto"/>
              <w:jc w:val="left"/>
              <w:rPr>
                <w:sz w:val="20"/>
                <w:szCs w:val="20"/>
              </w:rPr>
            </w:pPr>
            <w:r>
              <w:rPr>
                <w:sz w:val="20"/>
                <w:szCs w:val="20"/>
              </w:rPr>
              <w:t xml:space="preserve">Implementado</w:t>
            </w:r>
          </w:p>
        </w:tc>
      </w:tr>
      <w:tr>
        <w:trPr>
          <w:cantSplit w:val="1"/>
        </w:trPr>
        <w:tc>
          <w:tcPr>
            <w:tcW w:w="1000" w:type="dxa"/>
          </w:tcPr>
          <w:p>
            <w:pPr>
              <w:spacing w:before="0" w:after="0" w:line="276" w:lineRule="auto"/>
              <w:jc w:val="left"/>
              <w:rPr>
                <w:sz w:val="20"/>
                <w:szCs w:val="20"/>
              </w:rPr>
            </w:pPr>
            <w:r>
              <w:rPr>
                <w:sz w:val="20"/>
                <w:szCs w:val="20"/>
              </w:rPr>
              <w:t xml:space="preserve">RF-02</w:t>
            </w:r>
          </w:p>
        </w:tc>
        <w:tc>
          <w:tcPr>
            <w:tcW w:w="6276" w:type="dxa"/>
          </w:tcPr>
          <w:p>
            <w:pPr>
              <w:spacing w:before="0" w:after="0" w:line="276" w:lineRule="auto"/>
              <w:jc w:val="left"/>
              <w:rPr>
                <w:sz w:val="20"/>
                <w:szCs w:val="20"/>
              </w:rPr>
            </w:pPr>
            <w:r>
              <w:rPr>
                <w:sz w:val="20"/>
                <w:szCs w:val="20"/>
              </w:rPr>
              <w:t xml:space="preserve">Conexión de la cuenta de AWS del cliente mediante un rol IAM con External ID, verificado con </w:t>
            </w:r>
            <w:r>
              <w:rPr>
                <w:rFonts w:ascii="Consolas" w:hAnsi="Consolas" w:cs="Consolas"/>
                <w:sz w:val="17"/>
                <w:szCs w:val="17"/>
              </w:rPr>
              <w:t xml:space="preserve">sts:AssumeRole</w:t>
            </w:r>
            <w:r>
              <w:rPr>
                <w:sz w:val="20"/>
                <w:szCs w:val="20"/>
              </w:rPr>
              <w:t xml:space="preserve">.</w:t>
            </w:r>
          </w:p>
        </w:tc>
        <w:tc>
          <w:tcPr>
            <w:tcW w:w="2500" w:type="dxa"/>
          </w:tcPr>
          <w:p>
            <w:pPr>
              <w:spacing w:before="0" w:after="0" w:line="276" w:lineRule="auto"/>
              <w:jc w:val="left"/>
              <w:rPr>
                <w:sz w:val="20"/>
                <w:szCs w:val="20"/>
              </w:rPr>
            </w:pPr>
            <w:r>
              <w:rPr>
                <w:sz w:val="20"/>
                <w:szCs w:val="20"/>
              </w:rPr>
              <w:t xml:space="preserve">Implementado (verificación simulada)</w:t>
            </w:r>
          </w:p>
        </w:tc>
      </w:tr>
      <w:tr>
        <w:trPr>
          <w:cantSplit w:val="1"/>
        </w:trPr>
        <w:tc>
          <w:tcPr>
            <w:tcW w:w="1000" w:type="dxa"/>
          </w:tcPr>
          <w:p>
            <w:pPr>
              <w:spacing w:before="0" w:after="0" w:line="276" w:lineRule="auto"/>
              <w:jc w:val="left"/>
              <w:rPr>
                <w:sz w:val="20"/>
                <w:szCs w:val="20"/>
              </w:rPr>
            </w:pPr>
            <w:r>
              <w:rPr>
                <w:sz w:val="20"/>
                <w:szCs w:val="20"/>
              </w:rPr>
              <w:t xml:space="preserve">RF-03</w:t>
            </w:r>
          </w:p>
        </w:tc>
        <w:tc>
          <w:tcPr>
            <w:tcW w:w="6276" w:type="dxa"/>
          </w:tcPr>
          <w:p>
            <w:pPr>
              <w:spacing w:before="0" w:after="0" w:line="276" w:lineRule="auto"/>
              <w:jc w:val="left"/>
              <w:rPr>
                <w:sz w:val="20"/>
                <w:szCs w:val="20"/>
              </w:rPr>
            </w:pPr>
            <w:r>
              <w:rPr>
                <w:sz w:val="20"/>
                <w:szCs w:val="20"/>
              </w:rPr>
              <w:t xml:space="preserve">Conexión de GitHub mediante la instalación y la autorización (OAuth) de la GitHub App de la plataforma, con acceso de solo lectura a los repositorios elegidos.</w:t>
            </w:r>
          </w:p>
        </w:tc>
        <w:tc>
          <w:tcPr>
            <w:tcW w:w="2500" w:type="dxa"/>
          </w:tcPr>
          <w:p>
            <w:pPr>
              <w:spacing w:before="0" w:after="0" w:line="276" w:lineRule="auto"/>
              <w:jc w:val="left"/>
              <w:rPr>
                <w:sz w:val="20"/>
                <w:szCs w:val="20"/>
              </w:rPr>
            </w:pPr>
            <w:r>
              <w:rPr>
                <w:sz w:val="20"/>
                <w:szCs w:val="20"/>
              </w:rPr>
              <w:t xml:space="preserve">Implementado y validado con GitHub real</w:t>
            </w:r>
          </w:p>
        </w:tc>
      </w:tr>
      <w:tr>
        <w:trPr>
          <w:cantSplit w:val="1"/>
        </w:trPr>
        <w:tc>
          <w:tcPr>
            <w:tcW w:w="1000" w:type="dxa"/>
          </w:tcPr>
          <w:p>
            <w:pPr>
              <w:spacing w:before="0" w:after="0" w:line="276" w:lineRule="auto"/>
              <w:jc w:val="left"/>
              <w:rPr>
                <w:sz w:val="20"/>
                <w:szCs w:val="20"/>
              </w:rPr>
            </w:pPr>
            <w:r>
              <w:rPr>
                <w:sz w:val="20"/>
                <w:szCs w:val="20"/>
              </w:rPr>
              <w:t xml:space="preserve">RF-04</w:t>
            </w:r>
          </w:p>
        </w:tc>
        <w:tc>
          <w:tcPr>
            <w:tcW w:w="6276" w:type="dxa"/>
          </w:tcPr>
          <w:p>
            <w:pPr>
              <w:spacing w:before="0" w:after="0" w:line="276" w:lineRule="auto"/>
              <w:jc w:val="left"/>
              <w:rPr>
                <w:sz w:val="20"/>
                <w:szCs w:val="20"/>
              </w:rPr>
            </w:pPr>
            <w:r>
              <w:rPr>
                <w:sz w:val="20"/>
                <w:szCs w:val="20"/>
              </w:rPr>
              <w:t xml:space="preserve">Catálogo de plantillas: Angular, Spring Boot y Angular + Spring Boot.</w:t>
            </w:r>
          </w:p>
        </w:tc>
        <w:tc>
          <w:tcPr>
            <w:tcW w:w="2500" w:type="dxa"/>
          </w:tcPr>
          <w:p>
            <w:pPr>
              <w:spacing w:before="0" w:after="0" w:line="276" w:lineRule="auto"/>
              <w:jc w:val="left"/>
              <w:rPr>
                <w:sz w:val="20"/>
                <w:szCs w:val="20"/>
              </w:rPr>
            </w:pPr>
            <w:r>
              <w:rPr>
                <w:sz w:val="20"/>
                <w:szCs w:val="20"/>
              </w:rPr>
              <w:t xml:space="preserve">Implementado</w:t>
            </w:r>
          </w:p>
        </w:tc>
      </w:tr>
      <w:tr>
        <w:trPr>
          <w:cantSplit w:val="1"/>
        </w:trPr>
        <w:tc>
          <w:tcPr>
            <w:tcW w:w="1000" w:type="dxa"/>
          </w:tcPr>
          <w:p>
            <w:pPr>
              <w:spacing w:before="0" w:after="0" w:line="276" w:lineRule="auto"/>
              <w:jc w:val="left"/>
              <w:rPr>
                <w:sz w:val="20"/>
                <w:szCs w:val="20"/>
              </w:rPr>
            </w:pPr>
            <w:r>
              <w:rPr>
                <w:sz w:val="20"/>
                <w:szCs w:val="20"/>
              </w:rPr>
              <w:t xml:space="preserve">RF-05</w:t>
            </w:r>
          </w:p>
        </w:tc>
        <w:tc>
          <w:tcPr>
            <w:tcW w:w="6276" w:type="dxa"/>
          </w:tcPr>
          <w:p>
            <w:pPr>
              <w:spacing w:before="0" w:after="0" w:line="276" w:lineRule="auto"/>
              <w:jc w:val="left"/>
              <w:rPr>
                <w:sz w:val="20"/>
                <w:szCs w:val="20"/>
              </w:rPr>
            </w:pPr>
            <w:r>
              <w:rPr>
                <w:sz w:val="20"/>
                <w:szCs w:val="20"/>
              </w:rPr>
              <w:t xml:space="preserve">Formulario de componentes opcionales por plantilla (observabilidad, WAF, dominio propio, API Gateway, autoescalado, variables de entorno), validado en el portal y en la API.</w:t>
            </w:r>
          </w:p>
        </w:tc>
        <w:tc>
          <w:tcPr>
            <w:tcW w:w="2500" w:type="dxa"/>
          </w:tcPr>
          <w:p>
            <w:pPr>
              <w:spacing w:before="0" w:after="0" w:line="276" w:lineRule="auto"/>
              <w:jc w:val="left"/>
              <w:rPr>
                <w:sz w:val="20"/>
                <w:szCs w:val="20"/>
              </w:rPr>
            </w:pPr>
            <w:r>
              <w:rPr>
                <w:sz w:val="20"/>
                <w:szCs w:val="20"/>
              </w:rPr>
              <w:t xml:space="preserve">Implementado</w:t>
            </w:r>
          </w:p>
        </w:tc>
      </w:tr>
      <w:tr>
        <w:trPr>
          <w:cantSplit w:val="1"/>
        </w:trPr>
        <w:tc>
          <w:tcPr>
            <w:tcW w:w="1000" w:type="dxa"/>
          </w:tcPr>
          <w:p>
            <w:pPr>
              <w:spacing w:before="0" w:after="0" w:line="276" w:lineRule="auto"/>
              <w:jc w:val="left"/>
              <w:rPr>
                <w:sz w:val="20"/>
                <w:szCs w:val="20"/>
              </w:rPr>
            </w:pPr>
            <w:r>
              <w:rPr>
                <w:sz w:val="20"/>
                <w:szCs w:val="20"/>
              </w:rPr>
              <w:t xml:space="preserve">RF-06</w:t>
            </w:r>
          </w:p>
        </w:tc>
        <w:tc>
          <w:tcPr>
            <w:tcW w:w="6276" w:type="dxa"/>
          </w:tcPr>
          <w:p>
            <w:pPr>
              <w:spacing w:before="0" w:after="0" w:line="276" w:lineRule="auto"/>
              <w:jc w:val="left"/>
              <w:rPr>
                <w:sz w:val="20"/>
                <w:szCs w:val="20"/>
              </w:rPr>
            </w:pPr>
            <w:r>
              <w:rPr>
                <w:sz w:val="20"/>
                <w:szCs w:val="20"/>
              </w:rPr>
              <w:t xml:space="preserve">Estimación en vivo del coste mensual, separada en infraestructura de AWS y cuota de la plataforma.</w:t>
            </w:r>
          </w:p>
        </w:tc>
        <w:tc>
          <w:tcPr>
            <w:tcW w:w="2500" w:type="dxa"/>
          </w:tcPr>
          <w:p>
            <w:pPr>
              <w:spacing w:before="0" w:after="0" w:line="276" w:lineRule="auto"/>
              <w:jc w:val="left"/>
              <w:rPr>
                <w:sz w:val="20"/>
                <w:szCs w:val="20"/>
              </w:rPr>
            </w:pPr>
            <w:r>
              <w:rPr>
                <w:sz w:val="20"/>
                <w:szCs w:val="20"/>
              </w:rPr>
              <w:t xml:space="preserve">Implementado</w:t>
            </w:r>
          </w:p>
        </w:tc>
      </w:tr>
      <w:tr>
        <w:trPr>
          <w:cantSplit w:val="1"/>
        </w:trPr>
        <w:tc>
          <w:tcPr>
            <w:tcW w:w="1000" w:type="dxa"/>
          </w:tcPr>
          <w:p>
            <w:pPr>
              <w:spacing w:before="0" w:after="0" w:line="276" w:lineRule="auto"/>
              <w:jc w:val="left"/>
              <w:rPr>
                <w:sz w:val="20"/>
                <w:szCs w:val="20"/>
              </w:rPr>
            </w:pPr>
            <w:r>
              <w:rPr>
                <w:sz w:val="20"/>
                <w:szCs w:val="20"/>
              </w:rPr>
              <w:t xml:space="preserve">RF-07</w:t>
            </w:r>
          </w:p>
        </w:tc>
        <w:tc>
          <w:tcPr>
            <w:tcW w:w="6276" w:type="dxa"/>
          </w:tcPr>
          <w:p>
            <w:pPr>
              <w:spacing w:before="0" w:after="0" w:line="276" w:lineRule="auto"/>
              <w:jc w:val="left"/>
              <w:rPr>
                <w:sz w:val="20"/>
                <w:szCs w:val="20"/>
              </w:rPr>
            </w:pPr>
            <w:r>
              <w:rPr>
                <w:sz w:val="20"/>
                <w:szCs w:val="20"/>
              </w:rPr>
              <w:t xml:space="preserve">Asignación de un repositorio y una rama a cada aplicación, y despliegue automático del último commit al crearla.</w:t>
            </w:r>
          </w:p>
        </w:tc>
        <w:tc>
          <w:tcPr>
            <w:tcW w:w="2500" w:type="dxa"/>
          </w:tcPr>
          <w:p>
            <w:pPr>
              <w:spacing w:before="0" w:after="0" w:line="276" w:lineRule="auto"/>
              <w:jc w:val="left"/>
              <w:rPr>
                <w:sz w:val="20"/>
                <w:szCs w:val="20"/>
              </w:rPr>
            </w:pPr>
            <w:r>
              <w:rPr>
                <w:sz w:val="20"/>
                <w:szCs w:val="20"/>
              </w:rPr>
              <w:t xml:space="preserve">Implementado (despliegue simulado)</w:t>
            </w:r>
          </w:p>
        </w:tc>
      </w:tr>
      <w:tr>
        <w:trPr>
          <w:cantSplit w:val="1"/>
        </w:trPr>
        <w:tc>
          <w:tcPr>
            <w:tcW w:w="1000" w:type="dxa"/>
          </w:tcPr>
          <w:p>
            <w:pPr>
              <w:spacing w:before="0" w:after="0" w:line="276" w:lineRule="auto"/>
              <w:jc w:val="left"/>
              <w:rPr>
                <w:sz w:val="20"/>
                <w:szCs w:val="20"/>
              </w:rPr>
            </w:pPr>
            <w:r>
              <w:rPr>
                <w:sz w:val="20"/>
                <w:szCs w:val="20"/>
              </w:rPr>
              <w:t xml:space="preserve">RF-08</w:t>
            </w:r>
          </w:p>
        </w:tc>
        <w:tc>
          <w:tcPr>
            <w:tcW w:w="6276" w:type="dxa"/>
          </w:tcPr>
          <w:p>
            <w:pPr>
              <w:spacing w:before="0" w:after="0" w:line="276" w:lineRule="auto"/>
              <w:jc w:val="left"/>
              <w:rPr>
                <w:sz w:val="20"/>
                <w:szCs w:val="20"/>
              </w:rPr>
            </w:pPr>
            <w:r>
              <w:rPr>
                <w:sz w:val="20"/>
                <w:szCs w:val="20"/>
              </w:rPr>
              <w:t xml:space="preserve">Despliegue automático en cada merge a la rama mediante el webhook de GitHub.</w:t>
            </w:r>
          </w:p>
        </w:tc>
        <w:tc>
          <w:tcPr>
            <w:tcW w:w="2500" w:type="dxa"/>
          </w:tcPr>
          <w:p>
            <w:pPr>
              <w:spacing w:before="0" w:after="0" w:line="276" w:lineRule="auto"/>
              <w:jc w:val="left"/>
              <w:rPr>
                <w:sz w:val="20"/>
                <w:szCs w:val="20"/>
              </w:rPr>
            </w:pPr>
            <w:r>
              <w:rPr>
                <w:sz w:val="20"/>
                <w:szCs w:val="20"/>
              </w:rPr>
              <w:t xml:space="preserve">Implementado en la API; pendiente de URL pública</w:t>
            </w:r>
          </w:p>
        </w:tc>
      </w:tr>
      <w:tr>
        <w:trPr>
          <w:cantSplit w:val="1"/>
        </w:trPr>
        <w:tc>
          <w:tcPr>
            <w:tcW w:w="1000" w:type="dxa"/>
          </w:tcPr>
          <w:p>
            <w:pPr>
              <w:spacing w:before="0" w:after="0" w:line="276" w:lineRule="auto"/>
              <w:jc w:val="left"/>
              <w:rPr>
                <w:sz w:val="20"/>
                <w:szCs w:val="20"/>
              </w:rPr>
            </w:pPr>
            <w:r>
              <w:rPr>
                <w:sz w:val="20"/>
                <w:szCs w:val="20"/>
              </w:rPr>
              <w:t xml:space="preserve">RF-09</w:t>
            </w:r>
          </w:p>
        </w:tc>
        <w:tc>
          <w:tcPr>
            <w:tcW w:w="6276" w:type="dxa"/>
          </w:tcPr>
          <w:p>
            <w:pPr>
              <w:spacing w:before="0" w:after="0" w:line="276" w:lineRule="auto"/>
              <w:jc w:val="left"/>
              <w:rPr>
                <w:sz w:val="20"/>
                <w:szCs w:val="20"/>
              </w:rPr>
            </w:pPr>
            <w:r>
              <w:rPr>
                <w:sz w:val="20"/>
                <w:szCs w:val="20"/>
              </w:rPr>
              <w:t xml:space="preserve">Consulta de las aplicaciones: URL, componentes, coste y releases con estado PENDING, RUNNING, SUCCEEDED o FAILED.</w:t>
            </w:r>
          </w:p>
        </w:tc>
        <w:tc>
          <w:tcPr>
            <w:tcW w:w="2500" w:type="dxa"/>
          </w:tcPr>
          <w:p>
            <w:pPr>
              <w:spacing w:before="0" w:after="0" w:line="276" w:lineRule="auto"/>
              <w:jc w:val="left"/>
              <w:rPr>
                <w:sz w:val="20"/>
                <w:szCs w:val="20"/>
              </w:rPr>
            </w:pPr>
            <w:r>
              <w:rPr>
                <w:sz w:val="20"/>
                <w:szCs w:val="20"/>
              </w:rPr>
              <w:t xml:space="preserve">Implementado</w:t>
            </w:r>
          </w:p>
        </w:tc>
      </w:tr>
      <w:tr>
        <w:trPr>
          <w:cantSplit w:val="1"/>
        </w:trPr>
        <w:tc>
          <w:tcPr>
            <w:tcW w:w="1000" w:type="dxa"/>
          </w:tcPr>
          <w:p>
            <w:pPr>
              <w:spacing w:before="0" w:after="0" w:line="276" w:lineRule="auto"/>
              <w:jc w:val="left"/>
              <w:rPr>
                <w:sz w:val="20"/>
                <w:szCs w:val="20"/>
              </w:rPr>
            </w:pPr>
            <w:r>
              <w:rPr>
                <w:sz w:val="20"/>
                <w:szCs w:val="20"/>
              </w:rPr>
              <w:t xml:space="preserve">RF-10</w:t>
            </w:r>
          </w:p>
        </w:tc>
        <w:tc>
          <w:tcPr>
            <w:tcW w:w="6276" w:type="dxa"/>
          </w:tcPr>
          <w:p>
            <w:pPr>
              <w:spacing w:before="0" w:after="0" w:line="276" w:lineRule="auto"/>
              <w:jc w:val="left"/>
              <w:rPr>
                <w:sz w:val="20"/>
                <w:szCs w:val="20"/>
              </w:rPr>
            </w:pPr>
            <w:r>
              <w:rPr>
                <w:sz w:val="20"/>
                <w:szCs w:val="20"/>
              </w:rPr>
              <w:t xml:space="preserve">Vista de administración, de solo lectura, de clientes, conexiones y aplicaciones.</w:t>
            </w:r>
          </w:p>
        </w:tc>
        <w:tc>
          <w:tcPr>
            <w:tcW w:w="2500" w:type="dxa"/>
          </w:tcPr>
          <w:p>
            <w:pPr>
              <w:spacing w:before="0" w:after="0" w:line="276" w:lineRule="auto"/>
              <w:jc w:val="left"/>
              <w:rPr>
                <w:sz w:val="20"/>
                <w:szCs w:val="20"/>
              </w:rPr>
            </w:pPr>
            <w:r>
              <w:rPr>
                <w:sz w:val="20"/>
                <w:szCs w:val="20"/>
              </w:rPr>
              <w:t xml:space="preserve">Implementado</w:t>
            </w:r>
          </w:p>
        </w:tc>
      </w:tr>
      <w:tr>
        <w:trPr>
          <w:cantSplit w:val="1"/>
        </w:trPr>
        <w:tc>
          <w:tcPr>
            <w:tcW w:w="1000" w:type="dxa"/>
          </w:tcPr>
          <w:p>
            <w:pPr>
              <w:spacing w:before="0" w:after="0" w:line="276" w:lineRule="auto"/>
              <w:jc w:val="left"/>
              <w:rPr>
                <w:sz w:val="20"/>
                <w:szCs w:val="20"/>
              </w:rPr>
            </w:pPr>
            <w:r>
              <w:rPr>
                <w:sz w:val="20"/>
                <w:szCs w:val="20"/>
              </w:rPr>
              <w:t xml:space="preserve">RF-11</w:t>
            </w:r>
          </w:p>
        </w:tc>
        <w:tc>
          <w:tcPr>
            <w:tcW w:w="6276" w:type="dxa"/>
          </w:tcPr>
          <w:p>
            <w:pPr>
              <w:spacing w:before="0" w:after="0" w:line="276" w:lineRule="auto"/>
              <w:jc w:val="left"/>
              <w:rPr>
                <w:sz w:val="20"/>
                <w:szCs w:val="20"/>
              </w:rPr>
            </w:pPr>
            <w:r>
              <w:rPr>
                <w:sz w:val="20"/>
                <w:szCs w:val="20"/>
              </w:rPr>
              <w:t xml:space="preserve">Aprovisionamiento real de la infraestructura en la cuenta del cliente con Terraform, orquestado por Step Functions y CodeBuild.</w:t>
            </w:r>
          </w:p>
        </w:tc>
        <w:tc>
          <w:tcPr>
            <w:tcW w:w="2500" w:type="dxa"/>
          </w:tcPr>
          <w:p>
            <w:pPr>
              <w:spacing w:before="0" w:after="0" w:line="276" w:lineRule="auto"/>
              <w:jc w:val="left"/>
              <w:rPr>
                <w:sz w:val="20"/>
                <w:szCs w:val="20"/>
              </w:rPr>
            </w:pPr>
            <w:r>
              <w:rPr>
                <w:sz w:val="20"/>
                <w:szCs w:val="20"/>
              </w:rPr>
              <w:t xml:space="preserve">En desarrollo (Sprint 2)</w:t>
            </w:r>
          </w:p>
        </w:tc>
      </w:tr>
    </w:tbl>
    <w:p>
      <w:pPr>
        <w:spacing w:after="0" w:line="276" w:lineRule="auto"/>
        <w:ind w:left="-113" w:right="-215" w:firstLine="0"/>
        <w:jc w:val="center"/>
        <w:rPr>
          <w:color w:val="595959"/>
          <w:sz w:val="19"/>
          <w:szCs w:val="19"/>
        </w:rPr>
      </w:pPr>
      <w:r>
        <w:rPr>
          <w:color w:val="595959"/>
          <w:sz w:val="19"/>
          <w:szCs w:val="19"/>
        </w:rPr>
        <w:t xml:space="preserve">Fuente: Elaboración propia.</w:t>
      </w:r>
    </w:p>
    <w:p>
      <w:pPr>
        <w:rPr/>
      </w:pPr>
    </w:p>
    <w:p>
      <w:pPr>
        <w:pStyle w:val="Heading3"/>
        <w:numPr>
          <w:ilvl w:val="2"/>
          <w:numId w:val="9"/>
        </w:numPr>
        <w:ind w:left="720" w:hanging="720"/>
        <w:rPr/>
      </w:pPr>
      <w:r>
        <w:t xml:space="preserve">Requisitos no funcionales</w:t>
      </w:r>
    </w:p>
    <w:p>
      <w:pPr>
        <w:rPr/>
      </w:pPr>
      <w:r>
        <w:rPr/>
        <w:t xml:space="preserve">Los requisitos no funcionales trasladan a la plataforma las conclusiones del capítulo 2 sobre seguridad desde el diseño, coste y simplicidad de uso (Tabla 6).</w:t>
      </w:r>
    </w:p>
    <w:p>
      <w:pPr>
        <w:keepNext w:val="1"/>
        <w:spacing w:after="120" w:before="120" w:line="360" w:lineRule="auto"/>
        <w:ind w:left="0" w:right="0" w:firstLine="0"/>
        <w:jc w:val="both"/>
        <w:rPr/>
      </w:pPr>
      <w:r>
        <w:rPr>
          <w:rFonts w:ascii="Calibri" w:cs="Calibri" w:eastAsia="Calibri" w:hAnsi="Calibri"/>
          <w:b w:val="1"/>
          <w:bCs w:val="1"/>
          <w:i w:val="0"/>
          <w:iCs w:val="0"/>
          <w:color w:val="000000"/>
          <w:sz w:val="24"/>
          <w:szCs w:val="24"/>
        </w:rPr>
        <w:t xml:space="preserve">Tabla </w:t>
      </w:r>
      <w:r>
        <w:rPr>
          <w:rFonts w:ascii="Calibri" w:cs="Calibri" w:eastAsia="Calibri" w:hAnsi="Calibri"/>
          <w:b w:val="1"/>
          <w:bCs w:val="1"/>
          <w:i w:val="0"/>
          <w:iCs w:val="0"/>
          <w:color w:val="000000"/>
          <w:sz w:val="24"/>
          <w:szCs w:val="24"/>
        </w:rPr>
        <w:fldChar w:fldCharType="begin"/>
      </w:r>
      <w:r>
        <w:rPr>
          <w:rFonts w:ascii="Calibri" w:cs="Calibri" w:eastAsia="Calibri" w:hAnsi="Calibri"/>
          <w:b w:val="1"/>
          <w:bCs w:val="1"/>
          <w:i w:val="0"/>
          <w:iCs w:val="0"/>
          <w:color w:val="000000"/>
          <w:sz w:val="24"/>
          <w:szCs w:val="24"/>
        </w:rPr>
        <w:instrText xml:space="preserve"> SEQ Tabla \* ARABIC </w:instrText>
      </w:r>
      <w:r>
        <w:rPr>
          <w:rFonts w:ascii="Calibri" w:cs="Calibri" w:eastAsia="Calibri" w:hAnsi="Calibri"/>
          <w:b w:val="1"/>
          <w:bCs w:val="1"/>
          <w:i w:val="0"/>
          <w:iCs w:val="0"/>
          <w:color w:val="000000"/>
          <w:sz w:val="24"/>
          <w:szCs w:val="24"/>
        </w:rPr>
        <w:fldChar w:fldCharType="separate"/>
      </w:r>
      <w:r>
        <w:rPr>
          <w:rFonts w:ascii="Calibri" w:cs="Calibri" w:eastAsia="Calibri" w:hAnsi="Calibri"/>
          <w:b w:val="1"/>
          <w:bCs w:val="1"/>
          <w:i w:val="0"/>
          <w:iCs w:val="0"/>
          <w:color w:val="000000"/>
          <w:sz w:val="24"/>
          <w:szCs w:val="24"/>
        </w:rPr>
        <w:t>6</w:t>
      </w:r>
      <w:r>
        <w:rPr>
          <w:rFonts w:ascii="Calibri" w:cs="Calibri" w:eastAsia="Calibri" w:hAnsi="Calibri"/>
          <w:b w:val="1"/>
          <w:bCs w:val="1"/>
          <w:i w:val="0"/>
          <w:iCs w:val="0"/>
          <w:color w:val="000000"/>
          <w:sz w:val="24"/>
          <w:szCs w:val="24"/>
        </w:rPr>
        <w:fldChar w:fldCharType="end"/>
      </w:r>
      <w:r>
        <w:rPr>
          <w:rFonts w:ascii="Calibri" w:cs="Calibri" w:eastAsia="Calibri" w:hAnsi="Calibri"/>
          <w:b w:val="1"/>
          <w:bCs w:val="1"/>
          <w:i w:val="0"/>
          <w:iCs w:val="0"/>
          <w:color w:val="000000"/>
          <w:sz w:val="24"/>
          <w:szCs w:val="24"/>
        </w:rPr>
        <w:t xml:space="preserve">.</w:t>
      </w:r>
      <w:r>
        <w:rPr>
          <w:rFonts w:ascii="Calibri" w:cs="Calibri" w:eastAsia="Calibri" w:hAnsi="Calibri"/>
          <w:b w:val="0"/>
          <w:bCs w:val="0"/>
          <w:i w:val="1"/>
          <w:iCs w:val="1"/>
          <w:color w:val="000000"/>
          <w:sz w:val="24"/>
          <w:szCs w:val="24"/>
        </w:rPr>
        <w:t xml:space="preserve"> Requisitos no funcionales y cómo se abordan.</w:t>
      </w:r>
    </w:p>
    <w:tbl>
      <w:tblPr>
        <w:tblStyle w:val="Table3"/>
        <w:tblW w:w="9776"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1000"/>
        <w:gridCol w:w="2400"/>
        <w:gridCol w:w="6376"/>
      </w:tblGrid>
      <w:tr>
        <w:trPr>
          <w:cantSplit w:val="1"/>
          <w:tblHeader w:val="1"/>
        </w:trPr>
        <w:tc>
          <w:tcPr>
            <w:tcW w:w="1000" w:type="dxa"/>
          </w:tcPr>
          <w:p>
            <w:pPr>
              <w:spacing w:before="0" w:after="0" w:line="276" w:lineRule="auto"/>
              <w:jc w:val="left"/>
              <w:rPr>
                <w:sz w:val="20"/>
                <w:szCs w:val="20"/>
              </w:rPr>
            </w:pPr>
            <w:r>
              <w:rPr>
                <w:b w:val="1"/>
                <w:bCs w:val="1"/>
                <w:sz w:val="20"/>
                <w:szCs w:val="20"/>
              </w:rPr>
              <w:t xml:space="preserve">ID</w:t>
            </w:r>
          </w:p>
        </w:tc>
        <w:tc>
          <w:tcPr>
            <w:tcW w:w="2400" w:type="dxa"/>
          </w:tcPr>
          <w:p>
            <w:pPr>
              <w:spacing w:before="0" w:after="0" w:line="276" w:lineRule="auto"/>
              <w:jc w:val="left"/>
              <w:rPr>
                <w:sz w:val="20"/>
                <w:szCs w:val="20"/>
              </w:rPr>
            </w:pPr>
            <w:r>
              <w:rPr>
                <w:b w:val="1"/>
                <w:bCs w:val="1"/>
                <w:sz w:val="20"/>
                <w:szCs w:val="20"/>
              </w:rPr>
              <w:t xml:space="preserve">Requisito</w:t>
            </w:r>
          </w:p>
        </w:tc>
        <w:tc>
          <w:tcPr>
            <w:tcW w:w="6376" w:type="dxa"/>
          </w:tcPr>
          <w:p>
            <w:pPr>
              <w:spacing w:before="0" w:after="0" w:line="276" w:lineRule="auto"/>
              <w:jc w:val="left"/>
              <w:rPr>
                <w:sz w:val="20"/>
                <w:szCs w:val="20"/>
              </w:rPr>
            </w:pPr>
            <w:r>
              <w:rPr>
                <w:b w:val="1"/>
                <w:bCs w:val="1"/>
                <w:sz w:val="20"/>
                <w:szCs w:val="20"/>
              </w:rPr>
              <w:t xml:space="preserve">Cómo se aborda</w:t>
            </w:r>
          </w:p>
        </w:tc>
      </w:tr>
      <w:tr>
        <w:trPr>
          <w:cantSplit w:val="1"/>
        </w:trPr>
        <w:tc>
          <w:tcPr>
            <w:tcW w:w="1000" w:type="dxa"/>
          </w:tcPr>
          <w:p>
            <w:pPr>
              <w:spacing w:before="0" w:after="0" w:line="276" w:lineRule="auto"/>
              <w:jc w:val="left"/>
              <w:rPr>
                <w:sz w:val="20"/>
                <w:szCs w:val="20"/>
              </w:rPr>
            </w:pPr>
            <w:r>
              <w:rPr>
                <w:sz w:val="20"/>
                <w:szCs w:val="20"/>
              </w:rPr>
              <w:t xml:space="preserve">RNF-01</w:t>
            </w:r>
          </w:p>
        </w:tc>
        <w:tc>
          <w:tcPr>
            <w:tcW w:w="2400" w:type="dxa"/>
          </w:tcPr>
          <w:p>
            <w:pPr>
              <w:spacing w:before="0" w:after="0" w:line="276" w:lineRule="auto"/>
              <w:jc w:val="left"/>
              <w:rPr>
                <w:sz w:val="20"/>
                <w:szCs w:val="20"/>
              </w:rPr>
            </w:pPr>
            <w:r>
              <w:rPr>
                <w:sz w:val="20"/>
                <w:szCs w:val="20"/>
              </w:rPr>
              <w:t xml:space="preserve">Control de acceso</w:t>
            </w:r>
          </w:p>
        </w:tc>
        <w:tc>
          <w:tcPr>
            <w:tcW w:w="6376" w:type="dxa"/>
          </w:tcPr>
          <w:p>
            <w:pPr>
              <w:spacing w:before="0" w:after="0" w:line="276" w:lineRule="auto"/>
              <w:jc w:val="left"/>
              <w:rPr>
                <w:sz w:val="20"/>
                <w:szCs w:val="20"/>
              </w:rPr>
            </w:pPr>
            <w:r>
              <w:rPr>
                <w:sz w:val="20"/>
                <w:szCs w:val="20"/>
              </w:rPr>
              <w:t xml:space="preserve">Contraseñas con BCrypt; sesiones con JWT firmados (HMAC-SHA256) válidos 12 horas; autorización por rol y por propietario: un cliente nunca ve recursos de otro (la API responde 404).</w:t>
            </w:r>
          </w:p>
        </w:tc>
      </w:tr>
      <w:tr>
        <w:trPr>
          <w:cantSplit w:val="1"/>
        </w:trPr>
        <w:tc>
          <w:tcPr>
            <w:tcW w:w="1000" w:type="dxa"/>
          </w:tcPr>
          <w:p>
            <w:pPr>
              <w:spacing w:before="0" w:after="0" w:line="276" w:lineRule="auto"/>
              <w:jc w:val="left"/>
              <w:rPr>
                <w:sz w:val="20"/>
                <w:szCs w:val="20"/>
              </w:rPr>
            </w:pPr>
            <w:r>
              <w:rPr>
                <w:sz w:val="20"/>
                <w:szCs w:val="20"/>
              </w:rPr>
              <w:t xml:space="preserve">RNF-02</w:t>
            </w:r>
          </w:p>
        </w:tc>
        <w:tc>
          <w:tcPr>
            <w:tcW w:w="2400" w:type="dxa"/>
          </w:tcPr>
          <w:p>
            <w:pPr>
              <w:spacing w:before="0" w:after="0" w:line="276" w:lineRule="auto"/>
              <w:jc w:val="left"/>
              <w:rPr>
                <w:sz w:val="20"/>
                <w:szCs w:val="20"/>
              </w:rPr>
            </w:pPr>
            <w:r>
              <w:rPr>
                <w:sz w:val="20"/>
                <w:szCs w:val="20"/>
              </w:rPr>
              <w:t xml:space="preserve">Mínimo privilegio y credenciales temporales</w:t>
            </w:r>
          </w:p>
        </w:tc>
        <w:tc>
          <w:tcPr>
            <w:tcW w:w="6376" w:type="dxa"/>
          </w:tcPr>
          <w:p>
            <w:pPr>
              <w:spacing w:before="0" w:after="0" w:line="276" w:lineRule="auto"/>
              <w:jc w:val="left"/>
              <w:rPr>
                <w:sz w:val="20"/>
                <w:szCs w:val="20"/>
              </w:rPr>
            </w:pPr>
            <w:r>
              <w:rPr>
                <w:sz w:val="20"/>
                <w:szCs w:val="20"/>
              </w:rPr>
              <w:t xml:space="preserve">La plataforma no guarda claves de AWS del cliente: asume un rol con External ID que solo concede credenciales temporales y que el cliente puede revocar borrando el stack de CloudFormation.</w:t>
            </w:r>
          </w:p>
        </w:tc>
      </w:tr>
      <w:tr>
        <w:trPr>
          <w:cantSplit w:val="1"/>
        </w:trPr>
        <w:tc>
          <w:tcPr>
            <w:tcW w:w="1000" w:type="dxa"/>
          </w:tcPr>
          <w:p>
            <w:pPr>
              <w:spacing w:before="0" w:after="0" w:line="276" w:lineRule="auto"/>
              <w:jc w:val="left"/>
              <w:rPr>
                <w:sz w:val="20"/>
                <w:szCs w:val="20"/>
              </w:rPr>
            </w:pPr>
            <w:r>
              <w:rPr>
                <w:sz w:val="20"/>
                <w:szCs w:val="20"/>
              </w:rPr>
              <w:t xml:space="preserve">RNF-03</w:t>
            </w:r>
          </w:p>
        </w:tc>
        <w:tc>
          <w:tcPr>
            <w:tcW w:w="2400" w:type="dxa"/>
          </w:tcPr>
          <w:p>
            <w:pPr>
              <w:spacing w:before="0" w:after="0" w:line="276" w:lineRule="auto"/>
              <w:jc w:val="left"/>
              <w:rPr>
                <w:sz w:val="20"/>
                <w:szCs w:val="20"/>
              </w:rPr>
            </w:pPr>
            <w:r>
              <w:rPr>
                <w:sz w:val="20"/>
                <w:szCs w:val="20"/>
              </w:rPr>
              <w:t xml:space="preserve">Gestión de secretos</w:t>
            </w:r>
          </w:p>
        </w:tc>
        <w:tc>
          <w:tcPr>
            <w:tcW w:w="6376" w:type="dxa"/>
          </w:tcPr>
          <w:p>
            <w:pPr>
              <w:spacing w:before="0" w:after="0" w:line="276" w:lineRule="auto"/>
              <w:jc w:val="left"/>
              <w:rPr>
                <w:sz w:val="20"/>
                <w:szCs w:val="20"/>
              </w:rPr>
            </w:pPr>
            <w:r>
              <w:rPr>
                <w:sz w:val="20"/>
                <w:szCs w:val="20"/>
              </w:rPr>
              <w:t xml:space="preserve">Ningún secreto en el repositorio: variables de entorno en local (archivo </w:t>
            </w:r>
            <w:r>
              <w:rPr>
                <w:rFonts w:ascii="Consolas" w:hAnsi="Consolas" w:cs="Consolas"/>
                <w:sz w:val="17"/>
                <w:szCs w:val="17"/>
              </w:rPr>
              <w:t xml:space="preserve">.env</w:t>
            </w:r>
            <w:r>
              <w:rPr>
                <w:sz w:val="20"/>
                <w:szCs w:val="20"/>
              </w:rPr>
              <w:t xml:space="preserve"> no versionado) y AWS Secrets Manager en la nube. La clave privada de la GitHub App se guarda fuera del repositorio.</w:t>
            </w:r>
          </w:p>
        </w:tc>
      </w:tr>
      <w:tr>
        <w:trPr>
          <w:cantSplit w:val="1"/>
        </w:trPr>
        <w:tc>
          <w:tcPr>
            <w:tcW w:w="1000" w:type="dxa"/>
          </w:tcPr>
          <w:p>
            <w:pPr>
              <w:spacing w:before="0" w:after="0" w:line="276" w:lineRule="auto"/>
              <w:jc w:val="left"/>
              <w:rPr>
                <w:sz w:val="20"/>
                <w:szCs w:val="20"/>
              </w:rPr>
            </w:pPr>
            <w:r>
              <w:rPr>
                <w:sz w:val="20"/>
                <w:szCs w:val="20"/>
              </w:rPr>
              <w:t xml:space="preserve">RNF-04</w:t>
            </w:r>
          </w:p>
        </w:tc>
        <w:tc>
          <w:tcPr>
            <w:tcW w:w="2400" w:type="dxa"/>
          </w:tcPr>
          <w:p>
            <w:pPr>
              <w:spacing w:before="0" w:after="0" w:line="276" w:lineRule="auto"/>
              <w:jc w:val="left"/>
              <w:rPr>
                <w:sz w:val="20"/>
                <w:szCs w:val="20"/>
              </w:rPr>
            </w:pPr>
            <w:r>
              <w:rPr>
                <w:sz w:val="20"/>
                <w:szCs w:val="20"/>
              </w:rPr>
              <w:t xml:space="preserve">Integridad de los eventos externos</w:t>
            </w:r>
          </w:p>
        </w:tc>
        <w:tc>
          <w:tcPr>
            <w:tcW w:w="6376" w:type="dxa"/>
          </w:tcPr>
          <w:p>
            <w:pPr>
              <w:spacing w:before="0" w:after="0" w:line="276" w:lineRule="auto"/>
              <w:jc w:val="left"/>
              <w:rPr>
                <w:sz w:val="20"/>
                <w:szCs w:val="20"/>
              </w:rPr>
            </w:pPr>
            <w:r>
              <w:rPr>
                <w:sz w:val="20"/>
                <w:szCs w:val="20"/>
              </w:rPr>
              <w:t xml:space="preserve">Firma HMAC-SHA256 en el webhook de GitHub y parámetro </w:t>
            </w:r>
            <w:r>
              <w:rPr>
                <w:rFonts w:ascii="Consolas" w:hAnsi="Consolas" w:cs="Consolas"/>
                <w:sz w:val="17"/>
                <w:szCs w:val="17"/>
              </w:rPr>
              <w:t xml:space="preserve">state</w:t>
            </w:r>
            <w:r>
              <w:rPr>
                <w:sz w:val="20"/>
                <w:szCs w:val="20"/>
              </w:rPr>
              <w:t xml:space="preserve"> contra CSRF en el flujo OAuth.</w:t>
            </w:r>
          </w:p>
        </w:tc>
      </w:tr>
      <w:tr>
        <w:trPr>
          <w:cantSplit w:val="1"/>
        </w:trPr>
        <w:tc>
          <w:tcPr>
            <w:tcW w:w="1000" w:type="dxa"/>
          </w:tcPr>
          <w:p>
            <w:pPr>
              <w:spacing w:before="0" w:after="0" w:line="276" w:lineRule="auto"/>
              <w:jc w:val="left"/>
              <w:rPr>
                <w:sz w:val="20"/>
                <w:szCs w:val="20"/>
              </w:rPr>
            </w:pPr>
            <w:r>
              <w:rPr>
                <w:sz w:val="20"/>
                <w:szCs w:val="20"/>
              </w:rPr>
              <w:t xml:space="preserve">RNF-05</w:t>
            </w:r>
          </w:p>
        </w:tc>
        <w:tc>
          <w:tcPr>
            <w:tcW w:w="2400" w:type="dxa"/>
          </w:tcPr>
          <w:p>
            <w:pPr>
              <w:spacing w:before="0" w:after="0" w:line="276" w:lineRule="auto"/>
              <w:jc w:val="left"/>
              <w:rPr>
                <w:sz w:val="20"/>
                <w:szCs w:val="20"/>
              </w:rPr>
            </w:pPr>
            <w:r>
              <w:rPr>
                <w:sz w:val="20"/>
                <w:szCs w:val="20"/>
              </w:rPr>
              <w:t xml:space="preserve">Coste predecible</w:t>
            </w:r>
          </w:p>
        </w:tc>
        <w:tc>
          <w:tcPr>
            <w:tcW w:w="6376" w:type="dxa"/>
          </w:tcPr>
          <w:p>
            <w:pPr>
              <w:spacing w:before="0" w:after="0" w:line="276" w:lineRule="auto"/>
              <w:jc w:val="left"/>
              <w:rPr>
                <w:sz w:val="20"/>
                <w:szCs w:val="20"/>
              </w:rPr>
            </w:pPr>
            <w:r>
              <w:rPr>
                <w:sz w:val="20"/>
                <w:szCs w:val="20"/>
              </w:rPr>
              <w:t xml:space="preserve">El cliente ve el coste estimado antes de crear la aplicación, con precios de referencia de la región eu-west-1 y el coste máximo cuando hay autoescalado.</w:t>
            </w:r>
          </w:p>
        </w:tc>
      </w:tr>
      <w:tr>
        <w:trPr>
          <w:cantSplit w:val="1"/>
        </w:trPr>
        <w:tc>
          <w:tcPr>
            <w:tcW w:w="1000" w:type="dxa"/>
          </w:tcPr>
          <w:p>
            <w:pPr>
              <w:spacing w:before="0" w:after="0" w:line="276" w:lineRule="auto"/>
              <w:jc w:val="left"/>
              <w:rPr>
                <w:sz w:val="20"/>
                <w:szCs w:val="20"/>
              </w:rPr>
            </w:pPr>
            <w:r>
              <w:rPr>
                <w:sz w:val="20"/>
                <w:szCs w:val="20"/>
              </w:rPr>
              <w:t xml:space="preserve">RNF-06</w:t>
            </w:r>
          </w:p>
        </w:tc>
        <w:tc>
          <w:tcPr>
            <w:tcW w:w="2400" w:type="dxa"/>
          </w:tcPr>
          <w:p>
            <w:pPr>
              <w:spacing w:before="0" w:after="0" w:line="276" w:lineRule="auto"/>
              <w:jc w:val="left"/>
              <w:rPr>
                <w:sz w:val="20"/>
                <w:szCs w:val="20"/>
              </w:rPr>
            </w:pPr>
            <w:r>
              <w:rPr>
                <w:sz w:val="20"/>
                <w:szCs w:val="20"/>
              </w:rPr>
              <w:t xml:space="preserve">Mantenibilidad</w:t>
            </w:r>
          </w:p>
        </w:tc>
        <w:tc>
          <w:tcPr>
            <w:tcW w:w="6376" w:type="dxa"/>
          </w:tcPr>
          <w:p>
            <w:pPr>
              <w:spacing w:before="0" w:after="0" w:line="276" w:lineRule="auto"/>
              <w:jc w:val="left"/>
              <w:rPr>
                <w:sz w:val="20"/>
                <w:szCs w:val="20"/>
              </w:rPr>
            </w:pPr>
            <w:r>
              <w:rPr>
                <w:sz w:val="20"/>
                <w:szCs w:val="20"/>
              </w:rPr>
              <w:t xml:space="preserve">Arquitectura por capas con puertos y adaptadores; catálogo de plantillas declarativo, definido en un único lugar y compartido por el portal y la API.</w:t>
            </w:r>
          </w:p>
        </w:tc>
      </w:tr>
      <w:tr>
        <w:trPr>
          <w:cantSplit w:val="1"/>
        </w:trPr>
        <w:tc>
          <w:tcPr>
            <w:tcW w:w="1000" w:type="dxa"/>
          </w:tcPr>
          <w:p>
            <w:pPr>
              <w:spacing w:before="0" w:after="0" w:line="276" w:lineRule="auto"/>
              <w:jc w:val="left"/>
              <w:rPr>
                <w:sz w:val="20"/>
                <w:szCs w:val="20"/>
              </w:rPr>
            </w:pPr>
            <w:r>
              <w:rPr>
                <w:sz w:val="20"/>
                <w:szCs w:val="20"/>
              </w:rPr>
              <w:t xml:space="preserve">RNF-07</w:t>
            </w:r>
          </w:p>
        </w:tc>
        <w:tc>
          <w:tcPr>
            <w:tcW w:w="2400" w:type="dxa"/>
          </w:tcPr>
          <w:p>
            <w:pPr>
              <w:spacing w:before="0" w:after="0" w:line="276" w:lineRule="auto"/>
              <w:jc w:val="left"/>
              <w:rPr>
                <w:sz w:val="20"/>
                <w:szCs w:val="20"/>
              </w:rPr>
            </w:pPr>
            <w:r>
              <w:rPr>
                <w:sz w:val="20"/>
                <w:szCs w:val="20"/>
              </w:rPr>
              <w:t xml:space="preserve">Facilidad de prueba</w:t>
            </w:r>
          </w:p>
        </w:tc>
        <w:tc>
          <w:tcPr>
            <w:tcW w:w="6376" w:type="dxa"/>
          </w:tcPr>
          <w:p>
            <w:pPr>
              <w:spacing w:before="0" w:after="0" w:line="276" w:lineRule="auto"/>
              <w:jc w:val="left"/>
              <w:rPr>
                <w:sz w:val="20"/>
                <w:szCs w:val="20"/>
              </w:rPr>
            </w:pPr>
            <w:r>
              <w:rPr>
                <w:sz w:val="20"/>
                <w:szCs w:val="20"/>
              </w:rPr>
              <w:t xml:space="preserve">Modos simulados independientes para AWS y GitHub, que permiten ejecutar la plataforma completa en local sin coste; pruebas automatizadas en el portal y en la API.</w:t>
            </w:r>
          </w:p>
        </w:tc>
      </w:tr>
      <w:tr>
        <w:trPr>
          <w:cantSplit w:val="1"/>
        </w:trPr>
        <w:tc>
          <w:tcPr>
            <w:tcW w:w="1000" w:type="dxa"/>
          </w:tcPr>
          <w:p>
            <w:pPr>
              <w:spacing w:before="0" w:after="0" w:line="276" w:lineRule="auto"/>
              <w:jc w:val="left"/>
              <w:rPr>
                <w:sz w:val="20"/>
                <w:szCs w:val="20"/>
              </w:rPr>
            </w:pPr>
            <w:r>
              <w:rPr>
                <w:sz w:val="20"/>
                <w:szCs w:val="20"/>
              </w:rPr>
              <w:t xml:space="preserve">RNF-08</w:t>
            </w:r>
          </w:p>
        </w:tc>
        <w:tc>
          <w:tcPr>
            <w:tcW w:w="2400" w:type="dxa"/>
          </w:tcPr>
          <w:p>
            <w:pPr>
              <w:spacing w:before="0" w:after="0" w:line="276" w:lineRule="auto"/>
              <w:jc w:val="left"/>
              <w:rPr>
                <w:sz w:val="20"/>
                <w:szCs w:val="20"/>
              </w:rPr>
            </w:pPr>
            <w:r>
              <w:rPr>
                <w:sz w:val="20"/>
                <w:szCs w:val="20"/>
              </w:rPr>
              <w:t xml:space="preserve">Facilidad de uso</w:t>
            </w:r>
          </w:p>
        </w:tc>
        <w:tc>
          <w:tcPr>
            <w:tcW w:w="6376" w:type="dxa"/>
          </w:tcPr>
          <w:p>
            <w:pPr>
              <w:spacing w:before="0" w:after="0" w:line="276" w:lineRule="auto"/>
              <w:jc w:val="left"/>
              <w:rPr>
                <w:sz w:val="20"/>
                <w:szCs w:val="20"/>
              </w:rPr>
            </w:pPr>
            <w:r>
              <w:rPr>
                <w:sz w:val="20"/>
                <w:szCs w:val="20"/>
              </w:rPr>
              <w:t xml:space="preserve">El cliente no escribe configuración de infraestructura: rellena un formulario con valores recomendados por defecto y perfiles de uso (Bajo, Medio y Alto).</w:t>
            </w:r>
          </w:p>
        </w:tc>
      </w:tr>
    </w:tbl>
    <w:p>
      <w:pPr>
        <w:spacing w:after="0" w:line="276" w:lineRule="auto"/>
        <w:ind w:left="-113" w:right="-215" w:firstLine="0"/>
        <w:jc w:val="center"/>
        <w:rPr>
          <w:color w:val="595959"/>
          <w:sz w:val="19"/>
          <w:szCs w:val="19"/>
        </w:rPr>
      </w:pPr>
      <w:r>
        <w:rPr>
          <w:color w:val="595959"/>
          <w:sz w:val="19"/>
          <w:szCs w:val="19"/>
        </w:rPr>
        <w:t xml:space="preserve">Fuente: Elaboración propia.</w:t>
      </w:r>
    </w:p>
    <w:p>
      <w:pPr>
        <w:rPr/>
      </w:pPr>
    </w:p>
    <w:p>
      <w:pPr>
        <w:pStyle w:val="Heading3"/>
        <w:numPr>
          <w:ilvl w:val="2"/>
          <w:numId w:val="9"/>
        </w:numPr>
        <w:ind w:left="720" w:hanging="720"/>
        <w:rPr/>
      </w:pPr>
      <w:r>
        <w:t xml:space="preserve">Tecnologías empleadas</w:t>
      </w:r>
    </w:p>
    <w:p>
      <w:pPr>
        <w:rPr/>
      </w:pPr>
      <w:r>
        <w:rPr/>
        <w:t xml:space="preserve">La Tabla 7 resume las tecnologías seleccionadas y el motivo de cada elección. Todas las versiones se registran en el archivo </w:t>
      </w:r>
      <w:r>
        <w:rPr>
          <w:rFonts w:ascii="Consolas" w:hAnsi="Consolas" w:cs="Consolas"/>
          <w:sz w:val="21"/>
          <w:szCs w:val="21"/>
        </w:rPr>
        <w:t xml:space="preserve">DEPENDENCIAS.txt</w:t>
      </w:r>
      <w:r>
        <w:rPr/>
        <w:t xml:space="preserve"> del repositorio, junto con su forma de instalación y su fecha de incorporación.</w:t>
      </w:r>
    </w:p>
    <w:p>
      <w:pPr>
        <w:keepNext w:val="1"/>
        <w:spacing w:after="120" w:before="120" w:line="360" w:lineRule="auto"/>
        <w:ind w:left="0" w:right="0" w:firstLine="0"/>
        <w:jc w:val="both"/>
        <w:rPr/>
      </w:pPr>
      <w:r>
        <w:rPr>
          <w:rFonts w:ascii="Calibri" w:cs="Calibri" w:eastAsia="Calibri" w:hAnsi="Calibri"/>
          <w:b w:val="1"/>
          <w:bCs w:val="1"/>
          <w:i w:val="0"/>
          <w:iCs w:val="0"/>
          <w:color w:val="000000"/>
          <w:sz w:val="24"/>
          <w:szCs w:val="24"/>
        </w:rPr>
        <w:t xml:space="preserve">Tabla </w:t>
      </w:r>
      <w:r>
        <w:rPr>
          <w:rFonts w:ascii="Calibri" w:cs="Calibri" w:eastAsia="Calibri" w:hAnsi="Calibri"/>
          <w:b w:val="1"/>
          <w:bCs w:val="1"/>
          <w:i w:val="0"/>
          <w:iCs w:val="0"/>
          <w:color w:val="000000"/>
          <w:sz w:val="24"/>
          <w:szCs w:val="24"/>
        </w:rPr>
        <w:fldChar w:fldCharType="begin"/>
      </w:r>
      <w:r>
        <w:rPr>
          <w:rFonts w:ascii="Calibri" w:cs="Calibri" w:eastAsia="Calibri" w:hAnsi="Calibri"/>
          <w:b w:val="1"/>
          <w:bCs w:val="1"/>
          <w:i w:val="0"/>
          <w:iCs w:val="0"/>
          <w:color w:val="000000"/>
          <w:sz w:val="24"/>
          <w:szCs w:val="24"/>
        </w:rPr>
        <w:instrText xml:space="preserve"> SEQ Tabla \* ARABIC </w:instrText>
      </w:r>
      <w:r>
        <w:rPr>
          <w:rFonts w:ascii="Calibri" w:cs="Calibri" w:eastAsia="Calibri" w:hAnsi="Calibri"/>
          <w:b w:val="1"/>
          <w:bCs w:val="1"/>
          <w:i w:val="0"/>
          <w:iCs w:val="0"/>
          <w:color w:val="000000"/>
          <w:sz w:val="24"/>
          <w:szCs w:val="24"/>
        </w:rPr>
        <w:fldChar w:fldCharType="separate"/>
      </w:r>
      <w:r>
        <w:rPr>
          <w:rFonts w:ascii="Calibri" w:cs="Calibri" w:eastAsia="Calibri" w:hAnsi="Calibri"/>
          <w:b w:val="1"/>
          <w:bCs w:val="1"/>
          <w:i w:val="0"/>
          <w:iCs w:val="0"/>
          <w:color w:val="000000"/>
          <w:sz w:val="24"/>
          <w:szCs w:val="24"/>
        </w:rPr>
        <w:t>7</w:t>
      </w:r>
      <w:r>
        <w:rPr>
          <w:rFonts w:ascii="Calibri" w:cs="Calibri" w:eastAsia="Calibri" w:hAnsi="Calibri"/>
          <w:b w:val="1"/>
          <w:bCs w:val="1"/>
          <w:i w:val="0"/>
          <w:iCs w:val="0"/>
          <w:color w:val="000000"/>
          <w:sz w:val="24"/>
          <w:szCs w:val="24"/>
        </w:rPr>
        <w:fldChar w:fldCharType="end"/>
      </w:r>
      <w:r>
        <w:rPr>
          <w:rFonts w:ascii="Calibri" w:cs="Calibri" w:eastAsia="Calibri" w:hAnsi="Calibri"/>
          <w:b w:val="1"/>
          <w:bCs w:val="1"/>
          <w:i w:val="0"/>
          <w:iCs w:val="0"/>
          <w:color w:val="000000"/>
          <w:sz w:val="24"/>
          <w:szCs w:val="24"/>
        </w:rPr>
        <w:t xml:space="preserve">.</w:t>
      </w:r>
      <w:r>
        <w:rPr>
          <w:rFonts w:ascii="Calibri" w:cs="Calibri" w:eastAsia="Calibri" w:hAnsi="Calibri"/>
          <w:b w:val="0"/>
          <w:bCs w:val="0"/>
          <w:i w:val="1"/>
          <w:iCs w:val="1"/>
          <w:color w:val="000000"/>
          <w:sz w:val="24"/>
          <w:szCs w:val="24"/>
        </w:rPr>
        <w:t xml:space="preserve"> Tecnologías empleadas en la plataforma.</w:t>
      </w:r>
    </w:p>
    <w:tbl>
      <w:tblPr>
        <w:tblStyle w:val="Table3"/>
        <w:tblW w:w="9776"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2000"/>
        <w:gridCol w:w="3300"/>
        <w:gridCol w:w="4476"/>
      </w:tblGrid>
      <w:tr>
        <w:trPr>
          <w:cantSplit w:val="1"/>
          <w:tblHeader w:val="1"/>
        </w:trPr>
        <w:tc>
          <w:tcPr>
            <w:tcW w:w="2000" w:type="dxa"/>
          </w:tcPr>
          <w:p>
            <w:pPr>
              <w:spacing w:before="0" w:after="0" w:line="276" w:lineRule="auto"/>
              <w:jc w:val="left"/>
              <w:rPr>
                <w:sz w:val="20"/>
                <w:szCs w:val="20"/>
              </w:rPr>
            </w:pPr>
            <w:r>
              <w:rPr>
                <w:b w:val="1"/>
                <w:bCs w:val="1"/>
                <w:sz w:val="20"/>
                <w:szCs w:val="20"/>
              </w:rPr>
              <w:t xml:space="preserve">Capa</w:t>
            </w:r>
          </w:p>
        </w:tc>
        <w:tc>
          <w:tcPr>
            <w:tcW w:w="3300" w:type="dxa"/>
          </w:tcPr>
          <w:p>
            <w:pPr>
              <w:spacing w:before="0" w:after="0" w:line="276" w:lineRule="auto"/>
              <w:jc w:val="left"/>
              <w:rPr>
                <w:sz w:val="20"/>
                <w:szCs w:val="20"/>
              </w:rPr>
            </w:pPr>
            <w:r>
              <w:rPr>
                <w:b w:val="1"/>
                <w:bCs w:val="1"/>
                <w:sz w:val="20"/>
                <w:szCs w:val="20"/>
              </w:rPr>
              <w:t xml:space="preserve">Tecnología</w:t>
            </w:r>
          </w:p>
        </w:tc>
        <w:tc>
          <w:tcPr>
            <w:tcW w:w="4476" w:type="dxa"/>
          </w:tcPr>
          <w:p>
            <w:pPr>
              <w:spacing w:before="0" w:after="0" w:line="276" w:lineRule="auto"/>
              <w:jc w:val="left"/>
              <w:rPr>
                <w:sz w:val="20"/>
                <w:szCs w:val="20"/>
              </w:rPr>
            </w:pPr>
            <w:r>
              <w:rPr>
                <w:b w:val="1"/>
                <w:bCs w:val="1"/>
                <w:sz w:val="20"/>
                <w:szCs w:val="20"/>
              </w:rPr>
              <w:t xml:space="preserve">Justificación</w:t>
            </w:r>
          </w:p>
        </w:tc>
      </w:tr>
      <w:tr>
        <w:trPr>
          <w:cantSplit w:val="1"/>
        </w:trPr>
        <w:tc>
          <w:tcPr>
            <w:tcW w:w="2000" w:type="dxa"/>
          </w:tcPr>
          <w:p>
            <w:pPr>
              <w:spacing w:before="0" w:after="0" w:line="276" w:lineRule="auto"/>
              <w:jc w:val="left"/>
              <w:rPr>
                <w:sz w:val="20"/>
                <w:szCs w:val="20"/>
              </w:rPr>
            </w:pPr>
            <w:r>
              <w:rPr>
                <w:sz w:val="20"/>
                <w:szCs w:val="20"/>
              </w:rPr>
              <w:t xml:space="preserve">Portal web</w:t>
            </w:r>
          </w:p>
        </w:tc>
        <w:tc>
          <w:tcPr>
            <w:tcW w:w="3300" w:type="dxa"/>
          </w:tcPr>
          <w:p>
            <w:pPr>
              <w:spacing w:before="0" w:after="0" w:line="276" w:lineRule="auto"/>
              <w:jc w:val="left"/>
              <w:rPr>
                <w:sz w:val="20"/>
                <w:szCs w:val="20"/>
              </w:rPr>
            </w:pPr>
            <w:r>
              <w:rPr>
                <w:sz w:val="20"/>
                <w:szCs w:val="20"/>
              </w:rPr>
              <w:t xml:space="preserve">Angular 22 (componentes </w:t>
            </w:r>
            <w:r>
              <w:rPr>
                <w:i w:val="1"/>
                <w:iCs w:val="1"/>
                <w:sz w:val="20"/>
                <w:szCs w:val="20"/>
              </w:rPr>
              <w:t xml:space="preserve">standalone</w:t>
            </w:r>
            <w:r>
              <w:rPr>
                <w:sz w:val="20"/>
                <w:szCs w:val="20"/>
              </w:rPr>
              <w:t xml:space="preserve">, sin zone.js), TypeScript en modo estricto y Tailwind CSS 4.3</w:t>
            </w:r>
          </w:p>
        </w:tc>
        <w:tc>
          <w:tcPr>
            <w:tcW w:w="4476" w:type="dxa"/>
          </w:tcPr>
          <w:p>
            <w:pPr>
              <w:spacing w:before="0" w:after="0" w:line="276" w:lineRule="auto"/>
              <w:jc w:val="left"/>
              <w:rPr>
                <w:sz w:val="20"/>
                <w:szCs w:val="20"/>
              </w:rPr>
            </w:pPr>
            <w:r>
              <w:rPr>
                <w:sz w:val="20"/>
                <w:szCs w:val="20"/>
              </w:rPr>
              <w:t xml:space="preserve">Framework completo con tipado estricto, enrutado y protección de rutas por rol; Tailwind permite una interfaz homogénea sin librería de componentes.</w:t>
            </w:r>
          </w:p>
        </w:tc>
      </w:tr>
      <w:tr>
        <w:trPr>
          <w:cantSplit w:val="1"/>
        </w:trPr>
        <w:tc>
          <w:tcPr>
            <w:tcW w:w="2000" w:type="dxa"/>
          </w:tcPr>
          <w:p>
            <w:pPr>
              <w:spacing w:before="0" w:after="0" w:line="276" w:lineRule="auto"/>
              <w:jc w:val="left"/>
              <w:rPr>
                <w:sz w:val="20"/>
                <w:szCs w:val="20"/>
              </w:rPr>
            </w:pPr>
            <w:r>
              <w:rPr>
                <w:sz w:val="20"/>
                <w:szCs w:val="20"/>
              </w:rPr>
              <w:t xml:space="preserve">API de orquestación</w:t>
            </w:r>
          </w:p>
        </w:tc>
        <w:tc>
          <w:tcPr>
            <w:tcW w:w="3300" w:type="dxa"/>
          </w:tcPr>
          <w:p>
            <w:pPr>
              <w:spacing w:before="0" w:after="0" w:line="276" w:lineRule="auto"/>
              <w:jc w:val="left"/>
              <w:rPr>
                <w:sz w:val="20"/>
                <w:szCs w:val="20"/>
              </w:rPr>
            </w:pPr>
            <w:r>
              <w:rPr>
                <w:sz w:val="20"/>
                <w:szCs w:val="20"/>
              </w:rPr>
              <w:t xml:space="preserve">Java 21, Spring Boot 3.5.16 y Spring Security (OAuth2 Resource Server)</w:t>
            </w:r>
          </w:p>
        </w:tc>
        <w:tc>
          <w:tcPr>
            <w:tcW w:w="4476" w:type="dxa"/>
          </w:tcPr>
          <w:p>
            <w:pPr>
              <w:spacing w:before="0" w:after="0" w:line="276" w:lineRule="auto"/>
              <w:jc w:val="left"/>
              <w:rPr>
                <w:sz w:val="20"/>
                <w:szCs w:val="20"/>
              </w:rPr>
            </w:pPr>
            <w:r>
              <w:rPr>
                <w:sz w:val="20"/>
                <w:szCs w:val="20"/>
              </w:rPr>
              <w:t xml:space="preserve">Ecosistema maduro para API REST seguras. Spring Boot 3.5 es la última rama 3.x y es compatible con Java 21 (D-01).</w:t>
            </w:r>
          </w:p>
        </w:tc>
      </w:tr>
      <w:tr>
        <w:trPr>
          <w:cantSplit w:val="1"/>
        </w:trPr>
        <w:tc>
          <w:tcPr>
            <w:tcW w:w="2000" w:type="dxa"/>
          </w:tcPr>
          <w:p>
            <w:pPr>
              <w:spacing w:before="0" w:after="0" w:line="276" w:lineRule="auto"/>
              <w:jc w:val="left"/>
              <w:rPr>
                <w:sz w:val="20"/>
                <w:szCs w:val="20"/>
              </w:rPr>
            </w:pPr>
            <w:r>
              <w:rPr>
                <w:sz w:val="20"/>
                <w:szCs w:val="20"/>
              </w:rPr>
              <w:t xml:space="preserve">Integración con AWS</w:t>
            </w:r>
          </w:p>
        </w:tc>
        <w:tc>
          <w:tcPr>
            <w:tcW w:w="3300" w:type="dxa"/>
          </w:tcPr>
          <w:p>
            <w:pPr>
              <w:spacing w:before="0" w:after="0" w:line="276" w:lineRule="auto"/>
              <w:jc w:val="left"/>
              <w:rPr>
                <w:sz w:val="20"/>
                <w:szCs w:val="20"/>
              </w:rPr>
            </w:pPr>
            <w:r>
              <w:rPr>
                <w:sz w:val="20"/>
                <w:szCs w:val="20"/>
              </w:rPr>
              <w:t xml:space="preserve">AWS SDK for Java v2 (2.56): STS, Step Functions y DynamoDB</w:t>
            </w:r>
          </w:p>
        </w:tc>
        <w:tc>
          <w:tcPr>
            <w:tcW w:w="4476" w:type="dxa"/>
          </w:tcPr>
          <w:p>
            <w:pPr>
              <w:spacing w:before="0" w:after="0" w:line="276" w:lineRule="auto"/>
              <w:jc w:val="left"/>
              <w:rPr>
                <w:sz w:val="20"/>
                <w:szCs w:val="20"/>
              </w:rPr>
            </w:pPr>
            <w:r>
              <w:rPr>
                <w:sz w:val="20"/>
                <w:szCs w:val="20"/>
              </w:rPr>
              <w:t xml:space="preserve">SDK oficial: permite asumir el rol del cliente y arrancar los despliegues.</w:t>
            </w:r>
          </w:p>
        </w:tc>
      </w:tr>
      <w:tr>
        <w:trPr>
          <w:cantSplit w:val="1"/>
        </w:trPr>
        <w:tc>
          <w:tcPr>
            <w:tcW w:w="2000" w:type="dxa"/>
          </w:tcPr>
          <w:p>
            <w:pPr>
              <w:spacing w:before="0" w:after="0" w:line="276" w:lineRule="auto"/>
              <w:jc w:val="left"/>
              <w:rPr>
                <w:sz w:val="20"/>
                <w:szCs w:val="20"/>
              </w:rPr>
            </w:pPr>
            <w:r>
              <w:rPr>
                <w:sz w:val="20"/>
                <w:szCs w:val="20"/>
              </w:rPr>
              <w:t xml:space="preserve">Persistencia</w:t>
            </w:r>
          </w:p>
        </w:tc>
        <w:tc>
          <w:tcPr>
            <w:tcW w:w="3300" w:type="dxa"/>
          </w:tcPr>
          <w:p>
            <w:pPr>
              <w:spacing w:before="0" w:after="0" w:line="276" w:lineRule="auto"/>
              <w:jc w:val="left"/>
              <w:rPr>
                <w:sz w:val="20"/>
                <w:szCs w:val="20"/>
              </w:rPr>
            </w:pPr>
            <w:r>
              <w:rPr>
                <w:sz w:val="20"/>
                <w:szCs w:val="20"/>
              </w:rPr>
              <w:t xml:space="preserve">Amazon DynamoDB (tablas de usuarios, clientes, aplicaciones y releases)</w:t>
            </w:r>
          </w:p>
        </w:tc>
        <w:tc>
          <w:tcPr>
            <w:tcW w:w="4476" w:type="dxa"/>
          </w:tcPr>
          <w:p>
            <w:pPr>
              <w:spacing w:before="0" w:after="0" w:line="276" w:lineRule="auto"/>
              <w:jc w:val="left"/>
              <w:rPr>
                <w:sz w:val="20"/>
                <w:szCs w:val="20"/>
              </w:rPr>
            </w:pPr>
            <w:r>
              <w:rPr>
                <w:sz w:val="20"/>
                <w:szCs w:val="20"/>
              </w:rPr>
              <w:t xml:space="preserve">Base de datos </w:t>
            </w:r>
            <w:r>
              <w:rPr>
                <w:i w:val="1"/>
                <w:iCs w:val="1"/>
                <w:sz w:val="20"/>
                <w:szCs w:val="20"/>
              </w:rPr>
              <w:t xml:space="preserve">serverless</w:t>
            </w:r>
            <w:r>
              <w:rPr>
                <w:sz w:val="20"/>
                <w:szCs w:val="20"/>
              </w:rPr>
              <w:t xml:space="preserve"> de pago por uso, sin servidores que mantener y adecuada al volumen de la plataforma (D-11).</w:t>
            </w:r>
          </w:p>
        </w:tc>
      </w:tr>
      <w:tr>
        <w:trPr>
          <w:cantSplit w:val="1"/>
        </w:trPr>
        <w:tc>
          <w:tcPr>
            <w:tcW w:w="2000" w:type="dxa"/>
          </w:tcPr>
          <w:p>
            <w:pPr>
              <w:spacing w:before="0" w:after="0" w:line="276" w:lineRule="auto"/>
              <w:jc w:val="left"/>
              <w:rPr>
                <w:sz w:val="20"/>
                <w:szCs w:val="20"/>
              </w:rPr>
            </w:pPr>
            <w:r>
              <w:rPr>
                <w:sz w:val="20"/>
                <w:szCs w:val="20"/>
              </w:rPr>
              <w:t xml:space="preserve">Integración con GitHub</w:t>
            </w:r>
          </w:p>
        </w:tc>
        <w:tc>
          <w:tcPr>
            <w:tcW w:w="3300" w:type="dxa"/>
          </w:tcPr>
          <w:p>
            <w:pPr>
              <w:spacing w:before="0" w:after="0" w:line="276" w:lineRule="auto"/>
              <w:jc w:val="left"/>
              <w:rPr>
                <w:sz w:val="20"/>
                <w:szCs w:val="20"/>
              </w:rPr>
            </w:pPr>
            <w:r>
              <w:rPr>
                <w:sz w:val="20"/>
                <w:szCs w:val="20"/>
              </w:rPr>
              <w:t xml:space="preserve">GitHub App con permisos de solo lectura (Contents y Metadata), OAuth de usuario y webhooks</w:t>
            </w:r>
          </w:p>
        </w:tc>
        <w:tc>
          <w:tcPr>
            <w:tcW w:w="4476" w:type="dxa"/>
          </w:tcPr>
          <w:p>
            <w:pPr>
              <w:spacing w:before="0" w:after="0" w:line="276" w:lineRule="auto"/>
              <w:jc w:val="left"/>
              <w:rPr>
                <w:sz w:val="20"/>
                <w:szCs w:val="20"/>
              </w:rPr>
            </w:pPr>
            <w:r>
              <w:rPr>
                <w:sz w:val="20"/>
                <w:szCs w:val="20"/>
              </w:rPr>
              <w:t xml:space="preserve">Acceso granular por repositorio y tokens de corta duración, en lugar de tokens personales.</w:t>
            </w:r>
          </w:p>
        </w:tc>
      </w:tr>
      <w:tr>
        <w:trPr>
          <w:cantSplit w:val="1"/>
        </w:trPr>
        <w:tc>
          <w:tcPr>
            <w:tcW w:w="2000" w:type="dxa"/>
          </w:tcPr>
          <w:p>
            <w:pPr>
              <w:spacing w:before="0" w:after="0" w:line="276" w:lineRule="auto"/>
              <w:jc w:val="left"/>
              <w:rPr>
                <w:sz w:val="20"/>
                <w:szCs w:val="20"/>
              </w:rPr>
            </w:pPr>
            <w:r>
              <w:rPr>
                <w:sz w:val="20"/>
                <w:szCs w:val="20"/>
              </w:rPr>
              <w:t xml:space="preserve">Infraestructura como Código</w:t>
            </w:r>
          </w:p>
        </w:tc>
        <w:tc>
          <w:tcPr>
            <w:tcW w:w="3300" w:type="dxa"/>
          </w:tcPr>
          <w:p>
            <w:pPr>
              <w:spacing w:before="0" w:after="0" w:line="276" w:lineRule="auto"/>
              <w:jc w:val="left"/>
              <w:rPr>
                <w:sz w:val="20"/>
                <w:szCs w:val="20"/>
              </w:rPr>
            </w:pPr>
            <w:r>
              <w:rPr>
                <w:sz w:val="20"/>
                <w:szCs w:val="20"/>
              </w:rPr>
              <w:t xml:space="preserve">Terraform 1.10 o superior, con estado en S3 y bloqueo nativo (</w:t>
            </w:r>
            <w:r>
              <w:rPr>
                <w:rFonts w:ascii="Consolas" w:hAnsi="Consolas" w:cs="Consolas"/>
                <w:sz w:val="17"/>
                <w:szCs w:val="17"/>
              </w:rPr>
              <w:t xml:space="preserve">use_lockfile</w:t>
            </w:r>
            <w:r>
              <w:rPr>
                <w:sz w:val="20"/>
                <w:szCs w:val="20"/>
              </w:rPr>
              <w:t xml:space="preserve">)</w:t>
            </w:r>
          </w:p>
        </w:tc>
        <w:tc>
          <w:tcPr>
            <w:tcW w:w="4476" w:type="dxa"/>
          </w:tcPr>
          <w:p>
            <w:pPr>
              <w:spacing w:before="0" w:after="0" w:line="276" w:lineRule="auto"/>
              <w:jc w:val="left"/>
              <w:rPr>
                <w:sz w:val="20"/>
                <w:szCs w:val="20"/>
              </w:rPr>
            </w:pPr>
            <w:r>
              <w:rPr>
                <w:sz w:val="20"/>
                <w:szCs w:val="20"/>
              </w:rPr>
              <w:t xml:space="preserve">Declarativo, modular y con archivo de estado, según la comparativa de la Tabla 3.</w:t>
            </w:r>
          </w:p>
        </w:tc>
      </w:tr>
      <w:tr>
        <w:trPr>
          <w:cantSplit w:val="1"/>
        </w:trPr>
        <w:tc>
          <w:tcPr>
            <w:tcW w:w="2000" w:type="dxa"/>
          </w:tcPr>
          <w:p>
            <w:pPr>
              <w:spacing w:before="0" w:after="0" w:line="276" w:lineRule="auto"/>
              <w:jc w:val="left"/>
              <w:rPr>
                <w:sz w:val="20"/>
                <w:szCs w:val="20"/>
              </w:rPr>
            </w:pPr>
            <w:r>
              <w:rPr>
                <w:sz w:val="20"/>
                <w:szCs w:val="20"/>
              </w:rPr>
              <w:t xml:space="preserve">Pipeline de despliegue</w:t>
            </w:r>
          </w:p>
        </w:tc>
        <w:tc>
          <w:tcPr>
            <w:tcW w:w="3300" w:type="dxa"/>
          </w:tcPr>
          <w:p>
            <w:pPr>
              <w:spacing w:before="0" w:after="0" w:line="276" w:lineRule="auto"/>
              <w:jc w:val="left"/>
              <w:rPr>
                <w:sz w:val="20"/>
                <w:szCs w:val="20"/>
              </w:rPr>
            </w:pPr>
            <w:r>
              <w:rPr>
                <w:sz w:val="20"/>
                <w:szCs w:val="20"/>
              </w:rPr>
              <w:t xml:space="preserve">AWS Step Functions, AWS CodeBuild y Amazon ECR</w:t>
            </w:r>
          </w:p>
        </w:tc>
        <w:tc>
          <w:tcPr>
            <w:tcW w:w="4476" w:type="dxa"/>
          </w:tcPr>
          <w:p>
            <w:pPr>
              <w:spacing w:before="0" w:after="0" w:line="276" w:lineRule="auto"/>
              <w:jc w:val="left"/>
              <w:rPr>
                <w:sz w:val="20"/>
                <w:szCs w:val="20"/>
              </w:rPr>
            </w:pPr>
            <w:r>
              <w:rPr>
                <w:sz w:val="20"/>
                <w:szCs w:val="20"/>
              </w:rPr>
              <w:t xml:space="preserve">Servicios gestionados que orquestan la construcción y el despliegue sin servidores propios (en desarrollo).</w:t>
            </w:r>
          </w:p>
        </w:tc>
      </w:tr>
      <w:tr>
        <w:trPr>
          <w:cantSplit w:val="1"/>
        </w:trPr>
        <w:tc>
          <w:tcPr>
            <w:tcW w:w="2000" w:type="dxa"/>
          </w:tcPr>
          <w:p>
            <w:pPr>
              <w:spacing w:before="0" w:after="0" w:line="276" w:lineRule="auto"/>
              <w:jc w:val="left"/>
              <w:rPr>
                <w:sz w:val="20"/>
                <w:szCs w:val="20"/>
              </w:rPr>
            </w:pPr>
            <w:r>
              <w:rPr>
                <w:sz w:val="20"/>
                <w:szCs w:val="20"/>
              </w:rPr>
              <w:t xml:space="preserve">Pruebas</w:t>
            </w:r>
          </w:p>
        </w:tc>
        <w:tc>
          <w:tcPr>
            <w:tcW w:w="3300" w:type="dxa"/>
          </w:tcPr>
          <w:p>
            <w:pPr>
              <w:spacing w:before="0" w:after="0" w:line="276" w:lineRule="auto"/>
              <w:jc w:val="left"/>
              <w:rPr>
                <w:sz w:val="20"/>
                <w:szCs w:val="20"/>
              </w:rPr>
            </w:pPr>
            <w:r>
              <w:rPr>
                <w:sz w:val="20"/>
                <w:szCs w:val="20"/>
              </w:rPr>
              <w:t xml:space="preserve">JUnit 5, Mockito y MockMvc (API); Vitest (portal)</w:t>
            </w:r>
          </w:p>
        </w:tc>
        <w:tc>
          <w:tcPr>
            <w:tcW w:w="4476" w:type="dxa"/>
          </w:tcPr>
          <w:p>
            <w:pPr>
              <w:spacing w:before="0" w:after="0" w:line="276" w:lineRule="auto"/>
              <w:jc w:val="left"/>
              <w:rPr>
                <w:sz w:val="20"/>
                <w:szCs w:val="20"/>
              </w:rPr>
            </w:pPr>
            <w:r>
              <w:rPr>
                <w:sz w:val="20"/>
                <w:szCs w:val="20"/>
              </w:rPr>
              <w:t xml:space="preserve">Herramientas estándar de cada ecosistema.</w:t>
            </w:r>
          </w:p>
        </w:tc>
      </w:tr>
    </w:tbl>
    <w:p>
      <w:pPr>
        <w:spacing w:after="0" w:line="276" w:lineRule="auto"/>
        <w:ind w:left="-113" w:right="-215" w:firstLine="0"/>
        <w:jc w:val="center"/>
        <w:rPr>
          <w:color w:val="595959"/>
          <w:sz w:val="19"/>
          <w:szCs w:val="19"/>
        </w:rPr>
      </w:pPr>
      <w:r>
        <w:rPr>
          <w:color w:val="595959"/>
          <w:sz w:val="19"/>
          <w:szCs w:val="19"/>
        </w:rPr>
        <w:t xml:space="preserve">Fuente: Elaboración propia.</w:t>
      </w:r>
    </w:p>
    <w:p>
      <w:pPr>
        <w:rPr/>
      </w:pPr>
    </w:p>
    <w:p>
      <w:pPr>
        <w:pStyle w:val="Heading3"/>
        <w:numPr>
          <w:ilvl w:val="2"/>
          <w:numId w:val="9"/>
        </w:numPr>
        <w:ind w:left="720" w:hanging="720"/>
        <w:rPr/>
      </w:pPr>
      <w:r>
        <w:t xml:space="preserve">Organización y seguimiento del desarrollo</w:t>
      </w:r>
    </w:p>
    <w:p>
      <w:pPr>
        <w:rPr/>
      </w:pPr>
      <w:r>
        <w:rPr/>
        <w:t xml:space="preserve">El desarrollo siguió la metodología iterativa descrita en el apartado 3.3. En el Sprint 1 (08/10/2026 – 21/10/2026) se construyeron el portal web, la API de orquestación y la integración con GitHub, y se revisó el alcance de la plataforma. El Sprint 2 (22/10/2026 – 04/11/2026), en curso, comenzó con la validación de la GitHub App real y continúa con las plantillas de Terraform y los pipelines de despliegue.</w:t>
      </w:r>
    </w:p>
    <w:p>
      <w:pPr>
        <w:rPr/>
      </w:pPr>
      <w:r>
        <w:rPr/>
        <w:t xml:space="preserve">Como instrumentos de seguimiento se emplearon:</w:t>
      </w:r>
    </w:p>
    <w:p>
      <w:pPr>
        <w:numPr>
          <w:ilvl w:val="0"/>
          <w:numId w:val="1"/>
        </w:numPr>
        <w:ind w:left="720" w:hanging="360"/>
        <w:rPr/>
      </w:pPr>
      <w:r>
        <w:rPr>
          <w:b w:val="1"/>
          <w:bCs w:val="1"/>
        </w:rPr>
        <w:t xml:space="preserve">Repositorio Git en GitHub</w:t>
      </w:r>
      <w:r>
        <w:rPr/>
        <w:t xml:space="preserve">, con un commit por incremento funcional.</w:t>
      </w:r>
    </w:p>
    <w:p>
      <w:pPr>
        <w:numPr>
          <w:ilvl w:val="0"/>
          <w:numId w:val="1"/>
        </w:numPr>
        <w:ind w:left="720" w:hanging="360"/>
        <w:rPr/>
      </w:pPr>
      <w:r>
        <w:rPr>
          <w:b w:val="1"/>
          <w:bCs w:val="1"/>
        </w:rPr>
        <w:t xml:space="preserve">Registro de decisiones de diseño</w:t>
      </w:r>
      <w:r>
        <w:rPr/>
        <w:t xml:space="preserve"> (</w:t>
      </w:r>
      <w:r>
        <w:rPr>
          <w:rFonts w:ascii="Consolas" w:hAnsi="Consolas" w:cs="Consolas"/>
          <w:sz w:val="21"/>
          <w:szCs w:val="21"/>
        </w:rPr>
        <w:t xml:space="preserve">backend/docs/decisiones.md</w:t>
      </w:r>
      <w:r>
        <w:rPr/>
        <w:t xml:space="preserve">): cada ambigüedad o cambio de alcance se documenta con su contexto, la decisión tomada, las alternativas descartadas y sus consecuencias.</w:t>
      </w:r>
    </w:p>
    <w:p>
      <w:pPr>
        <w:numPr>
          <w:ilvl w:val="0"/>
          <w:numId w:val="1"/>
        </w:numPr>
        <w:ind w:left="720" w:hanging="360"/>
        <w:rPr/>
      </w:pPr>
      <w:r>
        <w:rPr>
          <w:b w:val="1"/>
          <w:bCs w:val="1"/>
        </w:rPr>
        <w:t xml:space="preserve">Registro de dependencias</w:t>
      </w:r>
      <w:r>
        <w:rPr/>
        <w:t xml:space="preserve"> (</w:t>
      </w:r>
      <w:r>
        <w:rPr>
          <w:rFonts w:ascii="Consolas" w:hAnsi="Consolas" w:cs="Consolas"/>
          <w:sz w:val="21"/>
          <w:szCs w:val="21"/>
        </w:rPr>
        <w:t xml:space="preserve">DEPENDENCIAS.txt</w:t>
      </w:r>
      <w:r>
        <w:rPr/>
        <w:t xml:space="preserve">): cada herramienta, biblioteca o servicio incorporado, con su versión, ámbito, forma de instalación y fecha.</w:t>
      </w:r>
    </w:p>
    <w:p>
      <w:pPr>
        <w:numPr>
          <w:ilvl w:val="0"/>
          <w:numId w:val="1"/>
        </w:numPr>
        <w:ind w:left="720" w:hanging="360"/>
        <w:rPr/>
      </w:pPr>
      <w:r>
        <w:rPr>
          <w:b w:val="1"/>
          <w:bCs w:val="1"/>
        </w:rPr>
        <w:t xml:space="preserve">Pruebas automatizadas</w:t>
      </w:r>
      <w:r>
        <w:rPr/>
        <w:t xml:space="preserve">, que se ejecutan antes de cerrar cada incremento (apartado 4.3).</w:t>
      </w:r>
    </w:p>
    <w:p>
      <w:pPr>
        <w:rPr/>
      </w:pPr>
    </w:p>
    <w:p>
      <w:pPr>
        <w:pStyle w:val="Heading2"/>
        <w:numPr>
          <w:ilvl w:val="1"/>
          <w:numId w:val="9"/>
        </w:numPr>
        <w:ind w:left="576" w:hanging="576"/>
        <w:rPr/>
      </w:pPr>
      <w:r>
        <w:t xml:space="preserve">Descripción del sistema software desarrollado</w:t>
      </w:r>
    </w:p>
    <w:p>
      <w:pPr>
        <w:rPr/>
      </w:pPr>
    </w:p>
    <w:p>
      <w:pPr>
        <w:pStyle w:val="Heading3"/>
        <w:numPr>
          <w:ilvl w:val="2"/>
          <w:numId w:val="9"/>
        </w:numPr>
        <w:ind w:left="720" w:hanging="720"/>
        <w:rPr/>
      </w:pPr>
      <w:r>
        <w:t xml:space="preserve">Arquitectura general</w:t>
      </w:r>
    </w:p>
    <w:p>
      <w:pPr>
        <w:rPr/>
      </w:pPr>
      <w:r>
        <w:rPr/>
        <w:t xml:space="preserve">ReleEasy Cloud separa dos ámbitos de AWS: la </w:t>
      </w:r>
      <w:r>
        <w:rPr>
          <w:b w:val="1"/>
          <w:bCs w:val="1"/>
        </w:rPr>
        <w:t xml:space="preserve">cuenta de la plataforma</w:t>
      </w:r>
      <w:r>
        <w:rPr/>
        <w:t xml:space="preserve">, donde se ejecutan el portal, la API y el pipeline de despliegue, y la </w:t>
      </w:r>
      <w:r>
        <w:rPr>
          <w:b w:val="1"/>
          <w:bCs w:val="1"/>
        </w:rPr>
        <w:t xml:space="preserve">cuenta de cada cliente</w:t>
      </w:r>
      <w:r>
        <w:rPr/>
        <w:t xml:space="preserve">, donde se crea la infraestructura de sus aplicaciones. La plataforma nunca guarda credenciales permanentes del cliente: en cada despliegue asume un rol en su cuenta y obtiene credenciales temporales. Los componentes son los siguientes:</w:t>
      </w:r>
    </w:p>
    <w:p>
      <w:pPr>
        <w:numPr>
          <w:ilvl w:val="0"/>
          <w:numId w:val="1"/>
        </w:numPr>
        <w:ind w:left="720" w:hanging="360"/>
        <w:rPr/>
      </w:pPr>
      <w:r>
        <w:rPr>
          <w:b w:val="1"/>
          <w:bCs w:val="1"/>
        </w:rPr>
        <w:t xml:space="preserve">Portal web (Angular):</w:t>
      </w:r>
      <w:r>
        <w:rPr/>
        <w:t xml:space="preserve"> interfaz del cliente y del administrador. Lee su configuración (URL de la API e identificadores públicos de la GitHub App) de un archivo </w:t>
      </w:r>
      <w:r>
        <w:rPr>
          <w:rFonts w:ascii="Consolas" w:hAnsi="Consolas" w:cs="Consolas"/>
          <w:sz w:val="21"/>
          <w:szCs w:val="21"/>
        </w:rPr>
        <w:t xml:space="preserve">config.json</w:t>
      </w:r>
      <w:r>
        <w:rPr/>
        <w:t xml:space="preserve"> al arrancar, de modo que la misma compilación sirve para cualquier entorno.</w:t>
      </w:r>
    </w:p>
    <w:p>
      <w:pPr>
        <w:numPr>
          <w:ilvl w:val="0"/>
          <w:numId w:val="1"/>
        </w:numPr>
        <w:ind w:left="720" w:hanging="360"/>
        <w:rPr/>
      </w:pPr>
      <w:r>
        <w:rPr>
          <w:b w:val="1"/>
          <w:bCs w:val="1"/>
        </w:rPr>
        <w:t xml:space="preserve">API de orquestación (Spring Boot):</w:t>
      </w:r>
      <w:r>
        <w:rPr/>
        <w:t xml:space="preserve"> expone la API REST, autentica a los usuarios, valida las solicitudes contra el catálogo de plantillas, verifica las conexiones con AWS y GitHub, y lanza los despliegues.</w:t>
      </w:r>
    </w:p>
    <w:p>
      <w:pPr>
        <w:numPr>
          <w:ilvl w:val="0"/>
          <w:numId w:val="1"/>
        </w:numPr>
        <w:ind w:left="720" w:hanging="360"/>
        <w:rPr/>
      </w:pPr>
      <w:r>
        <w:rPr>
          <w:b w:val="1"/>
          <w:bCs w:val="1"/>
        </w:rPr>
        <w:t xml:space="preserve">Persistencia (DynamoDB):</w:t>
      </w:r>
      <w:r>
        <w:rPr/>
        <w:t xml:space="preserve"> usuarios, clientes, aplicaciones y releases.</w:t>
      </w:r>
    </w:p>
    <w:p>
      <w:pPr>
        <w:numPr>
          <w:ilvl w:val="0"/>
          <w:numId w:val="1"/>
        </w:numPr>
        <w:ind w:left="720" w:hanging="360"/>
        <w:rPr/>
      </w:pPr>
      <w:r>
        <w:rPr>
          <w:b w:val="1"/>
          <w:bCs w:val="1"/>
        </w:rPr>
        <w:t xml:space="preserve">Pipeline de despliegue (Step Functions y CodeBuild):</w:t>
      </w:r>
      <w:r>
        <w:rPr/>
        <w:t xml:space="preserve"> en cada release, construye el código del cliente en el commit indicado y aplica con Terraform el módulo de la plantilla en la cuenta del cliente, asumiendo el rol </w:t>
      </w:r>
      <w:r>
        <w:rPr>
          <w:rFonts w:ascii="Consolas" w:hAnsi="Consolas" w:cs="Consolas"/>
          <w:sz w:val="21"/>
          <w:szCs w:val="21"/>
        </w:rPr>
        <w:t xml:space="preserve">ReleEasyDeployRole</w:t>
      </w:r>
      <w:r>
        <w:rPr/>
        <w:t xml:space="preserve">.</w:t>
      </w:r>
    </w:p>
    <w:p>
      <w:pPr>
        <w:numPr>
          <w:ilvl w:val="0"/>
          <w:numId w:val="1"/>
        </w:numPr>
        <w:ind w:left="720" w:hanging="360"/>
        <w:rPr/>
      </w:pPr>
      <w:r>
        <w:rPr>
          <w:b w:val="1"/>
          <w:bCs w:val="1"/>
        </w:rPr>
        <w:t xml:space="preserve">Cuenta de AWS del cliente:</w:t>
      </w:r>
      <w:r>
        <w:rPr/>
        <w:t xml:space="preserve"> contiene el rol de despliegue, creado con CloudFormation, y la infraestructura de cada aplicación.</w:t>
      </w:r>
    </w:p>
    <w:p>
      <w:pPr>
        <w:rPr/>
      </w:pPr>
      <w:r>
        <w:rPr/>
        <w:t xml:space="preserve">El flujo de uso es el siguiente: el cliente se registra, conecta AWS y GitHub, elige una plantilla y la configura. Al crear la aplicación, la API registra un release del último commit de la rama y arranca el pipeline. A partir de ese momento, cada </w:t>
      </w:r>
      <w:r>
        <w:rPr>
          <w:i w:val="1"/>
          <w:iCs w:val="1"/>
        </w:rPr>
        <w:t xml:space="preserve">push</w:t>
      </w:r>
      <w:r>
        <w:rPr/>
        <w:t xml:space="preserve"> a la rama llega a la API mediante el webhook de la GitHub App y genera un nuevo release.</w:t>
      </w:r>
    </w:p>
    <w:p>
      <w:pPr>
        <w:rPr/>
      </w:pPr>
      <w:r>
        <w:rPr>
          <w:highlight w:val="yellow"/>
        </w:rPr>
        <w:t xml:space="preserve">[Figura 3. Diagrama de arquitectura de ReleEasy Cloud: pendiente de incluir.]</w:t>
      </w:r>
    </w:p>
    <w:p>
      <w:pPr>
        <w:rPr/>
      </w:pPr>
    </w:p>
    <w:p>
      <w:pPr>
        <w:pStyle w:val="Heading3"/>
        <w:numPr>
          <w:ilvl w:val="2"/>
          <w:numId w:val="9"/>
        </w:numPr>
        <w:ind w:left="720" w:hanging="720"/>
        <w:rPr/>
      </w:pPr>
      <w:r>
        <w:t xml:space="preserve">Decisiones de arquitectura</w:t>
      </w:r>
    </w:p>
    <w:p>
      <w:pPr>
        <w:rPr/>
      </w:pPr>
      <w:r>
        <w:rPr/>
        <w:t xml:space="preserve">Durante el Sprint 1 se tomaron varias decisiones de arquitectura al contrastar las alternativas con las restricciones técnicas y de coste de los servicios de AWS. La Tabla 8 las resume junto con las alternativas consideradas y su motivo.</w:t>
      </w:r>
    </w:p>
    <w:p>
      <w:pPr>
        <w:keepNext w:val="1"/>
        <w:spacing w:after="120" w:before="120" w:line="360" w:lineRule="auto"/>
        <w:ind w:left="0" w:right="0" w:firstLine="0"/>
        <w:jc w:val="both"/>
        <w:rPr/>
      </w:pPr>
      <w:r>
        <w:rPr>
          <w:rFonts w:ascii="Calibri" w:cs="Calibri" w:eastAsia="Calibri" w:hAnsi="Calibri"/>
          <w:b w:val="1"/>
          <w:bCs w:val="1"/>
          <w:i w:val="0"/>
          <w:iCs w:val="0"/>
          <w:color w:val="000000"/>
          <w:sz w:val="24"/>
          <w:szCs w:val="24"/>
        </w:rPr>
        <w:t xml:space="preserve">Tabla </w:t>
      </w:r>
      <w:r>
        <w:rPr>
          <w:rFonts w:ascii="Calibri" w:cs="Calibri" w:eastAsia="Calibri" w:hAnsi="Calibri"/>
          <w:b w:val="1"/>
          <w:bCs w:val="1"/>
          <w:i w:val="0"/>
          <w:iCs w:val="0"/>
          <w:color w:val="000000"/>
          <w:sz w:val="24"/>
          <w:szCs w:val="24"/>
        </w:rPr>
        <w:fldChar w:fldCharType="begin"/>
      </w:r>
      <w:r>
        <w:rPr>
          <w:rFonts w:ascii="Calibri" w:cs="Calibri" w:eastAsia="Calibri" w:hAnsi="Calibri"/>
          <w:b w:val="1"/>
          <w:bCs w:val="1"/>
          <w:i w:val="0"/>
          <w:iCs w:val="0"/>
          <w:color w:val="000000"/>
          <w:sz w:val="24"/>
          <w:szCs w:val="24"/>
        </w:rPr>
        <w:instrText xml:space="preserve"> SEQ Tabla \* ARABIC </w:instrText>
      </w:r>
      <w:r>
        <w:rPr>
          <w:rFonts w:ascii="Calibri" w:cs="Calibri" w:eastAsia="Calibri" w:hAnsi="Calibri"/>
          <w:b w:val="1"/>
          <w:bCs w:val="1"/>
          <w:i w:val="0"/>
          <w:iCs w:val="0"/>
          <w:color w:val="000000"/>
          <w:sz w:val="24"/>
          <w:szCs w:val="24"/>
        </w:rPr>
        <w:fldChar w:fldCharType="separate"/>
      </w:r>
      <w:r>
        <w:rPr>
          <w:rFonts w:ascii="Calibri" w:cs="Calibri" w:eastAsia="Calibri" w:hAnsi="Calibri"/>
          <w:b w:val="1"/>
          <w:bCs w:val="1"/>
          <w:i w:val="0"/>
          <w:iCs w:val="0"/>
          <w:color w:val="000000"/>
          <w:sz w:val="24"/>
          <w:szCs w:val="24"/>
        </w:rPr>
        <w:t>8</w:t>
      </w:r>
      <w:r>
        <w:rPr>
          <w:rFonts w:ascii="Calibri" w:cs="Calibri" w:eastAsia="Calibri" w:hAnsi="Calibri"/>
          <w:b w:val="1"/>
          <w:bCs w:val="1"/>
          <w:i w:val="0"/>
          <w:iCs w:val="0"/>
          <w:color w:val="000000"/>
          <w:sz w:val="24"/>
          <w:szCs w:val="24"/>
        </w:rPr>
        <w:fldChar w:fldCharType="end"/>
      </w:r>
      <w:r>
        <w:rPr>
          <w:rFonts w:ascii="Calibri" w:cs="Calibri" w:eastAsia="Calibri" w:hAnsi="Calibri"/>
          <w:b w:val="1"/>
          <w:bCs w:val="1"/>
          <w:i w:val="0"/>
          <w:iCs w:val="0"/>
          <w:color w:val="000000"/>
          <w:sz w:val="24"/>
          <w:szCs w:val="24"/>
        </w:rPr>
        <w:t xml:space="preserve">.</w:t>
      </w:r>
      <w:r>
        <w:rPr>
          <w:rFonts w:ascii="Calibri" w:cs="Calibri" w:eastAsia="Calibri" w:hAnsi="Calibri"/>
          <w:b w:val="0"/>
          <w:bCs w:val="0"/>
          <w:i w:val="1"/>
          <w:iCs w:val="1"/>
          <w:color w:val="000000"/>
          <w:sz w:val="24"/>
          <w:szCs w:val="24"/>
        </w:rPr>
        <w:t xml:space="preserve"> Decisiones de arquitectura y alternativas consideradas.</w:t>
      </w:r>
    </w:p>
    <w:tbl>
      <w:tblPr>
        <w:tblStyle w:val="Table3"/>
        <w:tblW w:w="9776"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1500"/>
        <w:gridCol w:w="2500"/>
        <w:gridCol w:w="2300"/>
        <w:gridCol w:w="3476"/>
      </w:tblGrid>
      <w:tr>
        <w:trPr>
          <w:cantSplit w:val="1"/>
          <w:tblHeader w:val="1"/>
        </w:trPr>
        <w:tc>
          <w:tcPr>
            <w:tcW w:w="1500" w:type="dxa"/>
          </w:tcPr>
          <w:p>
            <w:pPr>
              <w:spacing w:before="0" w:after="0" w:line="276" w:lineRule="auto"/>
              <w:jc w:val="left"/>
              <w:rPr>
                <w:sz w:val="20"/>
                <w:szCs w:val="20"/>
              </w:rPr>
            </w:pPr>
            <w:r>
              <w:rPr>
                <w:b w:val="1"/>
                <w:bCs w:val="1"/>
                <w:sz w:val="20"/>
                <w:szCs w:val="20"/>
              </w:rPr>
              <w:t xml:space="preserve">Aspecto</w:t>
            </w:r>
          </w:p>
        </w:tc>
        <w:tc>
          <w:tcPr>
            <w:tcW w:w="2500" w:type="dxa"/>
          </w:tcPr>
          <w:p>
            <w:pPr>
              <w:spacing w:before="0" w:after="0" w:line="276" w:lineRule="auto"/>
              <w:jc w:val="left"/>
              <w:rPr>
                <w:sz w:val="20"/>
                <w:szCs w:val="20"/>
              </w:rPr>
            </w:pPr>
            <w:r>
              <w:rPr>
                <w:b w:val="1"/>
                <w:bCs w:val="1"/>
                <w:sz w:val="20"/>
                <w:szCs w:val="20"/>
              </w:rPr>
              <w:t xml:space="preserve">Decisión</w:t>
            </w:r>
          </w:p>
        </w:tc>
        <w:tc>
          <w:tcPr>
            <w:tcW w:w="2300" w:type="dxa"/>
          </w:tcPr>
          <w:p>
            <w:pPr>
              <w:spacing w:before="0" w:after="0" w:line="276" w:lineRule="auto"/>
              <w:jc w:val="left"/>
              <w:rPr>
                <w:sz w:val="20"/>
                <w:szCs w:val="20"/>
              </w:rPr>
            </w:pPr>
            <w:r>
              <w:rPr>
                <w:b w:val="1"/>
                <w:bCs w:val="1"/>
                <w:sz w:val="20"/>
                <w:szCs w:val="20"/>
              </w:rPr>
              <w:t xml:space="preserve">Alternativas consideradas</w:t>
            </w:r>
          </w:p>
        </w:tc>
        <w:tc>
          <w:tcPr>
            <w:tcW w:w="3476" w:type="dxa"/>
          </w:tcPr>
          <w:p>
            <w:pPr>
              <w:spacing w:before="0" w:after="0" w:line="276" w:lineRule="auto"/>
              <w:jc w:val="left"/>
              <w:rPr>
                <w:sz w:val="20"/>
                <w:szCs w:val="20"/>
              </w:rPr>
            </w:pPr>
            <w:r>
              <w:rPr>
                <w:b w:val="1"/>
                <w:bCs w:val="1"/>
                <w:sz w:val="20"/>
                <w:szCs w:val="20"/>
              </w:rPr>
              <w:t xml:space="preserve">Motivo</w:t>
            </w:r>
          </w:p>
        </w:tc>
      </w:tr>
      <w:tr>
        <w:trPr>
          <w:cantSplit w:val="1"/>
        </w:trPr>
        <w:tc>
          <w:tcPr>
            <w:tcW w:w="1500" w:type="dxa"/>
          </w:tcPr>
          <w:p>
            <w:pPr>
              <w:spacing w:before="0" w:after="0" w:line="276" w:lineRule="auto"/>
              <w:jc w:val="left"/>
              <w:rPr>
                <w:sz w:val="20"/>
                <w:szCs w:val="20"/>
              </w:rPr>
            </w:pPr>
            <w:r>
              <w:rPr>
                <w:sz w:val="20"/>
                <w:szCs w:val="20"/>
              </w:rPr>
              <w:t xml:space="preserve">Cuenta de AWS</w:t>
            </w:r>
          </w:p>
        </w:tc>
        <w:tc>
          <w:tcPr>
            <w:tcW w:w="2500" w:type="dxa"/>
          </w:tcPr>
          <w:p>
            <w:pPr>
              <w:spacing w:before="0" w:after="0" w:line="276" w:lineRule="auto"/>
              <w:jc w:val="left"/>
              <w:rPr>
                <w:sz w:val="20"/>
                <w:szCs w:val="20"/>
              </w:rPr>
            </w:pPr>
            <w:r>
              <w:rPr>
                <w:sz w:val="20"/>
                <w:szCs w:val="20"/>
              </w:rPr>
              <w:t xml:space="preserve">El cliente conecta su propia cuenta mediante un rol IAM con External ID (D-18)</w:t>
            </w:r>
          </w:p>
        </w:tc>
        <w:tc>
          <w:tcPr>
            <w:tcW w:w="2300" w:type="dxa"/>
          </w:tcPr>
          <w:p>
            <w:pPr>
              <w:spacing w:before="0" w:after="0" w:line="276" w:lineRule="auto"/>
              <w:jc w:val="left"/>
              <w:rPr>
                <w:sz w:val="20"/>
                <w:szCs w:val="20"/>
              </w:rPr>
            </w:pPr>
            <w:r>
              <w:rPr>
                <w:sz w:val="20"/>
                <w:szCs w:val="20"/>
              </w:rPr>
              <w:t xml:space="preserve">Una cuenta por cliente creada por la plataforma con AWS Organizations; claves de acceso del cliente</w:t>
            </w:r>
          </w:p>
        </w:tc>
        <w:tc>
          <w:tcPr>
            <w:tcW w:w="3476" w:type="dxa"/>
          </w:tcPr>
          <w:p>
            <w:pPr>
              <w:spacing w:before="0" w:after="0" w:line="276" w:lineRule="auto"/>
              <w:jc w:val="left"/>
              <w:rPr>
                <w:sz w:val="20"/>
                <w:szCs w:val="20"/>
              </w:rPr>
            </w:pPr>
            <w:r>
              <w:rPr>
                <w:sz w:val="20"/>
                <w:szCs w:val="20"/>
              </w:rPr>
              <w:t xml:space="preserve">La cuota de cuentas por organización es baja, cerrar una cuenta tarda 90 días y toda la facturación llegaría a la plataforma. El rol con External ID es el patrón habitual del sector y evita guardar credenciales permanentes.</w:t>
            </w:r>
          </w:p>
        </w:tc>
      </w:tr>
      <w:tr>
        <w:trPr>
          <w:cantSplit w:val="1"/>
        </w:trPr>
        <w:tc>
          <w:tcPr>
            <w:tcW w:w="1500" w:type="dxa"/>
          </w:tcPr>
          <w:p>
            <w:pPr>
              <w:spacing w:before="0" w:after="0" w:line="276" w:lineRule="auto"/>
              <w:jc w:val="left"/>
              <w:rPr>
                <w:sz w:val="20"/>
                <w:szCs w:val="20"/>
              </w:rPr>
            </w:pPr>
            <w:r>
              <w:rPr>
                <w:sz w:val="20"/>
                <w:szCs w:val="20"/>
              </w:rPr>
              <w:t xml:space="preserve">Portal web</w:t>
            </w:r>
          </w:p>
        </w:tc>
        <w:tc>
          <w:tcPr>
            <w:tcW w:w="2500" w:type="dxa"/>
          </w:tcPr>
          <w:p>
            <w:pPr>
              <w:spacing w:before="0" w:after="0" w:line="276" w:lineRule="auto"/>
              <w:jc w:val="left"/>
              <w:rPr>
                <w:sz w:val="20"/>
                <w:szCs w:val="20"/>
              </w:rPr>
            </w:pPr>
            <w:r>
              <w:rPr>
                <w:sz w:val="20"/>
                <w:szCs w:val="20"/>
              </w:rPr>
              <w:t xml:space="preserve">Angular 22</w:t>
            </w:r>
          </w:p>
        </w:tc>
        <w:tc>
          <w:tcPr>
            <w:tcW w:w="2300" w:type="dxa"/>
          </w:tcPr>
          <w:p>
            <w:pPr>
              <w:spacing w:before="0" w:after="0" w:line="276" w:lineRule="auto"/>
              <w:jc w:val="left"/>
              <w:rPr>
                <w:sz w:val="20"/>
                <w:szCs w:val="20"/>
              </w:rPr>
            </w:pPr>
            <w:r>
              <w:rPr>
                <w:sz w:val="20"/>
                <w:szCs w:val="20"/>
              </w:rPr>
              <w:t xml:space="preserve">React</w:t>
            </w:r>
          </w:p>
        </w:tc>
        <w:tc>
          <w:tcPr>
            <w:tcW w:w="3476" w:type="dxa"/>
          </w:tcPr>
          <w:p>
            <w:pPr>
              <w:spacing w:before="0" w:after="0" w:line="276" w:lineRule="auto"/>
              <w:jc w:val="left"/>
              <w:rPr>
                <w:sz w:val="20"/>
                <w:szCs w:val="20"/>
              </w:rPr>
            </w:pPr>
            <w:r>
              <w:rPr>
                <w:sz w:val="20"/>
                <w:szCs w:val="20"/>
              </w:rPr>
              <w:t xml:space="preserve">Framework completo con enrutado, guardas, interceptores HTTP y formularios reactivos integrados, que encaja con el formulario dinámico del catálogo y con la arquitectura del backend (se detalla a continuación).</w:t>
            </w:r>
          </w:p>
        </w:tc>
      </w:tr>
      <w:tr>
        <w:trPr>
          <w:cantSplit w:val="1"/>
        </w:trPr>
        <w:tc>
          <w:tcPr>
            <w:tcW w:w="1500" w:type="dxa"/>
          </w:tcPr>
          <w:p>
            <w:pPr>
              <w:spacing w:before="0" w:after="0" w:line="276" w:lineRule="auto"/>
              <w:jc w:val="left"/>
              <w:rPr>
                <w:sz w:val="20"/>
                <w:szCs w:val="20"/>
              </w:rPr>
            </w:pPr>
            <w:r>
              <w:rPr>
                <w:sz w:val="20"/>
                <w:szCs w:val="20"/>
              </w:rPr>
              <w:t xml:space="preserve">Cómputo del backend</w:t>
            </w:r>
          </w:p>
        </w:tc>
        <w:tc>
          <w:tcPr>
            <w:tcW w:w="2500" w:type="dxa"/>
          </w:tcPr>
          <w:p>
            <w:pPr>
              <w:spacing w:before="0" w:after="0" w:line="276" w:lineRule="auto"/>
              <w:jc w:val="left"/>
              <w:rPr>
                <w:sz w:val="20"/>
                <w:szCs w:val="20"/>
              </w:rPr>
            </w:pPr>
            <w:r>
              <w:rPr>
                <w:sz w:val="20"/>
                <w:szCs w:val="20"/>
              </w:rPr>
              <w:t xml:space="preserve">Auto Scaling Group de instancias EC2 que ejecutan la imagen con Docker detrás de un ALB, con despliegue por </w:t>
            </w:r>
            <w:r>
              <w:rPr>
                <w:i w:val="1"/>
                <w:iCs w:val="1"/>
                <w:sz w:val="20"/>
                <w:szCs w:val="20"/>
              </w:rPr>
              <w:t xml:space="preserve">instance refresh</w:t>
            </w:r>
            <w:r>
              <w:rPr>
                <w:sz w:val="20"/>
                <w:szCs w:val="20"/>
              </w:rPr>
              <w:t xml:space="preserve"> y vuelta atrás automática (D-23)</w:t>
            </w:r>
          </w:p>
        </w:tc>
        <w:tc>
          <w:tcPr>
            <w:tcW w:w="2300" w:type="dxa"/>
          </w:tcPr>
          <w:p>
            <w:pPr>
              <w:spacing w:before="0" w:after="0" w:line="276" w:lineRule="auto"/>
              <w:jc w:val="left"/>
              <w:rPr>
                <w:sz w:val="20"/>
                <w:szCs w:val="20"/>
              </w:rPr>
            </w:pPr>
            <w:r>
              <w:rPr>
                <w:sz w:val="20"/>
                <w:szCs w:val="20"/>
              </w:rPr>
              <w:t xml:space="preserve">Orquestadores de contenedores (Kubernetes, Amazon ECS), AWS App Runner, AWS Lambda y Elastic Beanstalk</w:t>
            </w:r>
          </w:p>
        </w:tc>
        <w:tc>
          <w:tcPr>
            <w:tcW w:w="3476" w:type="dxa"/>
          </w:tcPr>
          <w:p>
            <w:pPr>
              <w:spacing w:before="0" w:after="0" w:line="276" w:lineRule="auto"/>
              <w:jc w:val="left"/>
              <w:rPr>
                <w:sz w:val="20"/>
                <w:szCs w:val="20"/>
              </w:rPr>
            </w:pPr>
            <w:r>
              <w:rPr>
                <w:sz w:val="20"/>
                <w:szCs w:val="20"/>
              </w:rPr>
              <w:t xml:space="preserve">Control directo de la capacidad y coste predecible con instancias de la familia t3, sin una capa de orquestación adicional que mantener (apartado 2.2.1). App Runner no admite clientes nuevos desde el 30/04/2026, Lambda obligaría a modificar el código del cliente y Elastic Beanstalk ofrece menos control.</w:t>
            </w:r>
          </w:p>
        </w:tc>
      </w:tr>
      <w:tr>
        <w:trPr>
          <w:cantSplit w:val="1"/>
        </w:trPr>
        <w:tc>
          <w:tcPr>
            <w:tcW w:w="1500" w:type="dxa"/>
          </w:tcPr>
          <w:p>
            <w:pPr>
              <w:spacing w:before="0" w:after="0" w:line="276" w:lineRule="auto"/>
              <w:jc w:val="left"/>
              <w:rPr>
                <w:sz w:val="20"/>
                <w:szCs w:val="20"/>
              </w:rPr>
            </w:pPr>
            <w:r>
              <w:rPr>
                <w:sz w:val="20"/>
                <w:szCs w:val="20"/>
              </w:rPr>
              <w:t xml:space="preserve">Observabilidad</w:t>
            </w:r>
          </w:p>
        </w:tc>
        <w:tc>
          <w:tcPr>
            <w:tcW w:w="2500" w:type="dxa"/>
          </w:tcPr>
          <w:p>
            <w:pPr>
              <w:spacing w:before="0" w:after="0" w:line="276" w:lineRule="auto"/>
              <w:jc w:val="left"/>
              <w:rPr>
                <w:sz w:val="20"/>
                <w:szCs w:val="20"/>
              </w:rPr>
            </w:pPr>
            <w:r>
              <w:rPr>
                <w:sz w:val="20"/>
                <w:szCs w:val="20"/>
              </w:rPr>
              <w:t xml:space="preserve">Servicios nativos de AWS como componentes opcionales de cada plantilla: Amazon CloudWatch (métricas, registros y alarmas), CloudWatch RUM y AWS X-Ray</w:t>
            </w:r>
          </w:p>
        </w:tc>
        <w:tc>
          <w:tcPr>
            <w:tcW w:w="2300" w:type="dxa"/>
          </w:tcPr>
          <w:p>
            <w:pPr>
              <w:spacing w:before="0" w:after="0" w:line="276" w:lineRule="auto"/>
              <w:jc w:val="left"/>
              <w:rPr>
                <w:sz w:val="20"/>
                <w:szCs w:val="20"/>
              </w:rPr>
            </w:pPr>
            <w:r>
              <w:rPr>
                <w:sz w:val="20"/>
                <w:szCs w:val="20"/>
              </w:rPr>
              <w:t xml:space="preserve">Prometheus y Grafana desplegados por la plataforma</w:t>
            </w:r>
          </w:p>
        </w:tc>
        <w:tc>
          <w:tcPr>
            <w:tcW w:w="3476" w:type="dxa"/>
          </w:tcPr>
          <w:p>
            <w:pPr>
              <w:spacing w:before="0" w:after="0" w:line="276" w:lineRule="auto"/>
              <w:jc w:val="left"/>
              <w:rPr>
                <w:sz w:val="20"/>
                <w:szCs w:val="20"/>
              </w:rPr>
            </w:pPr>
            <w:r>
              <w:rPr>
                <w:sz w:val="20"/>
                <w:szCs w:val="20"/>
              </w:rPr>
              <w:t xml:space="preserve">Cubren los tres pilares de la observabilidad (apartado 2.2.4) como servicios gestionados y de pago por uso: no hay servidores de monitorización que desplegar, actualizar ni proteger en la cuenta del cliente, se integran de forma nativa con EC2, ALB y CloudFront, y se activan con variables de Terraform.</w:t>
            </w:r>
          </w:p>
        </w:tc>
      </w:tr>
      <w:tr>
        <w:trPr>
          <w:cantSplit w:val="1"/>
        </w:trPr>
        <w:tc>
          <w:tcPr>
            <w:tcW w:w="1500" w:type="dxa"/>
          </w:tcPr>
          <w:p>
            <w:pPr>
              <w:spacing w:before="0" w:after="0" w:line="276" w:lineRule="auto"/>
              <w:jc w:val="left"/>
              <w:rPr>
                <w:sz w:val="20"/>
                <w:szCs w:val="20"/>
              </w:rPr>
            </w:pPr>
            <w:r>
              <w:rPr>
                <w:sz w:val="20"/>
                <w:szCs w:val="20"/>
              </w:rPr>
              <w:t xml:space="preserve">Base de datos</w:t>
            </w:r>
          </w:p>
        </w:tc>
        <w:tc>
          <w:tcPr>
            <w:tcW w:w="2500" w:type="dxa"/>
          </w:tcPr>
          <w:p>
            <w:pPr>
              <w:spacing w:before="0" w:after="0" w:line="276" w:lineRule="auto"/>
              <w:jc w:val="left"/>
              <w:rPr>
                <w:sz w:val="20"/>
                <w:szCs w:val="20"/>
              </w:rPr>
            </w:pPr>
            <w:r>
              <w:rPr>
                <w:sz w:val="20"/>
                <w:szCs w:val="20"/>
              </w:rPr>
              <w:t xml:space="preserve">Fuera del alcance del MVP (D-19); se añadirá como componente opcional de las plantillas con Spring Boot</w:t>
            </w:r>
          </w:p>
        </w:tc>
        <w:tc>
          <w:tcPr>
            <w:tcW w:w="2300" w:type="dxa"/>
          </w:tcPr>
          <w:p>
            <w:pPr>
              <w:spacing w:before="0" w:after="0" w:line="276" w:lineRule="auto"/>
              <w:jc w:val="left"/>
              <w:rPr>
                <w:sz w:val="20"/>
                <w:szCs w:val="20"/>
              </w:rPr>
            </w:pPr>
            <w:r>
              <w:rPr>
                <w:sz w:val="20"/>
                <w:szCs w:val="20"/>
              </w:rPr>
              <w:t xml:space="preserve">Incluir una base de datos gestionada desde la primera versión</w:t>
            </w:r>
          </w:p>
        </w:tc>
        <w:tc>
          <w:tcPr>
            <w:tcW w:w="3476" w:type="dxa"/>
          </w:tcPr>
          <w:p>
            <w:pPr>
              <w:spacing w:before="0" w:after="0" w:line="276" w:lineRule="auto"/>
              <w:jc w:val="left"/>
              <w:rPr>
                <w:sz w:val="20"/>
                <w:szCs w:val="20"/>
              </w:rPr>
            </w:pPr>
            <w:r>
              <w:rPr>
                <w:sz w:val="20"/>
                <w:szCs w:val="20"/>
              </w:rPr>
              <w:t xml:space="preserve">Concentrar el MVP en el ciclo de despliegue de aplicaciones; la base de datos no cambia la arquitectura del pipeline y puede añadirse después como opción.</w:t>
            </w:r>
          </w:p>
        </w:tc>
      </w:tr>
    </w:tbl>
    <w:p>
      <w:pPr>
        <w:spacing w:after="0" w:line="276" w:lineRule="auto"/>
        <w:ind w:left="-113" w:right="-215" w:firstLine="0"/>
        <w:jc w:val="center"/>
        <w:rPr>
          <w:color w:val="595959"/>
          <w:sz w:val="19"/>
          <w:szCs w:val="19"/>
        </w:rPr>
      </w:pPr>
      <w:r>
        <w:rPr>
          <w:color w:val="595959"/>
          <w:sz w:val="19"/>
          <w:szCs w:val="19"/>
        </w:rPr>
        <w:t xml:space="preserve">Fuente: Elaboración propia.</w:t>
      </w:r>
    </w:p>
    <w:p>
      <w:pPr>
        <w:rPr/>
      </w:pPr>
      <w:r>
        <w:rPr/>
        <w:t xml:space="preserve">En el caso del portal, el desarrollo se inició en Angular en lugar de React, que era la opción prevista en la propuesta inicial, y se decidió mantenerlo tras evaluar su encaje con el alcance y la arquitectura de la plataforma:</w:t>
      </w:r>
    </w:p>
    <w:p>
      <w:pPr>
        <w:numPr>
          <w:ilvl w:val="0"/>
          <w:numId w:val="1"/>
        </w:numPr>
        <w:ind w:left="720" w:hanging="360"/>
        <w:rPr/>
      </w:pPr>
      <w:r>
        <w:rPr>
          <w:b w:val="1"/>
          <w:bCs w:val="1"/>
        </w:rPr>
        <w:t xml:space="preserve">Framework completo frente a librería de interfaz:</w:t>
      </w:r>
      <w:r>
        <w:rPr/>
        <w:t xml:space="preserve"> Angular incluye de serie el enrutado con guardas por rol, un cliente HTTP con interceptores (que la plataforma usa para añadir el JWT a cada petición y cerrar la sesión ante una respuesta 401), formularios reactivos e inyección de dependencias. Con React, cada una de estas piezas requiere elegir e integrar librerías de terceros, lo que aumenta las dependencias que hay que mantener.</w:t>
      </w:r>
    </w:p>
    <w:p>
      <w:pPr>
        <w:numPr>
          <w:ilvl w:val="0"/>
          <w:numId w:val="1"/>
        </w:numPr>
        <w:ind w:left="720" w:hanging="360"/>
        <w:rPr/>
      </w:pPr>
      <w:r>
        <w:rPr>
          <w:b w:val="1"/>
          <w:bCs w:val="1"/>
        </w:rPr>
        <w:t xml:space="preserve">Formularios dinámicos y tipados:</w:t>
      </w:r>
      <w:r>
        <w:rPr/>
        <w:t xml:space="preserve"> el catálogo de plantillas genera formularios con campos condicionales y validaciones. Los formularios reactivos de Angular, junto con TypeScript en modo estricto y la comprobación estricta de plantillas, detectan en compilación las incoherencias de tipos entre el catálogo, el formulario y el contrato de la API.</w:t>
      </w:r>
    </w:p>
    <w:p>
      <w:pPr>
        <w:numPr>
          <w:ilvl w:val="0"/>
          <w:numId w:val="1"/>
        </w:numPr>
        <w:ind w:left="720" w:hanging="360"/>
        <w:rPr/>
      </w:pPr>
      <w:r>
        <w:rPr>
          <w:b w:val="1"/>
          <w:bCs w:val="1"/>
        </w:rPr>
        <w:t xml:space="preserve">Coherencia con el backend:</w:t>
      </w:r>
      <w:r>
        <w:rPr/>
        <w:t xml:space="preserve"> la organización del portal en servicios con inyección de dependencias es análoga a la de Spring Boot, lo que facilita que ambos integrantes trabajen sobre los dos lados del contrato de la API.</w:t>
      </w:r>
    </w:p>
    <w:p>
      <w:pPr>
        <w:numPr>
          <w:ilvl w:val="0"/>
          <w:numId w:val="1"/>
        </w:numPr>
        <w:ind w:left="720" w:hanging="360"/>
        <w:rPr/>
      </w:pPr>
      <w:r>
        <w:rPr>
          <w:b w:val="1"/>
          <w:bCs w:val="1"/>
        </w:rPr>
        <w:t xml:space="preserve">Mantenimiento a largo plazo:</w:t>
      </w:r>
      <w:r>
        <w:rPr/>
        <w:t xml:space="preserve"> Angular impone una estructura de proyecto común y sigue un calendario de versiones predecible, con herramientas de migración automática (</w:t>
      </w:r>
      <w:r>
        <w:rPr>
          <w:rFonts w:ascii="Consolas" w:hAnsi="Consolas" w:cs="Consolas"/>
          <w:sz w:val="21"/>
          <w:szCs w:val="21"/>
        </w:rPr>
        <w:t xml:space="preserve">ng update</w:t>
      </w:r>
      <w:r>
        <w:rPr/>
        <w:t xml:space="preserve">). Esto reduce el coste de mantener la plataforma, un requisito clave para un producto dirigido a PYMEs (RNF-06).</w:t>
      </w:r>
    </w:p>
    <w:p>
      <w:pPr>
        <w:rPr/>
      </w:pPr>
    </w:p>
    <w:p>
      <w:pPr>
        <w:pStyle w:val="Heading3"/>
        <w:numPr>
          <w:ilvl w:val="2"/>
          <w:numId w:val="9"/>
        </w:numPr>
        <w:ind w:left="720" w:hanging="720"/>
        <w:rPr/>
      </w:pPr>
      <w:r>
        <w:t xml:space="preserve">API de orquestación</w:t>
      </w:r>
    </w:p>
    <w:p>
      <w:pPr>
        <w:rPr/>
      </w:pPr>
      <w:r>
        <w:rPr/>
        <w:t xml:space="preserve">La API sigue una arquitectura por capas basada en puertos y adaptadores:</w:t>
      </w:r>
    </w:p>
    <w:p>
      <w:pPr>
        <w:numPr>
          <w:ilvl w:val="0"/>
          <w:numId w:val="1"/>
        </w:numPr>
        <w:ind w:left="720" w:hanging="360"/>
        <w:rPr/>
      </w:pPr>
      <w:r>
        <w:rPr>
          <w:b w:val="1"/>
          <w:bCs w:val="1"/>
        </w:rPr>
        <w:t xml:space="preserve">domain:</w:t>
      </w:r>
      <w:r>
        <w:rPr/>
        <w:t xml:space="preserve"> entidades (usuario, cliente, aplicación y release) y reglas de transición de estado de los releases.</w:t>
      </w:r>
    </w:p>
    <w:p>
      <w:pPr>
        <w:numPr>
          <w:ilvl w:val="0"/>
          <w:numId w:val="1"/>
        </w:numPr>
        <w:ind w:left="720" w:hanging="360"/>
        <w:rPr/>
      </w:pPr>
      <w:r>
        <w:rPr>
          <w:b w:val="1"/>
          <w:bCs w:val="1"/>
        </w:rPr>
        <w:t xml:space="preserve">application:</w:t>
      </w:r>
      <w:r>
        <w:rPr/>
        <w:t xml:space="preserve"> servicios de casos de uso (registro, conexiones, aplicaciones, releases y webhook) y puertos que abstraen los sistemas externos.</w:t>
      </w:r>
    </w:p>
    <w:p>
      <w:pPr>
        <w:numPr>
          <w:ilvl w:val="0"/>
          <w:numId w:val="1"/>
        </w:numPr>
        <w:ind w:left="720" w:hanging="360"/>
        <w:rPr/>
      </w:pPr>
      <w:r>
        <w:rPr>
          <w:b w:val="1"/>
          <w:bCs w:val="1"/>
        </w:rPr>
        <w:t xml:space="preserve">infrastructure:</w:t>
      </w:r>
      <w:r>
        <w:rPr/>
        <w:t xml:space="preserve"> adaptadores de esos puertos, reales (STS, Step Functions, DynamoDB y GitHub) y simulados (memoria), además de la seguridad y la configuración.</w:t>
      </w:r>
    </w:p>
    <w:p>
      <w:pPr>
        <w:numPr>
          <w:ilvl w:val="0"/>
          <w:numId w:val="1"/>
        </w:numPr>
        <w:ind w:left="720" w:hanging="360"/>
        <w:rPr/>
      </w:pPr>
      <w:r>
        <w:rPr>
          <w:b w:val="1"/>
          <w:bCs w:val="1"/>
        </w:rPr>
        <w:t xml:space="preserve">web:</w:t>
      </w:r>
      <w:r>
        <w:rPr/>
        <w:t xml:space="preserve"> controladores REST, objetos de transferencia y gestión de errores en formato ProblemDetail (RFC 9457).</w:t>
      </w:r>
    </w:p>
    <w:p>
      <w:pPr>
        <w:rPr/>
      </w:pPr>
      <w:r>
        <w:rPr/>
        <w:t xml:space="preserve">Los puertos principales son </w:t>
      </w:r>
      <w:r>
        <w:rPr>
          <w:rFonts w:ascii="Consolas" w:hAnsi="Consolas" w:cs="Consolas"/>
          <w:sz w:val="21"/>
          <w:szCs w:val="21"/>
        </w:rPr>
        <w:t xml:space="preserve">GithubGateway</w:t>
      </w:r>
      <w:r>
        <w:rPr/>
        <w:t xml:space="preserve">, </w:t>
      </w:r>
      <w:r>
        <w:rPr>
          <w:rFonts w:ascii="Consolas" w:hAnsi="Consolas" w:cs="Consolas"/>
          <w:sz w:val="21"/>
          <w:szCs w:val="21"/>
        </w:rPr>
        <w:t xml:space="preserve">AwsConnectionVerifier</w:t>
      </w:r>
      <w:r>
        <w:rPr/>
        <w:t xml:space="preserve"> y </w:t>
      </w:r>
      <w:r>
        <w:rPr>
          <w:rFonts w:ascii="Consolas" w:hAnsi="Consolas" w:cs="Consolas"/>
          <w:sz w:val="21"/>
          <w:szCs w:val="21"/>
        </w:rPr>
        <w:t xml:space="preserve">DeploymentOrchestrator</w:t>
      </w:r>
      <w:r>
        <w:rPr/>
        <w:t xml:space="preserve">. Cada uno tiene una implementación real y otra simulada, que se eligen de forma independiente con dos variables de entorno: </w:t>
      </w:r>
      <w:r>
        <w:rPr>
          <w:rFonts w:ascii="Consolas" w:hAnsi="Consolas" w:cs="Consolas"/>
          <w:sz w:val="21"/>
          <w:szCs w:val="21"/>
        </w:rPr>
        <w:t xml:space="preserve">RELEASY_AWS_MODE</w:t>
      </w:r>
      <w:r>
        <w:rPr/>
        <w:t xml:space="preserve"> y </w:t>
      </w:r>
      <w:r>
        <w:rPr>
          <w:rFonts w:ascii="Consolas" w:hAnsi="Consolas" w:cs="Consolas"/>
          <w:sz w:val="21"/>
          <w:szCs w:val="21"/>
        </w:rPr>
        <w:t xml:space="preserve">RELEASY_GITHUB_MODE</w:t>
      </w:r>
      <w:r>
        <w:rPr/>
        <w:t xml:space="preserve">. Así fue posible desarrollar y probar el flujo completo sin coste en AWS y, a la vez, integrar GitHub de forma real (D-25).</w:t>
      </w:r>
    </w:p>
    <w:p>
      <w:pPr>
        <w:rPr/>
      </w:pPr>
      <w:r>
        <w:rPr/>
        <w:t xml:space="preserve">La autenticación es propia de la plataforma: el registro y el inicio de sesión devuelven un JWT firmado con HMAC-SHA256, válido durante 12 horas, que incluye el identificador del usuario, su rol y su cliente. El servidor no guarda sesiones: valida la firma y la caducidad del token en cada petición. Las credenciales del administrador no se guardan en la base de datos, sino en la configuración del entorno (D-24). La Tabla 9 resume la API REST.</w:t>
      </w:r>
    </w:p>
    <w:p>
      <w:pPr>
        <w:keepNext w:val="1"/>
        <w:spacing w:after="120" w:before="120" w:line="360" w:lineRule="auto"/>
        <w:ind w:left="0" w:right="0" w:firstLine="0"/>
        <w:jc w:val="both"/>
        <w:rPr/>
      </w:pPr>
      <w:r>
        <w:rPr>
          <w:rFonts w:ascii="Calibri" w:cs="Calibri" w:eastAsia="Calibri" w:hAnsi="Calibri"/>
          <w:b w:val="1"/>
          <w:bCs w:val="1"/>
          <w:i w:val="0"/>
          <w:iCs w:val="0"/>
          <w:color w:val="000000"/>
          <w:sz w:val="24"/>
          <w:szCs w:val="24"/>
        </w:rPr>
        <w:t xml:space="preserve">Tabla </w:t>
      </w:r>
      <w:r>
        <w:rPr>
          <w:rFonts w:ascii="Calibri" w:cs="Calibri" w:eastAsia="Calibri" w:hAnsi="Calibri"/>
          <w:b w:val="1"/>
          <w:bCs w:val="1"/>
          <w:i w:val="0"/>
          <w:iCs w:val="0"/>
          <w:color w:val="000000"/>
          <w:sz w:val="24"/>
          <w:szCs w:val="24"/>
        </w:rPr>
        <w:fldChar w:fldCharType="begin"/>
      </w:r>
      <w:r>
        <w:rPr>
          <w:rFonts w:ascii="Calibri" w:cs="Calibri" w:eastAsia="Calibri" w:hAnsi="Calibri"/>
          <w:b w:val="1"/>
          <w:bCs w:val="1"/>
          <w:i w:val="0"/>
          <w:iCs w:val="0"/>
          <w:color w:val="000000"/>
          <w:sz w:val="24"/>
          <w:szCs w:val="24"/>
        </w:rPr>
        <w:instrText xml:space="preserve"> SEQ Tabla \* ARABIC </w:instrText>
      </w:r>
      <w:r>
        <w:rPr>
          <w:rFonts w:ascii="Calibri" w:cs="Calibri" w:eastAsia="Calibri" w:hAnsi="Calibri"/>
          <w:b w:val="1"/>
          <w:bCs w:val="1"/>
          <w:i w:val="0"/>
          <w:iCs w:val="0"/>
          <w:color w:val="000000"/>
          <w:sz w:val="24"/>
          <w:szCs w:val="24"/>
        </w:rPr>
        <w:fldChar w:fldCharType="separate"/>
      </w:r>
      <w:r>
        <w:rPr>
          <w:rFonts w:ascii="Calibri" w:cs="Calibri" w:eastAsia="Calibri" w:hAnsi="Calibri"/>
          <w:b w:val="1"/>
          <w:bCs w:val="1"/>
          <w:i w:val="0"/>
          <w:iCs w:val="0"/>
          <w:color w:val="000000"/>
          <w:sz w:val="24"/>
          <w:szCs w:val="24"/>
        </w:rPr>
        <w:t>9</w:t>
      </w:r>
      <w:r>
        <w:rPr>
          <w:rFonts w:ascii="Calibri" w:cs="Calibri" w:eastAsia="Calibri" w:hAnsi="Calibri"/>
          <w:b w:val="1"/>
          <w:bCs w:val="1"/>
          <w:i w:val="0"/>
          <w:iCs w:val="0"/>
          <w:color w:val="000000"/>
          <w:sz w:val="24"/>
          <w:szCs w:val="24"/>
        </w:rPr>
        <w:fldChar w:fldCharType="end"/>
      </w:r>
      <w:r>
        <w:rPr>
          <w:rFonts w:ascii="Calibri" w:cs="Calibri" w:eastAsia="Calibri" w:hAnsi="Calibri"/>
          <w:b w:val="1"/>
          <w:bCs w:val="1"/>
          <w:i w:val="0"/>
          <w:iCs w:val="0"/>
          <w:color w:val="000000"/>
          <w:sz w:val="24"/>
          <w:szCs w:val="24"/>
        </w:rPr>
        <w:t xml:space="preserve">.</w:t>
      </w:r>
      <w:r>
        <w:rPr>
          <w:rFonts w:ascii="Calibri" w:cs="Calibri" w:eastAsia="Calibri" w:hAnsi="Calibri"/>
          <w:b w:val="0"/>
          <w:bCs w:val="0"/>
          <w:i w:val="1"/>
          <w:iCs w:val="1"/>
          <w:color w:val="000000"/>
          <w:sz w:val="24"/>
          <w:szCs w:val="24"/>
        </w:rPr>
        <w:t xml:space="preserve"> Rutas principales de la API REST.</w:t>
      </w:r>
    </w:p>
    <w:tbl>
      <w:tblPr>
        <w:tblStyle w:val="Table3"/>
        <w:tblW w:w="9776"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3900"/>
        <w:gridCol w:w="1900"/>
        <w:gridCol w:w="3976"/>
      </w:tblGrid>
      <w:tr>
        <w:trPr>
          <w:cantSplit w:val="1"/>
          <w:tblHeader w:val="1"/>
        </w:trPr>
        <w:tc>
          <w:tcPr>
            <w:tcW w:w="3900" w:type="dxa"/>
          </w:tcPr>
          <w:p>
            <w:pPr>
              <w:spacing w:before="0" w:after="0" w:line="276" w:lineRule="auto"/>
              <w:jc w:val="left"/>
              <w:rPr>
                <w:sz w:val="20"/>
                <w:szCs w:val="20"/>
              </w:rPr>
            </w:pPr>
            <w:r>
              <w:rPr>
                <w:b w:val="1"/>
                <w:bCs w:val="1"/>
                <w:sz w:val="20"/>
                <w:szCs w:val="20"/>
              </w:rPr>
              <w:t xml:space="preserve">Ruta</w:t>
            </w:r>
          </w:p>
        </w:tc>
        <w:tc>
          <w:tcPr>
            <w:tcW w:w="1900" w:type="dxa"/>
          </w:tcPr>
          <w:p>
            <w:pPr>
              <w:spacing w:before="0" w:after="0" w:line="276" w:lineRule="auto"/>
              <w:jc w:val="left"/>
              <w:rPr>
                <w:sz w:val="20"/>
                <w:szCs w:val="20"/>
              </w:rPr>
            </w:pPr>
            <w:r>
              <w:rPr>
                <w:b w:val="1"/>
                <w:bCs w:val="1"/>
                <w:sz w:val="20"/>
                <w:szCs w:val="20"/>
              </w:rPr>
              <w:t xml:space="preserve">Acceso</w:t>
            </w:r>
          </w:p>
        </w:tc>
        <w:tc>
          <w:tcPr>
            <w:tcW w:w="3976" w:type="dxa"/>
          </w:tcPr>
          <w:p>
            <w:pPr>
              <w:spacing w:before="0" w:after="0" w:line="276" w:lineRule="auto"/>
              <w:jc w:val="left"/>
              <w:rPr>
                <w:sz w:val="20"/>
                <w:szCs w:val="20"/>
              </w:rPr>
            </w:pPr>
            <w:r>
              <w:rPr>
                <w:b w:val="1"/>
                <w:bCs w:val="1"/>
                <w:sz w:val="20"/>
                <w:szCs w:val="20"/>
              </w:rPr>
              <w:t xml:space="preserve">Función</w:t>
            </w:r>
          </w:p>
        </w:tc>
      </w:tr>
      <w:tr>
        <w:trPr>
          <w:cantSplit w:val="1"/>
        </w:trPr>
        <w:tc>
          <w:tcPr>
            <w:tcW w:w="3900" w:type="dxa"/>
          </w:tcPr>
          <w:p>
            <w:pPr>
              <w:spacing w:before="0" w:after="0" w:line="276" w:lineRule="auto"/>
              <w:jc w:val="left"/>
              <w:rPr>
                <w:sz w:val="20"/>
                <w:szCs w:val="20"/>
              </w:rPr>
            </w:pPr>
            <w:r>
              <w:rPr>
                <w:rFonts w:ascii="Consolas" w:hAnsi="Consolas" w:cs="Consolas"/>
                <w:sz w:val="17"/>
                <w:szCs w:val="17"/>
              </w:rPr>
              <w:t xml:space="preserve">POST /api/auth/register</w:t>
            </w:r>
            <w:r>
              <w:rPr>
                <w:sz w:val="20"/>
                <w:szCs w:val="20"/>
              </w:rPr>
              <w:t xml:space="preserve"> y </w:t>
            </w:r>
            <w:r>
              <w:rPr>
                <w:rFonts w:ascii="Consolas" w:hAnsi="Consolas" w:cs="Consolas"/>
                <w:sz w:val="17"/>
                <w:szCs w:val="17"/>
              </w:rPr>
              <w:t xml:space="preserve">/login</w:t>
            </w:r>
          </w:p>
        </w:tc>
        <w:tc>
          <w:tcPr>
            <w:tcW w:w="1900" w:type="dxa"/>
          </w:tcPr>
          <w:p>
            <w:pPr>
              <w:spacing w:before="0" w:after="0" w:line="276" w:lineRule="auto"/>
              <w:jc w:val="left"/>
              <w:rPr>
                <w:sz w:val="20"/>
                <w:szCs w:val="20"/>
              </w:rPr>
            </w:pPr>
            <w:r>
              <w:rPr>
                <w:sz w:val="20"/>
                <w:szCs w:val="20"/>
              </w:rPr>
              <w:t xml:space="preserve">Público</w:t>
            </w:r>
          </w:p>
        </w:tc>
        <w:tc>
          <w:tcPr>
            <w:tcW w:w="3976" w:type="dxa"/>
          </w:tcPr>
          <w:p>
            <w:pPr>
              <w:spacing w:before="0" w:after="0" w:line="276" w:lineRule="auto"/>
              <w:jc w:val="left"/>
              <w:rPr>
                <w:sz w:val="20"/>
                <w:szCs w:val="20"/>
              </w:rPr>
            </w:pPr>
            <w:r>
              <w:rPr>
                <w:sz w:val="20"/>
                <w:szCs w:val="20"/>
              </w:rPr>
              <w:t xml:space="preserve">Registro e inicio de sesión; devuelven un JWT.</w:t>
            </w:r>
          </w:p>
        </w:tc>
      </w:tr>
      <w:tr>
        <w:trPr>
          <w:cantSplit w:val="1"/>
        </w:trPr>
        <w:tc>
          <w:tcPr>
            <w:tcW w:w="3900" w:type="dxa"/>
          </w:tcPr>
          <w:p>
            <w:pPr>
              <w:spacing w:before="0" w:after="0" w:line="276" w:lineRule="auto"/>
              <w:jc w:val="left"/>
              <w:rPr>
                <w:sz w:val="20"/>
                <w:szCs w:val="20"/>
              </w:rPr>
            </w:pPr>
            <w:r>
              <w:rPr>
                <w:rFonts w:ascii="Consolas" w:hAnsi="Consolas" w:cs="Consolas"/>
                <w:sz w:val="17"/>
                <w:szCs w:val="17"/>
              </w:rPr>
              <w:t xml:space="preserve">GET /api/me/tenant</w:t>
            </w:r>
          </w:p>
        </w:tc>
        <w:tc>
          <w:tcPr>
            <w:tcW w:w="1900" w:type="dxa"/>
          </w:tcPr>
          <w:p>
            <w:pPr>
              <w:spacing w:before="0" w:after="0" w:line="276" w:lineRule="auto"/>
              <w:jc w:val="left"/>
              <w:rPr>
                <w:sz w:val="20"/>
                <w:szCs w:val="20"/>
              </w:rPr>
            </w:pPr>
            <w:r>
              <w:rPr>
                <w:sz w:val="20"/>
                <w:szCs w:val="20"/>
              </w:rPr>
              <w:t xml:space="preserve">CLIENT</w:t>
            </w:r>
          </w:p>
        </w:tc>
        <w:tc>
          <w:tcPr>
            <w:tcW w:w="3976" w:type="dxa"/>
          </w:tcPr>
          <w:p>
            <w:pPr>
              <w:spacing w:before="0" w:after="0" w:line="276" w:lineRule="auto"/>
              <w:jc w:val="left"/>
              <w:rPr>
                <w:sz w:val="20"/>
                <w:szCs w:val="20"/>
              </w:rPr>
            </w:pPr>
            <w:r>
              <w:rPr>
                <w:sz w:val="20"/>
                <w:szCs w:val="20"/>
              </w:rPr>
              <w:t xml:space="preserve">Datos del cliente y estado de sus conexiones.</w:t>
            </w:r>
          </w:p>
        </w:tc>
      </w:tr>
      <w:tr>
        <w:trPr>
          <w:cantSplit w:val="1"/>
        </w:trPr>
        <w:tc>
          <w:tcPr>
            <w:tcW w:w="3900" w:type="dxa"/>
          </w:tcPr>
          <w:p>
            <w:pPr>
              <w:spacing w:before="0" w:after="0" w:line="276" w:lineRule="auto"/>
              <w:jc w:val="left"/>
              <w:rPr>
                <w:sz w:val="20"/>
                <w:szCs w:val="20"/>
              </w:rPr>
            </w:pPr>
            <w:r>
              <w:rPr>
                <w:rFonts w:ascii="Consolas" w:hAnsi="Consolas" w:cs="Consolas"/>
                <w:sz w:val="17"/>
                <w:szCs w:val="17"/>
              </w:rPr>
              <w:t xml:space="preserve">POST</w:t>
            </w:r>
            <w:r>
              <w:rPr>
                <w:sz w:val="20"/>
                <w:szCs w:val="20"/>
              </w:rPr>
              <w:t xml:space="preserve"> y </w:t>
            </w:r>
            <w:r>
              <w:rPr>
                <w:rFonts w:ascii="Consolas" w:hAnsi="Consolas" w:cs="Consolas"/>
                <w:sz w:val="17"/>
                <w:szCs w:val="17"/>
              </w:rPr>
              <w:t xml:space="preserve">DELETE /api/me/aws-connection</w:t>
            </w:r>
          </w:p>
        </w:tc>
        <w:tc>
          <w:tcPr>
            <w:tcW w:w="1900" w:type="dxa"/>
          </w:tcPr>
          <w:p>
            <w:pPr>
              <w:spacing w:before="0" w:after="0" w:line="276" w:lineRule="auto"/>
              <w:jc w:val="left"/>
              <w:rPr>
                <w:sz w:val="20"/>
                <w:szCs w:val="20"/>
              </w:rPr>
            </w:pPr>
            <w:r>
              <w:rPr>
                <w:sz w:val="20"/>
                <w:szCs w:val="20"/>
              </w:rPr>
              <w:t xml:space="preserve">CLIENT</w:t>
            </w:r>
          </w:p>
        </w:tc>
        <w:tc>
          <w:tcPr>
            <w:tcW w:w="3976" w:type="dxa"/>
          </w:tcPr>
          <w:p>
            <w:pPr>
              <w:spacing w:before="0" w:after="0" w:line="276" w:lineRule="auto"/>
              <w:jc w:val="left"/>
              <w:rPr>
                <w:sz w:val="20"/>
                <w:szCs w:val="20"/>
              </w:rPr>
            </w:pPr>
            <w:r>
              <w:rPr>
                <w:sz w:val="20"/>
                <w:szCs w:val="20"/>
              </w:rPr>
              <w:t xml:space="preserve">Conectar o desconectar la cuenta de AWS.</w:t>
            </w:r>
          </w:p>
        </w:tc>
      </w:tr>
      <w:tr>
        <w:trPr>
          <w:cantSplit w:val="1"/>
        </w:trPr>
        <w:tc>
          <w:tcPr>
            <w:tcW w:w="3900" w:type="dxa"/>
          </w:tcPr>
          <w:p>
            <w:pPr>
              <w:spacing w:before="0" w:after="0" w:line="276" w:lineRule="auto"/>
              <w:jc w:val="left"/>
              <w:rPr>
                <w:sz w:val="20"/>
                <w:szCs w:val="20"/>
              </w:rPr>
            </w:pPr>
            <w:r>
              <w:rPr>
                <w:rFonts w:ascii="Consolas" w:hAnsi="Consolas" w:cs="Consolas"/>
                <w:sz w:val="17"/>
                <w:szCs w:val="17"/>
              </w:rPr>
              <w:t xml:space="preserve">POST</w:t>
            </w:r>
            <w:r>
              <w:rPr>
                <w:sz w:val="20"/>
                <w:szCs w:val="20"/>
              </w:rPr>
              <w:t xml:space="preserve"> y </w:t>
            </w:r>
            <w:r>
              <w:rPr>
                <w:rFonts w:ascii="Consolas" w:hAnsi="Consolas" w:cs="Consolas"/>
                <w:sz w:val="17"/>
                <w:szCs w:val="17"/>
              </w:rPr>
              <w:t xml:space="preserve">DELETE /api/me/github-connection</w:t>
            </w:r>
          </w:p>
        </w:tc>
        <w:tc>
          <w:tcPr>
            <w:tcW w:w="1900" w:type="dxa"/>
          </w:tcPr>
          <w:p>
            <w:pPr>
              <w:spacing w:before="0" w:after="0" w:line="276" w:lineRule="auto"/>
              <w:jc w:val="left"/>
              <w:rPr>
                <w:sz w:val="20"/>
                <w:szCs w:val="20"/>
              </w:rPr>
            </w:pPr>
            <w:r>
              <w:rPr>
                <w:sz w:val="20"/>
                <w:szCs w:val="20"/>
              </w:rPr>
              <w:t xml:space="preserve">CLIENT</w:t>
            </w:r>
          </w:p>
        </w:tc>
        <w:tc>
          <w:tcPr>
            <w:tcW w:w="3976" w:type="dxa"/>
          </w:tcPr>
          <w:p>
            <w:pPr>
              <w:spacing w:before="0" w:after="0" w:line="276" w:lineRule="auto"/>
              <w:jc w:val="left"/>
              <w:rPr>
                <w:sz w:val="20"/>
                <w:szCs w:val="20"/>
              </w:rPr>
            </w:pPr>
            <w:r>
              <w:rPr>
                <w:sz w:val="20"/>
                <w:szCs w:val="20"/>
              </w:rPr>
              <w:t xml:space="preserve">Conectar GitHub (con el código OAuth) o desconectarlo.</w:t>
            </w:r>
          </w:p>
        </w:tc>
      </w:tr>
      <w:tr>
        <w:trPr>
          <w:cantSplit w:val="1"/>
        </w:trPr>
        <w:tc>
          <w:tcPr>
            <w:tcW w:w="3900" w:type="dxa"/>
          </w:tcPr>
          <w:p>
            <w:pPr>
              <w:spacing w:before="0" w:after="0" w:line="276" w:lineRule="auto"/>
              <w:jc w:val="left"/>
              <w:rPr>
                <w:sz w:val="20"/>
                <w:szCs w:val="20"/>
              </w:rPr>
            </w:pPr>
            <w:r>
              <w:rPr>
                <w:rFonts w:ascii="Consolas" w:hAnsi="Consolas" w:cs="Consolas"/>
                <w:sz w:val="17"/>
                <w:szCs w:val="17"/>
              </w:rPr>
              <w:t xml:space="preserve">GET /api/me/github/repositories</w:t>
            </w:r>
          </w:p>
        </w:tc>
        <w:tc>
          <w:tcPr>
            <w:tcW w:w="1900" w:type="dxa"/>
          </w:tcPr>
          <w:p>
            <w:pPr>
              <w:spacing w:before="0" w:after="0" w:line="276" w:lineRule="auto"/>
              <w:jc w:val="left"/>
              <w:rPr>
                <w:sz w:val="20"/>
                <w:szCs w:val="20"/>
              </w:rPr>
            </w:pPr>
            <w:r>
              <w:rPr>
                <w:sz w:val="20"/>
                <w:szCs w:val="20"/>
              </w:rPr>
              <w:t xml:space="preserve">CLIENT</w:t>
            </w:r>
          </w:p>
        </w:tc>
        <w:tc>
          <w:tcPr>
            <w:tcW w:w="3976" w:type="dxa"/>
          </w:tcPr>
          <w:p>
            <w:pPr>
              <w:spacing w:before="0" w:after="0" w:line="276" w:lineRule="auto"/>
              <w:jc w:val="left"/>
              <w:rPr>
                <w:sz w:val="20"/>
                <w:szCs w:val="20"/>
              </w:rPr>
            </w:pPr>
            <w:r>
              <w:rPr>
                <w:sz w:val="20"/>
                <w:szCs w:val="20"/>
              </w:rPr>
              <w:t xml:space="preserve">Repositorios y ramas accesibles para la GitHub App.</w:t>
            </w:r>
          </w:p>
        </w:tc>
      </w:tr>
      <w:tr>
        <w:trPr>
          <w:cantSplit w:val="1"/>
        </w:trPr>
        <w:tc>
          <w:tcPr>
            <w:tcW w:w="3900" w:type="dxa"/>
          </w:tcPr>
          <w:p>
            <w:pPr>
              <w:spacing w:before="0" w:after="0" w:line="276" w:lineRule="auto"/>
              <w:jc w:val="left"/>
              <w:rPr>
                <w:sz w:val="20"/>
                <w:szCs w:val="20"/>
              </w:rPr>
            </w:pPr>
            <w:r>
              <w:rPr>
                <w:rFonts w:ascii="Consolas" w:hAnsi="Consolas" w:cs="Consolas"/>
                <w:sz w:val="17"/>
                <w:szCs w:val="17"/>
              </w:rPr>
              <w:t xml:space="preserve">GET</w:t>
            </w:r>
            <w:r>
              <w:rPr>
                <w:sz w:val="20"/>
                <w:szCs w:val="20"/>
              </w:rPr>
              <w:t xml:space="preserve"> y </w:t>
            </w:r>
            <w:r>
              <w:rPr>
                <w:rFonts w:ascii="Consolas" w:hAnsi="Consolas" w:cs="Consolas"/>
                <w:sz w:val="17"/>
                <w:szCs w:val="17"/>
              </w:rPr>
              <w:t xml:space="preserve">POST /api/me/apps</w:t>
            </w:r>
          </w:p>
        </w:tc>
        <w:tc>
          <w:tcPr>
            <w:tcW w:w="1900" w:type="dxa"/>
          </w:tcPr>
          <w:p>
            <w:pPr>
              <w:spacing w:before="0" w:after="0" w:line="276" w:lineRule="auto"/>
              <w:jc w:val="left"/>
              <w:rPr>
                <w:sz w:val="20"/>
                <w:szCs w:val="20"/>
              </w:rPr>
            </w:pPr>
            <w:r>
              <w:rPr>
                <w:sz w:val="20"/>
                <w:szCs w:val="20"/>
              </w:rPr>
              <w:t xml:space="preserve">CLIENT</w:t>
            </w:r>
          </w:p>
        </w:tc>
        <w:tc>
          <w:tcPr>
            <w:tcW w:w="3976" w:type="dxa"/>
          </w:tcPr>
          <w:p>
            <w:pPr>
              <w:spacing w:before="0" w:after="0" w:line="276" w:lineRule="auto"/>
              <w:jc w:val="left"/>
              <w:rPr>
                <w:sz w:val="20"/>
                <w:szCs w:val="20"/>
              </w:rPr>
            </w:pPr>
            <w:r>
              <w:rPr>
                <w:sz w:val="20"/>
                <w:szCs w:val="20"/>
              </w:rPr>
              <w:t xml:space="preserve">Listar y crear aplicaciones.</w:t>
            </w:r>
          </w:p>
        </w:tc>
      </w:tr>
      <w:tr>
        <w:trPr>
          <w:cantSplit w:val="1"/>
        </w:trPr>
        <w:tc>
          <w:tcPr>
            <w:tcW w:w="3900" w:type="dxa"/>
          </w:tcPr>
          <w:p>
            <w:pPr>
              <w:spacing w:before="0" w:after="0" w:line="276" w:lineRule="auto"/>
              <w:jc w:val="left"/>
              <w:rPr>
                <w:sz w:val="20"/>
                <w:szCs w:val="20"/>
              </w:rPr>
            </w:pPr>
            <w:r>
              <w:rPr>
                <w:rFonts w:ascii="Consolas" w:hAnsi="Consolas" w:cs="Consolas"/>
                <w:sz w:val="17"/>
                <w:szCs w:val="17"/>
              </w:rPr>
              <w:t xml:space="preserve">GET /api/templates</w:t>
            </w:r>
            <w:r>
              <w:rPr>
                <w:sz w:val="20"/>
                <w:szCs w:val="20"/>
              </w:rPr>
              <w:t xml:space="preserve"> y </w:t>
            </w:r>
            <w:r>
              <w:rPr>
                <w:rFonts w:ascii="Consolas" w:hAnsi="Consolas" w:cs="Consolas"/>
                <w:sz w:val="17"/>
                <w:szCs w:val="17"/>
              </w:rPr>
              <w:t xml:space="preserve">/{id}</w:t>
            </w:r>
          </w:p>
        </w:tc>
        <w:tc>
          <w:tcPr>
            <w:tcW w:w="1900" w:type="dxa"/>
          </w:tcPr>
          <w:p>
            <w:pPr>
              <w:spacing w:before="0" w:after="0" w:line="276" w:lineRule="auto"/>
              <w:jc w:val="left"/>
              <w:rPr>
                <w:sz w:val="20"/>
                <w:szCs w:val="20"/>
              </w:rPr>
            </w:pPr>
            <w:r>
              <w:rPr>
                <w:sz w:val="20"/>
                <w:szCs w:val="20"/>
              </w:rPr>
              <w:t xml:space="preserve">Usuario autenticado</w:t>
            </w:r>
          </w:p>
        </w:tc>
        <w:tc>
          <w:tcPr>
            <w:tcW w:w="3976" w:type="dxa"/>
          </w:tcPr>
          <w:p>
            <w:pPr>
              <w:spacing w:before="0" w:after="0" w:line="276" w:lineRule="auto"/>
              <w:jc w:val="left"/>
              <w:rPr>
                <w:sz w:val="20"/>
                <w:szCs w:val="20"/>
              </w:rPr>
            </w:pPr>
            <w:r>
              <w:rPr>
                <w:sz w:val="20"/>
                <w:szCs w:val="20"/>
              </w:rPr>
              <w:t xml:space="preserve">Catálogo de plantillas.</w:t>
            </w:r>
          </w:p>
        </w:tc>
      </w:tr>
      <w:tr>
        <w:trPr>
          <w:cantSplit w:val="1"/>
        </w:trPr>
        <w:tc>
          <w:tcPr>
            <w:tcW w:w="3900" w:type="dxa"/>
          </w:tcPr>
          <w:p>
            <w:pPr>
              <w:spacing w:before="0" w:after="0" w:line="276" w:lineRule="auto"/>
              <w:jc w:val="left"/>
              <w:rPr>
                <w:sz w:val="20"/>
                <w:szCs w:val="20"/>
              </w:rPr>
            </w:pPr>
            <w:r>
              <w:rPr>
                <w:rFonts w:ascii="Consolas" w:hAnsi="Consolas" w:cs="Consolas"/>
                <w:sz w:val="17"/>
                <w:szCs w:val="17"/>
              </w:rPr>
              <w:t xml:space="preserve">GET /api/tenants/**</w:t>
            </w:r>
          </w:p>
        </w:tc>
        <w:tc>
          <w:tcPr>
            <w:tcW w:w="1900" w:type="dxa"/>
          </w:tcPr>
          <w:p>
            <w:pPr>
              <w:spacing w:before="0" w:after="0" w:line="276" w:lineRule="auto"/>
              <w:jc w:val="left"/>
              <w:rPr>
                <w:sz w:val="20"/>
                <w:szCs w:val="20"/>
              </w:rPr>
            </w:pPr>
            <w:r>
              <w:rPr>
                <w:sz w:val="20"/>
                <w:szCs w:val="20"/>
              </w:rPr>
              <w:t xml:space="preserve">ADMIN</w:t>
            </w:r>
          </w:p>
        </w:tc>
        <w:tc>
          <w:tcPr>
            <w:tcW w:w="3976" w:type="dxa"/>
          </w:tcPr>
          <w:p>
            <w:pPr>
              <w:spacing w:before="0" w:after="0" w:line="276" w:lineRule="auto"/>
              <w:jc w:val="left"/>
              <w:rPr>
                <w:sz w:val="20"/>
                <w:szCs w:val="20"/>
              </w:rPr>
            </w:pPr>
            <w:r>
              <w:rPr>
                <w:sz w:val="20"/>
                <w:szCs w:val="20"/>
              </w:rPr>
              <w:t xml:space="preserve">Clientes y sus aplicaciones, en solo lectura.</w:t>
            </w:r>
          </w:p>
        </w:tc>
      </w:tr>
      <w:tr>
        <w:trPr>
          <w:cantSplit w:val="1"/>
        </w:trPr>
        <w:tc>
          <w:tcPr>
            <w:tcW w:w="3900" w:type="dxa"/>
          </w:tcPr>
          <w:p>
            <w:pPr>
              <w:spacing w:before="0" w:after="0" w:line="276" w:lineRule="auto"/>
              <w:jc w:val="left"/>
              <w:rPr>
                <w:sz w:val="20"/>
                <w:szCs w:val="20"/>
              </w:rPr>
            </w:pPr>
            <w:r>
              <w:rPr>
                <w:rFonts w:ascii="Consolas" w:hAnsi="Consolas" w:cs="Consolas"/>
                <w:sz w:val="17"/>
                <w:szCs w:val="17"/>
              </w:rPr>
              <w:t xml:space="preserve">GET /api/apps/{id}</w:t>
            </w:r>
            <w:r>
              <w:rPr>
                <w:sz w:val="20"/>
                <w:szCs w:val="20"/>
              </w:rPr>
              <w:t xml:space="preserve"> y </w:t>
            </w:r>
            <w:r>
              <w:rPr>
                <w:rFonts w:ascii="Consolas" w:hAnsi="Consolas" w:cs="Consolas"/>
                <w:sz w:val="17"/>
                <w:szCs w:val="17"/>
              </w:rPr>
              <w:t xml:space="preserve">/releases</w:t>
            </w:r>
          </w:p>
        </w:tc>
        <w:tc>
          <w:tcPr>
            <w:tcW w:w="1900" w:type="dxa"/>
          </w:tcPr>
          <w:p>
            <w:pPr>
              <w:spacing w:before="0" w:after="0" w:line="276" w:lineRule="auto"/>
              <w:jc w:val="left"/>
              <w:rPr>
                <w:sz w:val="20"/>
                <w:szCs w:val="20"/>
              </w:rPr>
            </w:pPr>
            <w:r>
              <w:rPr>
                <w:sz w:val="20"/>
                <w:szCs w:val="20"/>
              </w:rPr>
              <w:t xml:space="preserve">Propietario o ADMIN</w:t>
            </w:r>
          </w:p>
        </w:tc>
        <w:tc>
          <w:tcPr>
            <w:tcW w:w="3976" w:type="dxa"/>
          </w:tcPr>
          <w:p>
            <w:pPr>
              <w:spacing w:before="0" w:after="0" w:line="276" w:lineRule="auto"/>
              <w:jc w:val="left"/>
              <w:rPr>
                <w:sz w:val="20"/>
                <w:szCs w:val="20"/>
              </w:rPr>
            </w:pPr>
            <w:r>
              <w:rPr>
                <w:sz w:val="20"/>
                <w:szCs w:val="20"/>
              </w:rPr>
              <w:t xml:space="preserve">Detalle de una aplicación e historial de releases.</w:t>
            </w:r>
          </w:p>
        </w:tc>
      </w:tr>
      <w:tr>
        <w:trPr>
          <w:cantSplit w:val="1"/>
        </w:trPr>
        <w:tc>
          <w:tcPr>
            <w:tcW w:w="3900" w:type="dxa"/>
          </w:tcPr>
          <w:p>
            <w:pPr>
              <w:spacing w:before="0" w:after="0" w:line="276" w:lineRule="auto"/>
              <w:jc w:val="left"/>
              <w:rPr>
                <w:sz w:val="20"/>
                <w:szCs w:val="20"/>
              </w:rPr>
            </w:pPr>
            <w:r>
              <w:rPr>
                <w:rFonts w:ascii="Consolas" w:hAnsi="Consolas" w:cs="Consolas"/>
                <w:sz w:val="17"/>
                <w:szCs w:val="17"/>
              </w:rPr>
              <w:t xml:space="preserve">POST /api/webhooks/github</w:t>
            </w:r>
          </w:p>
        </w:tc>
        <w:tc>
          <w:tcPr>
            <w:tcW w:w="1900" w:type="dxa"/>
          </w:tcPr>
          <w:p>
            <w:pPr>
              <w:spacing w:before="0" w:after="0" w:line="276" w:lineRule="auto"/>
              <w:jc w:val="left"/>
              <w:rPr>
                <w:sz w:val="20"/>
                <w:szCs w:val="20"/>
              </w:rPr>
            </w:pPr>
            <w:r>
              <w:rPr>
                <w:sz w:val="20"/>
                <w:szCs w:val="20"/>
              </w:rPr>
              <w:t xml:space="preserve">GitHub (firma HMAC)</w:t>
            </w:r>
          </w:p>
        </w:tc>
        <w:tc>
          <w:tcPr>
            <w:tcW w:w="3976" w:type="dxa"/>
          </w:tcPr>
          <w:p>
            <w:pPr>
              <w:spacing w:before="0" w:after="0" w:line="276" w:lineRule="auto"/>
              <w:jc w:val="left"/>
              <w:rPr>
                <w:sz w:val="20"/>
                <w:szCs w:val="20"/>
              </w:rPr>
            </w:pPr>
            <w:r>
              <w:rPr>
                <w:sz w:val="20"/>
                <w:szCs w:val="20"/>
              </w:rPr>
              <w:t xml:space="preserve">Recepción de los eventos </w:t>
            </w:r>
            <w:r>
              <w:rPr>
                <w:i w:val="1"/>
                <w:iCs w:val="1"/>
                <w:sz w:val="20"/>
                <w:szCs w:val="20"/>
              </w:rPr>
              <w:t xml:space="preserve">push</w:t>
            </w:r>
            <w:r>
              <w:rPr>
                <w:sz w:val="20"/>
                <w:szCs w:val="20"/>
              </w:rPr>
              <w:t xml:space="preserve">.</w:t>
            </w:r>
          </w:p>
        </w:tc>
      </w:tr>
    </w:tbl>
    <w:p>
      <w:pPr>
        <w:spacing w:after="0" w:line="276" w:lineRule="auto"/>
        <w:ind w:left="-113" w:right="-215" w:firstLine="0"/>
        <w:jc w:val="center"/>
        <w:rPr>
          <w:color w:val="595959"/>
          <w:sz w:val="19"/>
          <w:szCs w:val="19"/>
        </w:rPr>
      </w:pPr>
      <w:r>
        <w:rPr>
          <w:color w:val="595959"/>
          <w:sz w:val="19"/>
          <w:szCs w:val="19"/>
        </w:rPr>
        <w:t xml:space="preserve">Fuente: Elaboración propia.</w:t>
      </w:r>
    </w:p>
    <w:p>
      <w:pPr>
        <w:rPr/>
      </w:pPr>
    </w:p>
    <w:p>
      <w:pPr>
        <w:pStyle w:val="Heading3"/>
        <w:numPr>
          <w:ilvl w:val="2"/>
          <w:numId w:val="9"/>
        </w:numPr>
        <w:ind w:left="720" w:hanging="720"/>
        <w:rPr/>
      </w:pPr>
      <w:r>
        <w:t xml:space="preserve">Conexión con la cuenta de AWS del cliente</w:t>
      </w:r>
    </w:p>
    <w:p>
      <w:pPr>
        <w:rPr/>
      </w:pPr>
      <w:r>
        <w:rPr/>
        <w:t xml:space="preserve">La conexión con AWS se basa en el patrón de rol entre cuentas con </w:t>
      </w:r>
      <w:r>
        <w:rPr>
          <w:i w:val="1"/>
          <w:iCs w:val="1"/>
        </w:rPr>
        <w:t xml:space="preserve">External ID</w:t>
      </w:r>
      <w:r>
        <w:rPr/>
        <w:t xml:space="preserve">, el mismo que emplean servicios como Datadog o Spacelift:</w:t>
      </w:r>
    </w:p>
    <w:p>
      <w:pPr>
        <w:numPr>
          <w:ilvl w:val="0"/>
          <w:numId w:val="1"/>
        </w:numPr>
        <w:ind w:left="720" w:hanging="360"/>
        <w:rPr/>
      </w:pPr>
      <w:r>
        <w:rPr/>
        <w:t xml:space="preserve">Al registrarse, cada cliente recibe un </w:t>
      </w:r>
      <w:r>
        <w:rPr>
          <w:b w:val="1"/>
          <w:bCs w:val="1"/>
        </w:rPr>
        <w:t xml:space="preserve">External ID</w:t>
      </w:r>
      <w:r>
        <w:rPr/>
        <w:t xml:space="preserve"> único (un UUID).</w:t>
      </w:r>
    </w:p>
    <w:p>
      <w:pPr>
        <w:numPr>
          <w:ilvl w:val="0"/>
          <w:numId w:val="1"/>
        </w:numPr>
        <w:ind w:left="720" w:hanging="360"/>
        <w:rPr/>
      </w:pPr>
      <w:r>
        <w:rPr/>
        <w:t xml:space="preserve">El portal le ofrece un enlace </w:t>
      </w:r>
      <w:r>
        <w:rPr>
          <w:i w:val="1"/>
          <w:iCs w:val="1"/>
        </w:rPr>
        <w:t xml:space="preserve">Quick-create</w:t>
      </w:r>
      <w:r>
        <w:rPr/>
        <w:t xml:space="preserve"> de CloudFormation que crea en su cuenta el rol </w:t>
      </w:r>
      <w:r>
        <w:rPr>
          <w:rFonts w:ascii="Consolas" w:hAnsi="Consolas" w:cs="Consolas"/>
          <w:sz w:val="21"/>
          <w:szCs w:val="21"/>
        </w:rPr>
        <w:t xml:space="preserve">ReleEasyDeployRole</w:t>
      </w:r>
      <w:r>
        <w:rPr/>
        <w:t xml:space="preserve">. Ese rol confía en la cuenta de la plataforma y exige el External ID del cliente.</w:t>
      </w:r>
    </w:p>
    <w:p>
      <w:pPr>
        <w:numPr>
          <w:ilvl w:val="0"/>
          <w:numId w:val="1"/>
        </w:numPr>
        <w:ind w:left="720" w:hanging="360"/>
        <w:rPr/>
      </w:pPr>
      <w:r>
        <w:rPr/>
        <w:t xml:space="preserve">El cliente pega en el portal el ARN del rol, y la API lo verifica con </w:t>
      </w:r>
      <w:r>
        <w:rPr>
          <w:rFonts w:ascii="Consolas" w:hAnsi="Consolas" w:cs="Consolas"/>
          <w:sz w:val="21"/>
          <w:szCs w:val="21"/>
        </w:rPr>
        <w:t xml:space="preserve">sts:AssumeRole</w:t>
      </w:r>
      <w:r>
        <w:rPr/>
        <w:t xml:space="preserve">.</w:t>
      </w:r>
    </w:p>
    <w:p>
      <w:pPr>
        <w:numPr>
          <w:ilvl w:val="0"/>
          <w:numId w:val="1"/>
        </w:numPr>
        <w:ind w:left="720" w:hanging="360"/>
        <w:rPr/>
      </w:pPr>
      <w:r>
        <w:rPr/>
        <w:t xml:space="preserve">En cada despliegue, el pipeline asume ese rol y obtiene credenciales temporales. Para revocar el acceso, al cliente le basta con borrar el stack.</w:t>
      </w:r>
    </w:p>
    <w:p>
      <w:pPr>
        <w:rPr/>
      </w:pPr>
      <w:r>
        <w:rPr/>
        <w:t xml:space="preserve">El External ID evita el problema del </w:t>
      </w:r>
      <w:r>
        <w:rPr>
          <w:i w:val="1"/>
          <w:iCs w:val="1"/>
        </w:rPr>
        <w:t xml:space="preserve">confused deputy</w:t>
      </w:r>
      <w:r>
        <w:rPr/>
        <w:t xml:space="preserve">: aunque alguien conociera el ARN del rol de otro cliente, no podría hacer que la plataforma actuara sobre esa cuenta, porque la petición no llevaría el External ID correcto. En el estado actual, la verificación con STS está implementada pero se ha probado en modo simulado; la plantilla de CloudFormation del rol forma parte del Sprint 2.</w:t>
      </w:r>
    </w:p>
    <w:p>
      <w:pPr>
        <w:rPr/>
      </w:pPr>
    </w:p>
    <w:p>
      <w:pPr>
        <w:pStyle w:val="Heading3"/>
        <w:numPr>
          <w:ilvl w:val="2"/>
          <w:numId w:val="9"/>
        </w:numPr>
        <w:ind w:left="720" w:hanging="720"/>
        <w:rPr/>
      </w:pPr>
      <w:r>
        <w:t xml:space="preserve">Integración con GitHub</w:t>
      </w:r>
    </w:p>
    <w:p>
      <w:pPr>
        <w:rPr/>
      </w:pPr>
      <w:r>
        <w:rPr/>
        <w:t xml:space="preserve">El acceso al código del cliente se realiza mediante una </w:t>
      </w:r>
      <w:r>
        <w:rPr>
          <w:b w:val="1"/>
          <w:bCs w:val="1"/>
        </w:rPr>
        <w:t xml:space="preserve">GitHub App</w:t>
      </w:r>
      <w:r>
        <w:rPr/>
        <w:t xml:space="preserve"> de la plataforma con permisos de solo lectura (Contents y Metadata). Frente a los tokens personales, la GitHub App ofrece acceso limitado a los repositorios que el cliente elige y tokens de instalación de una hora. La conexión sigue este flujo (D-26):</w:t>
      </w:r>
    </w:p>
    <w:p>
      <w:pPr>
        <w:numPr>
          <w:ilvl w:val="0"/>
          <w:numId w:val="1"/>
        </w:numPr>
        <w:ind w:left="720" w:hanging="360"/>
        <w:rPr/>
      </w:pPr>
      <w:r>
        <w:rPr/>
        <w:t xml:space="preserve">El portal genera un valor </w:t>
      </w:r>
      <w:r>
        <w:rPr>
          <w:rFonts w:ascii="Consolas" w:hAnsi="Consolas" w:cs="Consolas"/>
          <w:sz w:val="21"/>
          <w:szCs w:val="21"/>
        </w:rPr>
        <w:t xml:space="preserve">state</w:t>
      </w:r>
      <w:r>
        <w:rPr/>
        <w:t xml:space="preserve"> aleatorio y redirige al cliente a GitHub para instalar la aplicación.</w:t>
      </w:r>
    </w:p>
    <w:p>
      <w:pPr>
        <w:numPr>
          <w:ilvl w:val="0"/>
          <w:numId w:val="1"/>
        </w:numPr>
        <w:ind w:left="720" w:hanging="360"/>
        <w:rPr/>
      </w:pPr>
      <w:r>
        <w:rPr/>
        <w:t xml:space="preserve">El cliente elige los repositorios y autoriza a ReleEasy con su usuario (OAuth).</w:t>
      </w:r>
    </w:p>
    <w:p>
      <w:pPr>
        <w:numPr>
          <w:ilvl w:val="0"/>
          <w:numId w:val="1"/>
        </w:numPr>
        <w:ind w:left="720" w:hanging="360"/>
        <w:rPr/>
      </w:pPr>
      <w:r>
        <w:rPr/>
        <w:t xml:space="preserve">GitHub vuelve al portal con un código de autorización, el identificador de la instalación y el </w:t>
      </w:r>
      <w:r>
        <w:rPr>
          <w:rFonts w:ascii="Consolas" w:hAnsi="Consolas" w:cs="Consolas"/>
          <w:sz w:val="21"/>
          <w:szCs w:val="21"/>
        </w:rPr>
        <w:t xml:space="preserve">state</w:t>
      </w:r>
      <w:r>
        <w:rPr/>
        <w:t xml:space="preserve">, que el portal comprueba para evitar ataques CSRF.</w:t>
      </w:r>
    </w:p>
    <w:p>
      <w:pPr>
        <w:numPr>
          <w:ilvl w:val="0"/>
          <w:numId w:val="1"/>
        </w:numPr>
        <w:ind w:left="720" w:hanging="360"/>
        <w:rPr/>
      </w:pPr>
      <w:r>
        <w:rPr/>
        <w:t xml:space="preserve">La API canjea el código por un token del usuario, consulta sus instalaciones y </w:t>
      </w:r>
      <w:r>
        <w:rPr>
          <w:b w:val="1"/>
          <w:bCs w:val="1"/>
        </w:rPr>
        <w:t xml:space="preserve">solo acepta una instalación a la que ese usuario tenga acceso</w:t>
      </w:r>
      <w:r>
        <w:rPr/>
        <w:t xml:space="preserve">. El token del usuario no se guarda, y una misma instalación no puede pertenecer a dos clientes.</w:t>
      </w:r>
    </w:p>
    <w:p>
      <w:pPr>
        <w:rPr/>
      </w:pPr>
      <w:r>
        <w:rPr/>
        <w:t xml:space="preserve">Para leer repositorios y ramas, la API firma un JWT de la aplicación (RS256, nueve minutos de validez) con su clave privada y lo canjea por tokens de instalación, que guarda en memoria y renueva cinco minutos antes de que caduquen. Los eventos </w:t>
      </w:r>
      <w:r>
        <w:rPr>
          <w:i w:val="1"/>
          <w:iCs w:val="1"/>
        </w:rPr>
        <w:t xml:space="preserve">push</w:t>
      </w:r>
      <w:r>
        <w:rPr/>
        <w:t xml:space="preserve"> llegan al endpoint del webhook, que valida la firma HMAC-SHA256 y descarta los reenvíos de un commit que ya tenga un release no fallido (D-09).</w:t>
      </w:r>
    </w:p>
    <w:p>
      <w:pPr>
        <w:rPr/>
      </w:pPr>
      <w:r>
        <w:rPr/>
        <w:t xml:space="preserve">El 24/10/2026 se registró la GitHub App de desarrollo y se validó el flujo completo de conexión con GitHub real. Queda pendiente exponer el webhook con una URL pública para probar los despliegues por </w:t>
      </w:r>
      <w:r>
        <w:rPr>
          <w:i w:val="1"/>
          <w:iCs w:val="1"/>
        </w:rPr>
        <w:t xml:space="preserve">merge</w:t>
      </w:r>
      <w:r>
        <w:rPr/>
        <w:t xml:space="preserve">.</w:t>
      </w:r>
    </w:p>
    <w:p>
      <w:pPr>
        <w:rPr/>
      </w:pPr>
    </w:p>
    <w:p>
      <w:pPr>
        <w:pStyle w:val="Heading3"/>
        <w:numPr>
          <w:ilvl w:val="2"/>
          <w:numId w:val="9"/>
        </w:numPr>
        <w:ind w:left="720" w:hanging="720"/>
        <w:rPr/>
      </w:pPr>
      <w:r>
        <w:t xml:space="preserve">Catálogo de plantillas y estimación de costes</w:t>
      </w:r>
    </w:p>
    <w:p>
      <w:pPr>
        <w:rPr/>
      </w:pPr>
      <w:r>
        <w:rPr/>
        <w:t xml:space="preserve">El catálogo se define de forma declarativa en un único archivo del portal, que se exporta a JSON para la API. Ambos aplican la misma validación con los mismos mensajes, de modo que una solicitud no válida se rechaza también si no llega desde el portal. Cada plantilla declara su infraestructura base y sus componentes opcionales, que en el Sprint 2 se traducirán en variables de los módulos de Terraform (Tabla 10).</w:t>
      </w:r>
    </w:p>
    <w:p>
      <w:pPr>
        <w:keepNext w:val="1"/>
        <w:spacing w:after="120" w:before="120" w:line="360" w:lineRule="auto"/>
        <w:ind w:left="0" w:right="0" w:firstLine="0"/>
        <w:jc w:val="both"/>
        <w:rPr/>
      </w:pPr>
      <w:r>
        <w:rPr>
          <w:rFonts w:ascii="Calibri" w:cs="Calibri" w:eastAsia="Calibri" w:hAnsi="Calibri"/>
          <w:b w:val="1"/>
          <w:bCs w:val="1"/>
          <w:i w:val="0"/>
          <w:iCs w:val="0"/>
          <w:color w:val="000000"/>
          <w:sz w:val="24"/>
          <w:szCs w:val="24"/>
        </w:rPr>
        <w:t xml:space="preserve">Tabla </w:t>
      </w:r>
      <w:r>
        <w:rPr>
          <w:rFonts w:ascii="Calibri" w:cs="Calibri" w:eastAsia="Calibri" w:hAnsi="Calibri"/>
          <w:b w:val="1"/>
          <w:bCs w:val="1"/>
          <w:i w:val="0"/>
          <w:iCs w:val="0"/>
          <w:color w:val="000000"/>
          <w:sz w:val="24"/>
          <w:szCs w:val="24"/>
        </w:rPr>
        <w:fldChar w:fldCharType="begin"/>
      </w:r>
      <w:r>
        <w:rPr>
          <w:rFonts w:ascii="Calibri" w:cs="Calibri" w:eastAsia="Calibri" w:hAnsi="Calibri"/>
          <w:b w:val="1"/>
          <w:bCs w:val="1"/>
          <w:i w:val="0"/>
          <w:iCs w:val="0"/>
          <w:color w:val="000000"/>
          <w:sz w:val="24"/>
          <w:szCs w:val="24"/>
        </w:rPr>
        <w:instrText xml:space="preserve"> SEQ Tabla \* ARABIC </w:instrText>
      </w:r>
      <w:r>
        <w:rPr>
          <w:rFonts w:ascii="Calibri" w:cs="Calibri" w:eastAsia="Calibri" w:hAnsi="Calibri"/>
          <w:b w:val="1"/>
          <w:bCs w:val="1"/>
          <w:i w:val="0"/>
          <w:iCs w:val="0"/>
          <w:color w:val="000000"/>
          <w:sz w:val="24"/>
          <w:szCs w:val="24"/>
        </w:rPr>
        <w:fldChar w:fldCharType="separate"/>
      </w:r>
      <w:r>
        <w:rPr>
          <w:rFonts w:ascii="Calibri" w:cs="Calibri" w:eastAsia="Calibri" w:hAnsi="Calibri"/>
          <w:b w:val="1"/>
          <w:bCs w:val="1"/>
          <w:i w:val="0"/>
          <w:iCs w:val="0"/>
          <w:color w:val="000000"/>
          <w:sz w:val="24"/>
          <w:szCs w:val="24"/>
        </w:rPr>
        <w:t>10</w:t>
      </w:r>
      <w:r>
        <w:rPr>
          <w:rFonts w:ascii="Calibri" w:cs="Calibri" w:eastAsia="Calibri" w:hAnsi="Calibri"/>
          <w:b w:val="1"/>
          <w:bCs w:val="1"/>
          <w:i w:val="0"/>
          <w:iCs w:val="0"/>
          <w:color w:val="000000"/>
          <w:sz w:val="24"/>
          <w:szCs w:val="24"/>
        </w:rPr>
        <w:fldChar w:fldCharType="end"/>
      </w:r>
      <w:r>
        <w:rPr>
          <w:rFonts w:ascii="Calibri" w:cs="Calibri" w:eastAsia="Calibri" w:hAnsi="Calibri"/>
          <w:b w:val="1"/>
          <w:bCs w:val="1"/>
          <w:i w:val="0"/>
          <w:iCs w:val="0"/>
          <w:color w:val="000000"/>
          <w:sz w:val="24"/>
          <w:szCs w:val="24"/>
        </w:rPr>
        <w:t xml:space="preserve">.</w:t>
      </w:r>
      <w:r>
        <w:rPr>
          <w:rFonts w:ascii="Calibri" w:cs="Calibri" w:eastAsia="Calibri" w:hAnsi="Calibri"/>
          <w:b w:val="0"/>
          <w:bCs w:val="0"/>
          <w:i w:val="1"/>
          <w:iCs w:val="1"/>
          <w:color w:val="000000"/>
          <w:sz w:val="24"/>
          <w:szCs w:val="24"/>
        </w:rPr>
        <w:t xml:space="preserve"> Plantillas del catálogo y componentes opcionales.</w:t>
      </w:r>
    </w:p>
    <w:tbl>
      <w:tblPr>
        <w:tblStyle w:val="Table3"/>
        <w:tblW w:w="9776"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1800"/>
        <w:gridCol w:w="3700"/>
        <w:gridCol w:w="4276"/>
      </w:tblGrid>
      <w:tr>
        <w:trPr>
          <w:cantSplit w:val="1"/>
          <w:tblHeader w:val="1"/>
        </w:trPr>
        <w:tc>
          <w:tcPr>
            <w:tcW w:w="1800" w:type="dxa"/>
          </w:tcPr>
          <w:p>
            <w:pPr>
              <w:spacing w:before="0" w:after="0" w:line="276" w:lineRule="auto"/>
              <w:jc w:val="left"/>
              <w:rPr>
                <w:sz w:val="20"/>
                <w:szCs w:val="20"/>
              </w:rPr>
            </w:pPr>
            <w:r>
              <w:rPr>
                <w:b w:val="1"/>
                <w:bCs w:val="1"/>
                <w:sz w:val="20"/>
                <w:szCs w:val="20"/>
              </w:rPr>
              <w:t xml:space="preserve">Plantilla</w:t>
            </w:r>
          </w:p>
        </w:tc>
        <w:tc>
          <w:tcPr>
            <w:tcW w:w="3700" w:type="dxa"/>
          </w:tcPr>
          <w:p>
            <w:pPr>
              <w:spacing w:before="0" w:after="0" w:line="276" w:lineRule="auto"/>
              <w:jc w:val="left"/>
              <w:rPr>
                <w:sz w:val="20"/>
                <w:szCs w:val="20"/>
              </w:rPr>
            </w:pPr>
            <w:r>
              <w:rPr>
                <w:b w:val="1"/>
                <w:bCs w:val="1"/>
                <w:sz w:val="20"/>
                <w:szCs w:val="20"/>
              </w:rPr>
              <w:t xml:space="preserve">Infraestructura base</w:t>
            </w:r>
          </w:p>
        </w:tc>
        <w:tc>
          <w:tcPr>
            <w:tcW w:w="4276" w:type="dxa"/>
          </w:tcPr>
          <w:p>
            <w:pPr>
              <w:spacing w:before="0" w:after="0" w:line="276" w:lineRule="auto"/>
              <w:jc w:val="left"/>
              <w:rPr>
                <w:sz w:val="20"/>
                <w:szCs w:val="20"/>
              </w:rPr>
            </w:pPr>
            <w:r>
              <w:rPr>
                <w:b w:val="1"/>
                <w:bCs w:val="1"/>
                <w:sz w:val="20"/>
                <w:szCs w:val="20"/>
              </w:rPr>
              <w:t xml:space="preserve">Componentes opcionales</w:t>
            </w:r>
          </w:p>
        </w:tc>
      </w:tr>
      <w:tr>
        <w:trPr>
          <w:cantSplit w:val="1"/>
        </w:trPr>
        <w:tc>
          <w:tcPr>
            <w:tcW w:w="1800" w:type="dxa"/>
          </w:tcPr>
          <w:p>
            <w:pPr>
              <w:spacing w:before="0" w:after="0" w:line="276" w:lineRule="auto"/>
              <w:jc w:val="left"/>
              <w:rPr>
                <w:sz w:val="20"/>
                <w:szCs w:val="20"/>
              </w:rPr>
            </w:pPr>
            <w:r>
              <w:rPr>
                <w:sz w:val="20"/>
                <w:szCs w:val="20"/>
              </w:rPr>
              <w:t xml:space="preserve">Angular</w:t>
            </w:r>
          </w:p>
        </w:tc>
        <w:tc>
          <w:tcPr>
            <w:tcW w:w="3700" w:type="dxa"/>
          </w:tcPr>
          <w:p>
            <w:pPr>
              <w:spacing w:before="0" w:after="0" w:line="276" w:lineRule="auto"/>
              <w:jc w:val="left"/>
              <w:rPr>
                <w:sz w:val="20"/>
                <w:szCs w:val="20"/>
              </w:rPr>
            </w:pPr>
            <w:r>
              <w:rPr>
                <w:sz w:val="20"/>
                <w:szCs w:val="20"/>
              </w:rPr>
              <w:t xml:space="preserve">Bucket S3 privado servido por CloudFront con Origin Access Control (OAC)</w:t>
            </w:r>
          </w:p>
        </w:tc>
        <w:tc>
          <w:tcPr>
            <w:tcW w:w="4276" w:type="dxa"/>
          </w:tcPr>
          <w:p>
            <w:pPr>
              <w:spacing w:before="0" w:after="0" w:line="276" w:lineRule="auto"/>
              <w:jc w:val="left"/>
              <w:rPr>
                <w:sz w:val="20"/>
                <w:szCs w:val="20"/>
              </w:rPr>
            </w:pPr>
            <w:r>
              <w:rPr>
                <w:sz w:val="20"/>
                <w:szCs w:val="20"/>
              </w:rPr>
              <w:t xml:space="preserve">Alarmas de errores 4xx/5xx, CloudWatch RUM, AWS WAF y dominio propio (Route 53 y ACM)</w:t>
            </w:r>
          </w:p>
        </w:tc>
      </w:tr>
      <w:tr>
        <w:trPr>
          <w:cantSplit w:val="1"/>
        </w:trPr>
        <w:tc>
          <w:tcPr>
            <w:tcW w:w="1800" w:type="dxa"/>
          </w:tcPr>
          <w:p>
            <w:pPr>
              <w:spacing w:before="0" w:after="0" w:line="276" w:lineRule="auto"/>
              <w:jc w:val="left"/>
              <w:rPr>
                <w:sz w:val="20"/>
                <w:szCs w:val="20"/>
              </w:rPr>
            </w:pPr>
            <w:r>
              <w:rPr>
                <w:sz w:val="20"/>
                <w:szCs w:val="20"/>
              </w:rPr>
              <w:t xml:space="preserve">Spring Boot</w:t>
            </w:r>
          </w:p>
        </w:tc>
        <w:tc>
          <w:tcPr>
            <w:tcW w:w="3700" w:type="dxa"/>
          </w:tcPr>
          <w:p>
            <w:pPr>
              <w:spacing w:before="0" w:after="0" w:line="276" w:lineRule="auto"/>
              <w:jc w:val="left"/>
              <w:rPr>
                <w:sz w:val="20"/>
                <w:szCs w:val="20"/>
              </w:rPr>
            </w:pPr>
            <w:r>
              <w:rPr>
                <w:sz w:val="20"/>
                <w:szCs w:val="20"/>
              </w:rPr>
              <w:t xml:space="preserve">VPC con subredes públicas y privadas; Auto Scaling Group de EC2 (de t3.micro a t3.large) que ejecuta la imagen de ECR con Docker, detrás de un ALB con health check en </w:t>
            </w:r>
            <w:r>
              <w:rPr>
                <w:rFonts w:ascii="Consolas" w:hAnsi="Consolas" w:cs="Consolas"/>
                <w:sz w:val="17"/>
                <w:szCs w:val="17"/>
              </w:rPr>
              <w:t xml:space="preserve">/actuator/health</w:t>
            </w:r>
          </w:p>
        </w:tc>
        <w:tc>
          <w:tcPr>
            <w:tcW w:w="4276" w:type="dxa"/>
          </w:tcPr>
          <w:p>
            <w:pPr>
              <w:spacing w:before="0" w:after="0" w:line="276" w:lineRule="auto"/>
              <w:jc w:val="left"/>
              <w:rPr>
                <w:sz w:val="20"/>
                <w:szCs w:val="20"/>
              </w:rPr>
            </w:pPr>
            <w:r>
              <w:rPr>
                <w:sz w:val="20"/>
                <w:szCs w:val="20"/>
              </w:rPr>
              <w:t xml:space="preserve">Entrada por ALB o por API Gateway (HTTP API) con límite de peticiones; instancias mínimas y máximas y CPU objetivo del autoescalado; retención de logs; alarmas de CPU, memoria, errores 5xx y latencia; monitorización detallada; AWS X-Ray; variables de entorno; email de avisos</w:t>
            </w:r>
          </w:p>
        </w:tc>
      </w:tr>
      <w:tr>
        <w:trPr>
          <w:cantSplit w:val="1"/>
        </w:trPr>
        <w:tc>
          <w:tcPr>
            <w:tcW w:w="1800" w:type="dxa"/>
          </w:tcPr>
          <w:p>
            <w:pPr>
              <w:spacing w:before="0" w:after="0" w:line="276" w:lineRule="auto"/>
              <w:jc w:val="left"/>
              <w:rPr>
                <w:sz w:val="20"/>
                <w:szCs w:val="20"/>
              </w:rPr>
            </w:pPr>
            <w:r>
              <w:rPr>
                <w:sz w:val="20"/>
                <w:szCs w:val="20"/>
              </w:rPr>
              <w:t xml:space="preserve">Angular + Spring Boot</w:t>
            </w:r>
          </w:p>
        </w:tc>
        <w:tc>
          <w:tcPr>
            <w:tcW w:w="3700" w:type="dxa"/>
          </w:tcPr>
          <w:p>
            <w:pPr>
              <w:spacing w:before="0" w:after="0" w:line="276" w:lineRule="auto"/>
              <w:jc w:val="left"/>
              <w:rPr>
                <w:sz w:val="20"/>
                <w:szCs w:val="20"/>
              </w:rPr>
            </w:pPr>
            <w:r>
              <w:rPr>
                <w:sz w:val="20"/>
                <w:szCs w:val="20"/>
              </w:rPr>
              <w:t xml:space="preserve">Las dos anteriores; CloudFront enruta </w:t>
            </w:r>
            <w:r>
              <w:rPr>
                <w:rFonts w:ascii="Consolas" w:hAnsi="Consolas" w:cs="Consolas"/>
                <w:sz w:val="17"/>
                <w:szCs w:val="17"/>
              </w:rPr>
              <w:t xml:space="preserve">/api/*</w:t>
            </w:r>
            <w:r>
              <w:rPr>
                <w:sz w:val="20"/>
                <w:szCs w:val="20"/>
              </w:rPr>
              <w:t xml:space="preserve"> hacia el backend</w:t>
            </w:r>
          </w:p>
        </w:tc>
        <w:tc>
          <w:tcPr>
            <w:tcW w:w="4276" w:type="dxa"/>
          </w:tcPr>
          <w:p>
            <w:pPr>
              <w:spacing w:before="0" w:after="0" w:line="276" w:lineRule="auto"/>
              <w:jc w:val="left"/>
              <w:rPr>
                <w:sz w:val="20"/>
                <w:szCs w:val="20"/>
              </w:rPr>
            </w:pPr>
            <w:r>
              <w:rPr>
                <w:sz w:val="20"/>
                <w:szCs w:val="20"/>
              </w:rPr>
              <w:t xml:space="preserve">Los de ambas plantillas</w:t>
            </w:r>
          </w:p>
        </w:tc>
      </w:tr>
    </w:tbl>
    <w:p>
      <w:pPr>
        <w:spacing w:after="0" w:line="276" w:lineRule="auto"/>
        <w:ind w:left="-113" w:right="-215" w:firstLine="0"/>
        <w:jc w:val="center"/>
        <w:rPr>
          <w:color w:val="595959"/>
          <w:sz w:val="19"/>
          <w:szCs w:val="19"/>
        </w:rPr>
      </w:pPr>
      <w:r>
        <w:rPr>
          <w:color w:val="595959"/>
          <w:sz w:val="19"/>
          <w:szCs w:val="19"/>
        </w:rPr>
        <w:t xml:space="preserve">Fuente: Elaboración propia.</w:t>
      </w:r>
    </w:p>
    <w:p>
      <w:pPr>
        <w:rPr/>
      </w:pPr>
      <w:r>
        <w:rPr/>
        <w:t xml:space="preserve">Mientras rellena el formulario, el cliente ve el </w:t>
      </w:r>
      <w:r>
        <w:rPr>
          <w:b w:val="1"/>
          <w:bCs w:val="1"/>
        </w:rPr>
        <w:t xml:space="preserve">coste mensual estimado</w:t>
      </w:r>
      <w:r>
        <w:rPr/>
        <w:t xml:space="preserve">, que se recalcula en vivo. El estimador parte del uso que indica el cliente (visitas al mes, peso medio de la página, peticiones a la API y tamaño medio de respuesta), con perfiles predefinidos Bajo, Medio y Alto, y aplica precios de referencia bajo demanda de la región eu-west-1. El resultado se muestra separado en </w:t>
      </w:r>
      <w:r>
        <w:rPr>
          <w:b w:val="1"/>
          <w:bCs w:val="1"/>
        </w:rPr>
        <w:t xml:space="preserve">infraestructura de AWS</w:t>
      </w:r>
      <w:r>
        <w:rPr/>
        <w:t xml:space="preserve">, que AWS factura al cliente, y </w:t>
      </w:r>
      <w:r>
        <w:rPr>
          <w:b w:val="1"/>
          <w:bCs w:val="1"/>
        </w:rPr>
        <w:t xml:space="preserve">cuota de ReleEasy</w:t>
      </w:r>
      <w:r>
        <w:rPr/>
        <w:t xml:space="preserve">, simulada en 9 USD por aplicación y mes. Si la plantilla tiene autoescalado, se muestra también el coste máximo. Se trata de una estimación: no incluye la capa gratuita, los impuestos ni los descuentos, y así se indica al cliente (D-20).</w:t>
      </w:r>
    </w:p>
    <w:p>
      <w:pPr>
        <w:rPr/>
      </w:pPr>
    </w:p>
    <w:p>
      <w:pPr>
        <w:pStyle w:val="Heading3"/>
        <w:numPr>
          <w:ilvl w:val="2"/>
          <w:numId w:val="9"/>
        </w:numPr>
        <w:ind w:left="720" w:hanging="720"/>
        <w:rPr/>
      </w:pPr>
      <w:r>
        <w:t xml:space="preserve">Portal web</w:t>
      </w:r>
    </w:p>
    <w:p>
      <w:pPr>
        <w:rPr/>
      </w:pPr>
      <w:r>
        <w:rPr/>
        <w:t xml:space="preserve">El portal es una aplicación Angular con componentes </w:t>
      </w:r>
      <w:r>
        <w:rPr>
          <w:i w:val="1"/>
          <w:iCs w:val="1"/>
        </w:rPr>
        <w:t xml:space="preserve">standalone</w:t>
      </w:r>
      <w:r>
        <w:rPr/>
        <w:t xml:space="preserve"> y detección de cambios sin zone.js. Las rutas están protegidas por rol: el cliente accede a </w:t>
      </w:r>
      <w:r>
        <w:rPr>
          <w:rFonts w:ascii="Consolas" w:hAnsi="Consolas" w:cs="Consolas"/>
          <w:sz w:val="21"/>
          <w:szCs w:val="21"/>
        </w:rPr>
        <w:t xml:space="preserve">/portal</w:t>
      </w:r>
      <w:r>
        <w:rPr/>
        <w:t xml:space="preserve"> y el administrador a </w:t>
      </w:r>
      <w:r>
        <w:rPr>
          <w:rFonts w:ascii="Consolas" w:hAnsi="Consolas" w:cs="Consolas"/>
          <w:sz w:val="21"/>
          <w:szCs w:val="21"/>
        </w:rPr>
        <w:t xml:space="preserve">/admin</w:t>
      </w:r>
      <w:r>
        <w:rPr/>
        <w:t xml:space="preserve">. Sus pantallas principales son:</w:t>
      </w:r>
    </w:p>
    <w:p>
      <w:pPr>
        <w:numPr>
          <w:ilvl w:val="0"/>
          <w:numId w:val="1"/>
        </w:numPr>
        <w:ind w:left="720" w:hanging="360"/>
        <w:rPr/>
      </w:pPr>
      <w:r>
        <w:rPr>
          <w:b w:val="1"/>
          <w:bCs w:val="1"/>
        </w:rPr>
        <w:t xml:space="preserve">Registro e inicio de sesión.</w:t>
      </w:r>
    </w:p>
    <w:p>
      <w:pPr>
        <w:numPr>
          <w:ilvl w:val="0"/>
          <w:numId w:val="1"/>
        </w:numPr>
        <w:ind w:left="720" w:hanging="360"/>
        <w:rPr/>
      </w:pPr>
      <w:r>
        <w:rPr>
          <w:b w:val="1"/>
          <w:bCs w:val="1"/>
        </w:rPr>
        <w:t xml:space="preserve">Inicio del cliente</w:t>
      </w:r>
      <w:r>
        <w:rPr/>
        <w:t xml:space="preserve">, con los pasos de configuración pendientes (conectar AWS, conectar GitHub, crear la primera aplicación) y la lista de aplicaciones.</w:t>
      </w:r>
    </w:p>
    <w:p>
      <w:pPr>
        <w:numPr>
          <w:ilvl w:val="0"/>
          <w:numId w:val="1"/>
        </w:numPr>
        <w:ind w:left="720" w:hanging="360"/>
        <w:rPr/>
      </w:pPr>
      <w:r>
        <w:rPr>
          <w:b w:val="1"/>
          <w:bCs w:val="1"/>
        </w:rPr>
        <w:t xml:space="preserve">Conexión con AWS</w:t>
      </w:r>
      <w:r>
        <w:rPr/>
        <w:t xml:space="preserve">, que muestra el External ID y el enlace de CloudFormation, y recoge el ARN del rol.</w:t>
      </w:r>
    </w:p>
    <w:p>
      <w:pPr>
        <w:numPr>
          <w:ilvl w:val="0"/>
          <w:numId w:val="1"/>
        </w:numPr>
        <w:ind w:left="720" w:hanging="360"/>
        <w:rPr/>
      </w:pPr>
      <w:r>
        <w:rPr>
          <w:b w:val="1"/>
          <w:bCs w:val="1"/>
        </w:rPr>
        <w:t xml:space="preserve">Conexión con GitHub</w:t>
      </w:r>
      <w:r>
        <w:rPr/>
        <w:t xml:space="preserve">, con la página de vuelta que valida el </w:t>
      </w:r>
      <w:r>
        <w:rPr>
          <w:rFonts w:ascii="Consolas" w:hAnsi="Consolas" w:cs="Consolas"/>
          <w:sz w:val="21"/>
          <w:szCs w:val="21"/>
        </w:rPr>
        <w:t xml:space="preserve">state</w:t>
      </w:r>
      <w:r>
        <w:rPr/>
        <w:t xml:space="preserve"> y envía el código a la API.</w:t>
      </w:r>
    </w:p>
    <w:p>
      <w:pPr>
        <w:numPr>
          <w:ilvl w:val="0"/>
          <w:numId w:val="1"/>
        </w:numPr>
        <w:ind w:left="720" w:hanging="360"/>
        <w:rPr/>
      </w:pPr>
      <w:r>
        <w:rPr>
          <w:b w:val="1"/>
          <w:bCs w:val="1"/>
        </w:rPr>
        <w:t xml:space="preserve">Catálogo y formulario de nueva aplicación</w:t>
      </w:r>
      <w:r>
        <w:rPr/>
        <w:t xml:space="preserve">, con los componentes opcionales de la plantilla, el repositorio, la rama, el uso estimado y el coste en vivo.</w:t>
      </w:r>
    </w:p>
    <w:p>
      <w:pPr>
        <w:numPr>
          <w:ilvl w:val="0"/>
          <w:numId w:val="1"/>
        </w:numPr>
        <w:ind w:left="720" w:hanging="360"/>
        <w:rPr/>
      </w:pPr>
      <w:r>
        <w:rPr>
          <w:b w:val="1"/>
          <w:bCs w:val="1"/>
        </w:rPr>
        <w:t xml:space="preserve">Detalle de la aplicación</w:t>
      </w:r>
      <w:r>
        <w:rPr/>
        <w:t xml:space="preserve">, con su URL, sus componentes, su coste y sus releases. Se refresca cada 3 segundos mientras hay un release en curso y cada 15 segundos en reposo (D-14).</w:t>
      </w:r>
    </w:p>
    <w:p>
      <w:pPr>
        <w:numPr>
          <w:ilvl w:val="0"/>
          <w:numId w:val="1"/>
        </w:numPr>
        <w:ind w:left="720" w:hanging="360"/>
        <w:rPr/>
      </w:pPr>
      <w:r>
        <w:rPr>
          <w:b w:val="1"/>
          <w:bCs w:val="1"/>
        </w:rPr>
        <w:t xml:space="preserve">Vista de administración</w:t>
      </w:r>
      <w:r>
        <w:rPr/>
        <w:t xml:space="preserve">, con todos los clientes, sus conexiones y sus aplicaciones.</w:t>
      </w:r>
    </w:p>
    <w:p>
      <w:pPr>
        <w:rPr/>
      </w:pPr>
      <w:r>
        <w:rPr/>
        <w:t xml:space="preserve">El token de sesión se guarda en el </w:t>
      </w:r>
      <w:r>
        <w:rPr>
          <w:rFonts w:ascii="Consolas" w:hAnsi="Consolas" w:cs="Consolas"/>
          <w:sz w:val="21"/>
          <w:szCs w:val="21"/>
        </w:rPr>
        <w:t xml:space="preserve">sessionStorage</w:t>
      </w:r>
      <w:r>
        <w:rPr/>
        <w:t xml:space="preserve"> del navegador, de modo que se borra al cerrar la pestaña. Un interceptor añade la cabecera </w:t>
      </w:r>
      <w:r>
        <w:rPr>
          <w:rFonts w:ascii="Consolas" w:hAnsi="Consolas" w:cs="Consolas"/>
          <w:sz w:val="21"/>
          <w:szCs w:val="21"/>
        </w:rPr>
        <w:t xml:space="preserve">Authorization</w:t>
      </w:r>
      <w:r>
        <w:rPr/>
        <w:t xml:space="preserve"> solo a las peticiones dirigidas a la API, y una respuesta 401 cierra la sesión. Además, el portal incluye un modo de demostración que responde a las llamadas sin necesidad de la API, útil para enseñar la interfaz (D-17).</w:t>
      </w:r>
    </w:p>
    <w:p>
      <w:pPr>
        <w:rPr/>
      </w:pPr>
    </w:p>
    <w:p>
      <w:pPr>
        <w:pStyle w:val="Heading3"/>
        <w:numPr>
          <w:ilvl w:val="2"/>
          <w:numId w:val="9"/>
        </w:numPr>
        <w:ind w:left="720" w:hanging="720"/>
        <w:rPr/>
      </w:pPr>
      <w:r>
        <w:t xml:space="preserve">Ciclo de vida de un despliegue</w:t>
      </w:r>
    </w:p>
    <w:p>
      <w:pPr>
        <w:rPr/>
      </w:pPr>
      <w:r>
        <w:rPr/>
        <w:t xml:space="preserve">Cada despliegue se representa como un </w:t>
      </w:r>
      <w:r>
        <w:rPr>
          <w:b w:val="1"/>
          <w:bCs w:val="1"/>
        </w:rPr>
        <w:t xml:space="preserve">release</w:t>
      </w:r>
      <w:r>
        <w:rPr/>
        <w:t xml:space="preserve"> asociado a un commit, que pasa por los estados PENDING, RUNNING y, finalmente, SUCCEEDED o FAILED. La API crea el release en PENDING y arranca una ejecución de Step Functions con el identificador del release. A partir de ahí, la máquina de estados y el pipeline escriben directamente el estado en DynamoDB, lo que evita condiciones de carrera entre la API y el pipeline (D-10). El pipeline previsto tiene dos fases:</w:t>
      </w:r>
    </w:p>
    <w:p>
      <w:pPr>
        <w:numPr>
          <w:ilvl w:val="0"/>
          <w:numId w:val="1"/>
        </w:numPr>
        <w:ind w:left="720" w:hanging="360"/>
        <w:rPr/>
      </w:pPr>
      <w:r>
        <w:rPr>
          <w:b w:val="1"/>
          <w:bCs w:val="1"/>
        </w:rPr>
        <w:t xml:space="preserve">Construcción:</w:t>
      </w:r>
      <w:r>
        <w:rPr/>
        <w:t xml:space="preserve"> clona el repositorio en el commit indicado con un token de instalación de la GitHub App, construye el frontend (</w:t>
      </w:r>
      <w:r>
        <w:rPr>
          <w:rFonts w:ascii="Consolas" w:hAnsi="Consolas" w:cs="Consolas"/>
          <w:sz w:val="21"/>
          <w:szCs w:val="21"/>
        </w:rPr>
        <w:t xml:space="preserve">ng build</w:t>
      </w:r>
      <w:r>
        <w:rPr/>
        <w:t xml:space="preserve">) o el backend (</w:t>
      </w:r>
      <w:r>
        <w:rPr>
          <w:rFonts w:ascii="Consolas" w:hAnsi="Consolas" w:cs="Consolas"/>
          <w:sz w:val="21"/>
          <w:szCs w:val="21"/>
        </w:rPr>
        <w:t xml:space="preserve">mvnw verify</w:t>
      </w:r>
      <w:r>
        <w:rPr/>
        <w:t xml:space="preserve">) según la plantilla, y publica la imagen Docker del backend en ECR.</w:t>
      </w:r>
    </w:p>
    <w:p>
      <w:pPr>
        <w:numPr>
          <w:ilvl w:val="0"/>
          <w:numId w:val="1"/>
        </w:numPr>
        <w:ind w:left="720" w:hanging="360"/>
        <w:rPr/>
      </w:pPr>
      <w:r>
        <w:rPr>
          <w:b w:val="1"/>
          <w:bCs w:val="1"/>
        </w:rPr>
        <w:t xml:space="preserve">Despliegue:</w:t>
      </w:r>
      <w:r>
        <w:rPr/>
        <w:t xml:space="preserve"> asume el rol del cliente, ejecuta </w:t>
      </w:r>
      <w:r>
        <w:rPr>
          <w:rFonts w:ascii="Consolas" w:hAnsi="Consolas" w:cs="Consolas"/>
          <w:sz w:val="21"/>
          <w:szCs w:val="21"/>
        </w:rPr>
        <w:t xml:space="preserve">terraform plan</w:t>
      </w:r>
      <w:r>
        <w:rPr/>
        <w:t xml:space="preserve"> y </w:t>
      </w:r>
      <w:r>
        <w:rPr>
          <w:rFonts w:ascii="Consolas" w:hAnsi="Consolas" w:cs="Consolas"/>
          <w:sz w:val="21"/>
          <w:szCs w:val="21"/>
        </w:rPr>
        <w:t xml:space="preserve">apply</w:t>
      </w:r>
      <w:r>
        <w:rPr/>
        <w:t xml:space="preserve"> con un estado separado por cliente y aplicación, sube el frontend a S3, invalida la caché de CloudFront y registra el resultado, también en caso de fallo.</w:t>
      </w:r>
    </w:p>
    <w:p>
      <w:pPr>
        <w:rPr/>
      </w:pPr>
      <w:r>
        <w:rPr/>
        <w:t xml:space="preserve">En el estado actual, el orquestador simulado recorre estas transiciones sin crear recursos, lo que permite validar el flujo del portal y de la API. La máquina de estados, los </w:t>
      </w:r>
      <w:r>
        <w:rPr>
          <w:i w:val="1"/>
          <w:iCs w:val="1"/>
        </w:rPr>
        <w:t xml:space="preserve">buildspec</w:t>
      </w:r>
      <w:r>
        <w:rPr/>
        <w:t xml:space="preserve"> de CodeBuild y los módulos de Terraform se desarrollan en el Sprint 2.</w:t>
      </w:r>
    </w:p>
    <w:p>
      <w:pPr>
        <w:rPr/>
      </w:pPr>
    </w:p>
    <w:p>
      <w:pPr>
        <w:pStyle w:val="Heading3"/>
        <w:numPr>
          <w:ilvl w:val="2"/>
          <w:numId w:val="9"/>
        </w:numPr>
        <w:ind w:left="720" w:hanging="720"/>
        <w:rPr/>
      </w:pPr>
      <w:r>
        <w:t xml:space="preserve">Estado del desarrollo</w:t>
      </w:r>
    </w:p>
    <w:p>
      <w:pPr>
        <w:rPr/>
      </w:pPr>
      <w:r>
        <w:rPr/>
        <w:t xml:space="preserve">La Tabla 11 resume el estado de cada componente a 24/10/2026.</w:t>
      </w:r>
    </w:p>
    <w:p>
      <w:pPr>
        <w:keepNext w:val="1"/>
        <w:spacing w:after="120" w:before="120" w:line="360" w:lineRule="auto"/>
        <w:ind w:left="0" w:right="0" w:firstLine="0"/>
        <w:jc w:val="both"/>
        <w:rPr/>
      </w:pPr>
      <w:r>
        <w:rPr>
          <w:rFonts w:ascii="Calibri" w:cs="Calibri" w:eastAsia="Calibri" w:hAnsi="Calibri"/>
          <w:b w:val="1"/>
          <w:bCs w:val="1"/>
          <w:i w:val="0"/>
          <w:iCs w:val="0"/>
          <w:color w:val="000000"/>
          <w:sz w:val="24"/>
          <w:szCs w:val="24"/>
        </w:rPr>
        <w:t xml:space="preserve">Tabla </w:t>
      </w:r>
      <w:r>
        <w:rPr>
          <w:rFonts w:ascii="Calibri" w:cs="Calibri" w:eastAsia="Calibri" w:hAnsi="Calibri"/>
          <w:b w:val="1"/>
          <w:bCs w:val="1"/>
          <w:i w:val="0"/>
          <w:iCs w:val="0"/>
          <w:color w:val="000000"/>
          <w:sz w:val="24"/>
          <w:szCs w:val="24"/>
        </w:rPr>
        <w:fldChar w:fldCharType="begin"/>
      </w:r>
      <w:r>
        <w:rPr>
          <w:rFonts w:ascii="Calibri" w:cs="Calibri" w:eastAsia="Calibri" w:hAnsi="Calibri"/>
          <w:b w:val="1"/>
          <w:bCs w:val="1"/>
          <w:i w:val="0"/>
          <w:iCs w:val="0"/>
          <w:color w:val="000000"/>
          <w:sz w:val="24"/>
          <w:szCs w:val="24"/>
        </w:rPr>
        <w:instrText xml:space="preserve"> SEQ Tabla \* ARABIC </w:instrText>
      </w:r>
      <w:r>
        <w:rPr>
          <w:rFonts w:ascii="Calibri" w:cs="Calibri" w:eastAsia="Calibri" w:hAnsi="Calibri"/>
          <w:b w:val="1"/>
          <w:bCs w:val="1"/>
          <w:i w:val="0"/>
          <w:iCs w:val="0"/>
          <w:color w:val="000000"/>
          <w:sz w:val="24"/>
          <w:szCs w:val="24"/>
        </w:rPr>
        <w:fldChar w:fldCharType="separate"/>
      </w:r>
      <w:r>
        <w:rPr>
          <w:rFonts w:ascii="Calibri" w:cs="Calibri" w:eastAsia="Calibri" w:hAnsi="Calibri"/>
          <w:b w:val="1"/>
          <w:bCs w:val="1"/>
          <w:i w:val="0"/>
          <w:iCs w:val="0"/>
          <w:color w:val="000000"/>
          <w:sz w:val="24"/>
          <w:szCs w:val="24"/>
        </w:rPr>
        <w:t>11</w:t>
      </w:r>
      <w:r>
        <w:rPr>
          <w:rFonts w:ascii="Calibri" w:cs="Calibri" w:eastAsia="Calibri" w:hAnsi="Calibri"/>
          <w:b w:val="1"/>
          <w:bCs w:val="1"/>
          <w:i w:val="0"/>
          <w:iCs w:val="0"/>
          <w:color w:val="000000"/>
          <w:sz w:val="24"/>
          <w:szCs w:val="24"/>
        </w:rPr>
        <w:fldChar w:fldCharType="end"/>
      </w:r>
      <w:r>
        <w:rPr>
          <w:rFonts w:ascii="Calibri" w:cs="Calibri" w:eastAsia="Calibri" w:hAnsi="Calibri"/>
          <w:b w:val="1"/>
          <w:bCs w:val="1"/>
          <w:i w:val="0"/>
          <w:iCs w:val="0"/>
          <w:color w:val="000000"/>
          <w:sz w:val="24"/>
          <w:szCs w:val="24"/>
        </w:rPr>
        <w:t xml:space="preserve">.</w:t>
      </w:r>
      <w:r>
        <w:rPr>
          <w:rFonts w:ascii="Calibri" w:cs="Calibri" w:eastAsia="Calibri" w:hAnsi="Calibri"/>
          <w:b w:val="0"/>
          <w:bCs w:val="0"/>
          <w:i w:val="1"/>
          <w:iCs w:val="1"/>
          <w:color w:val="000000"/>
          <w:sz w:val="24"/>
          <w:szCs w:val="24"/>
        </w:rPr>
        <w:t xml:space="preserve"> Estado de los componentes de la plataforma.</w:t>
      </w:r>
    </w:p>
    <w:tbl>
      <w:tblPr>
        <w:tblStyle w:val="Table3"/>
        <w:tblW w:w="9776"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4200"/>
        <w:gridCol w:w="5576"/>
      </w:tblGrid>
      <w:tr>
        <w:trPr>
          <w:cantSplit w:val="1"/>
          <w:tblHeader w:val="1"/>
        </w:trPr>
        <w:tc>
          <w:tcPr>
            <w:tcW w:w="4200" w:type="dxa"/>
          </w:tcPr>
          <w:p>
            <w:pPr>
              <w:spacing w:before="0" w:after="0" w:line="276" w:lineRule="auto"/>
              <w:jc w:val="left"/>
              <w:rPr>
                <w:sz w:val="20"/>
                <w:szCs w:val="20"/>
              </w:rPr>
            </w:pPr>
            <w:r>
              <w:rPr>
                <w:b w:val="1"/>
                <w:bCs w:val="1"/>
                <w:sz w:val="20"/>
                <w:szCs w:val="20"/>
              </w:rPr>
              <w:t xml:space="preserve">Componente</w:t>
            </w:r>
          </w:p>
        </w:tc>
        <w:tc>
          <w:tcPr>
            <w:tcW w:w="5576" w:type="dxa"/>
          </w:tcPr>
          <w:p>
            <w:pPr>
              <w:spacing w:before="0" w:after="0" w:line="276" w:lineRule="auto"/>
              <w:jc w:val="left"/>
              <w:rPr>
                <w:sz w:val="20"/>
                <w:szCs w:val="20"/>
              </w:rPr>
            </w:pPr>
            <w:r>
              <w:rPr>
                <w:b w:val="1"/>
                <w:bCs w:val="1"/>
                <w:sz w:val="20"/>
                <w:szCs w:val="20"/>
              </w:rPr>
              <w:t xml:space="preserve">Estado</w:t>
            </w:r>
          </w:p>
        </w:tc>
      </w:tr>
      <w:tr>
        <w:trPr>
          <w:cantSplit w:val="1"/>
        </w:trPr>
        <w:tc>
          <w:tcPr>
            <w:tcW w:w="4200" w:type="dxa"/>
          </w:tcPr>
          <w:p>
            <w:pPr>
              <w:spacing w:before="0" w:after="0" w:line="276" w:lineRule="auto"/>
              <w:jc w:val="left"/>
              <w:rPr>
                <w:sz w:val="20"/>
                <w:szCs w:val="20"/>
              </w:rPr>
            </w:pPr>
            <w:r>
              <w:rPr>
                <w:sz w:val="20"/>
                <w:szCs w:val="20"/>
              </w:rPr>
              <w:t xml:space="preserve">Portal web (vistas de cliente y de administrador)</w:t>
            </w:r>
          </w:p>
        </w:tc>
        <w:tc>
          <w:tcPr>
            <w:tcW w:w="5576" w:type="dxa"/>
          </w:tcPr>
          <w:p>
            <w:pPr>
              <w:spacing w:before="0" w:after="0" w:line="276" w:lineRule="auto"/>
              <w:jc w:val="left"/>
              <w:rPr>
                <w:sz w:val="20"/>
                <w:szCs w:val="20"/>
              </w:rPr>
            </w:pPr>
            <w:r>
              <w:rPr>
                <w:sz w:val="20"/>
                <w:szCs w:val="20"/>
              </w:rPr>
              <w:t xml:space="preserve">Terminado</w:t>
            </w:r>
          </w:p>
        </w:tc>
      </w:tr>
      <w:tr>
        <w:trPr>
          <w:cantSplit w:val="1"/>
        </w:trPr>
        <w:tc>
          <w:tcPr>
            <w:tcW w:w="4200" w:type="dxa"/>
          </w:tcPr>
          <w:p>
            <w:pPr>
              <w:spacing w:before="0" w:after="0" w:line="276" w:lineRule="auto"/>
              <w:jc w:val="left"/>
              <w:rPr>
                <w:sz w:val="20"/>
                <w:szCs w:val="20"/>
              </w:rPr>
            </w:pPr>
            <w:r>
              <w:rPr>
                <w:sz w:val="20"/>
                <w:szCs w:val="20"/>
              </w:rPr>
              <w:t xml:space="preserve">Autenticación (registro, inicio de sesión, JWT y roles)</w:t>
            </w:r>
          </w:p>
        </w:tc>
        <w:tc>
          <w:tcPr>
            <w:tcW w:w="5576" w:type="dxa"/>
          </w:tcPr>
          <w:p>
            <w:pPr>
              <w:spacing w:before="0" w:after="0" w:line="276" w:lineRule="auto"/>
              <w:jc w:val="left"/>
              <w:rPr>
                <w:sz w:val="20"/>
                <w:szCs w:val="20"/>
              </w:rPr>
            </w:pPr>
            <w:r>
              <w:rPr>
                <w:sz w:val="20"/>
                <w:szCs w:val="20"/>
              </w:rPr>
              <w:t xml:space="preserve">Terminada</w:t>
            </w:r>
          </w:p>
        </w:tc>
      </w:tr>
      <w:tr>
        <w:trPr>
          <w:cantSplit w:val="1"/>
        </w:trPr>
        <w:tc>
          <w:tcPr>
            <w:tcW w:w="4200" w:type="dxa"/>
          </w:tcPr>
          <w:p>
            <w:pPr>
              <w:spacing w:before="0" w:after="0" w:line="276" w:lineRule="auto"/>
              <w:jc w:val="left"/>
              <w:rPr>
                <w:sz w:val="20"/>
                <w:szCs w:val="20"/>
              </w:rPr>
            </w:pPr>
            <w:r>
              <w:rPr>
                <w:sz w:val="20"/>
                <w:szCs w:val="20"/>
              </w:rPr>
              <w:t xml:space="preserve">API de orquestación</w:t>
            </w:r>
          </w:p>
        </w:tc>
        <w:tc>
          <w:tcPr>
            <w:tcW w:w="5576" w:type="dxa"/>
          </w:tcPr>
          <w:p>
            <w:pPr>
              <w:spacing w:before="0" w:after="0" w:line="276" w:lineRule="auto"/>
              <w:jc w:val="left"/>
              <w:rPr>
                <w:sz w:val="20"/>
                <w:szCs w:val="20"/>
              </w:rPr>
            </w:pPr>
            <w:r>
              <w:rPr>
                <w:sz w:val="20"/>
                <w:szCs w:val="20"/>
              </w:rPr>
              <w:t xml:space="preserve">Terminada, con AWS simulado</w:t>
            </w:r>
          </w:p>
        </w:tc>
      </w:tr>
      <w:tr>
        <w:trPr>
          <w:cantSplit w:val="1"/>
        </w:trPr>
        <w:tc>
          <w:tcPr>
            <w:tcW w:w="4200" w:type="dxa"/>
          </w:tcPr>
          <w:p>
            <w:pPr>
              <w:spacing w:before="0" w:after="0" w:line="276" w:lineRule="auto"/>
              <w:jc w:val="left"/>
              <w:rPr>
                <w:sz w:val="20"/>
                <w:szCs w:val="20"/>
              </w:rPr>
            </w:pPr>
            <w:r>
              <w:rPr>
                <w:sz w:val="20"/>
                <w:szCs w:val="20"/>
              </w:rPr>
              <w:t xml:space="preserve">Integración con GitHub (GitHub App y OAuth)</w:t>
            </w:r>
          </w:p>
        </w:tc>
        <w:tc>
          <w:tcPr>
            <w:tcW w:w="5576" w:type="dxa"/>
          </w:tcPr>
          <w:p>
            <w:pPr>
              <w:spacing w:before="0" w:after="0" w:line="276" w:lineRule="auto"/>
              <w:jc w:val="left"/>
              <w:rPr>
                <w:sz w:val="20"/>
                <w:szCs w:val="20"/>
              </w:rPr>
            </w:pPr>
            <w:r>
              <w:rPr>
                <w:sz w:val="20"/>
                <w:szCs w:val="20"/>
              </w:rPr>
              <w:t xml:space="preserve">Terminada y validada con GitHub real</w:t>
            </w:r>
          </w:p>
        </w:tc>
      </w:tr>
      <w:tr>
        <w:trPr>
          <w:cantSplit w:val="1"/>
        </w:trPr>
        <w:tc>
          <w:tcPr>
            <w:tcW w:w="4200" w:type="dxa"/>
          </w:tcPr>
          <w:p>
            <w:pPr>
              <w:spacing w:before="0" w:after="0" w:line="276" w:lineRule="auto"/>
              <w:jc w:val="left"/>
              <w:rPr>
                <w:sz w:val="20"/>
                <w:szCs w:val="20"/>
              </w:rPr>
            </w:pPr>
            <w:r>
              <w:rPr>
                <w:sz w:val="20"/>
                <w:szCs w:val="20"/>
              </w:rPr>
              <w:t xml:space="preserve">Webhook de </w:t>
            </w:r>
            <w:r>
              <w:rPr>
                <w:i w:val="1"/>
                <w:iCs w:val="1"/>
                <w:sz w:val="20"/>
                <w:szCs w:val="20"/>
              </w:rPr>
              <w:t xml:space="preserve">push</w:t>
            </w:r>
          </w:p>
        </w:tc>
        <w:tc>
          <w:tcPr>
            <w:tcW w:w="5576" w:type="dxa"/>
          </w:tcPr>
          <w:p>
            <w:pPr>
              <w:spacing w:before="0" w:after="0" w:line="276" w:lineRule="auto"/>
              <w:jc w:val="left"/>
              <w:rPr>
                <w:sz w:val="20"/>
                <w:szCs w:val="20"/>
              </w:rPr>
            </w:pPr>
            <w:r>
              <w:rPr>
                <w:sz w:val="20"/>
                <w:szCs w:val="20"/>
              </w:rPr>
              <w:t xml:space="preserve">Implementado; pendiente de exponerlo con una URL pública</w:t>
            </w:r>
          </w:p>
        </w:tc>
      </w:tr>
      <w:tr>
        <w:trPr>
          <w:cantSplit w:val="1"/>
        </w:trPr>
        <w:tc>
          <w:tcPr>
            <w:tcW w:w="4200" w:type="dxa"/>
          </w:tcPr>
          <w:p>
            <w:pPr>
              <w:spacing w:before="0" w:after="0" w:line="276" w:lineRule="auto"/>
              <w:jc w:val="left"/>
              <w:rPr>
                <w:sz w:val="20"/>
                <w:szCs w:val="20"/>
              </w:rPr>
            </w:pPr>
            <w:r>
              <w:rPr>
                <w:sz w:val="20"/>
                <w:szCs w:val="20"/>
              </w:rPr>
              <w:t xml:space="preserve">Verificación de la cuenta de AWS (STS)</w:t>
            </w:r>
          </w:p>
        </w:tc>
        <w:tc>
          <w:tcPr>
            <w:tcW w:w="5576" w:type="dxa"/>
          </w:tcPr>
          <w:p>
            <w:pPr>
              <w:spacing w:before="0" w:after="0" w:line="276" w:lineRule="auto"/>
              <w:jc w:val="left"/>
              <w:rPr>
                <w:sz w:val="20"/>
                <w:szCs w:val="20"/>
              </w:rPr>
            </w:pPr>
            <w:r>
              <w:rPr>
                <w:sz w:val="20"/>
                <w:szCs w:val="20"/>
              </w:rPr>
              <w:t xml:space="preserve">Implementada; probada en modo simulado</w:t>
            </w:r>
          </w:p>
        </w:tc>
      </w:tr>
      <w:tr>
        <w:trPr>
          <w:cantSplit w:val="1"/>
        </w:trPr>
        <w:tc>
          <w:tcPr>
            <w:tcW w:w="4200" w:type="dxa"/>
          </w:tcPr>
          <w:p>
            <w:pPr>
              <w:spacing w:before="0" w:after="0" w:line="276" w:lineRule="auto"/>
              <w:jc w:val="left"/>
              <w:rPr>
                <w:sz w:val="20"/>
                <w:szCs w:val="20"/>
              </w:rPr>
            </w:pPr>
            <w:r>
              <w:rPr>
                <w:sz w:val="20"/>
                <w:szCs w:val="20"/>
              </w:rPr>
              <w:t xml:space="preserve">Persistencia en DynamoDB</w:t>
            </w:r>
          </w:p>
        </w:tc>
        <w:tc>
          <w:tcPr>
            <w:tcW w:w="5576" w:type="dxa"/>
          </w:tcPr>
          <w:p>
            <w:pPr>
              <w:spacing w:before="0" w:after="0" w:line="276" w:lineRule="auto"/>
              <w:jc w:val="left"/>
              <w:rPr>
                <w:sz w:val="20"/>
                <w:szCs w:val="20"/>
              </w:rPr>
            </w:pPr>
            <w:r>
              <w:rPr>
                <w:sz w:val="20"/>
                <w:szCs w:val="20"/>
              </w:rPr>
              <w:t xml:space="preserve">Implementada; pendiente de crear las tablas en AWS</w:t>
            </w:r>
          </w:p>
        </w:tc>
      </w:tr>
      <w:tr>
        <w:trPr>
          <w:cantSplit w:val="1"/>
        </w:trPr>
        <w:tc>
          <w:tcPr>
            <w:tcW w:w="4200" w:type="dxa"/>
          </w:tcPr>
          <w:p>
            <w:pPr>
              <w:spacing w:before="0" w:after="0" w:line="276" w:lineRule="auto"/>
              <w:jc w:val="left"/>
              <w:rPr>
                <w:sz w:val="20"/>
                <w:szCs w:val="20"/>
              </w:rPr>
            </w:pPr>
            <w:r>
              <w:rPr>
                <w:sz w:val="20"/>
                <w:szCs w:val="20"/>
              </w:rPr>
              <w:t xml:space="preserve">Plantilla de CloudFormation del rol del cliente</w:t>
            </w:r>
          </w:p>
        </w:tc>
        <w:tc>
          <w:tcPr>
            <w:tcW w:w="5576" w:type="dxa"/>
          </w:tcPr>
          <w:p>
            <w:pPr>
              <w:spacing w:before="0" w:after="0" w:line="276" w:lineRule="auto"/>
              <w:jc w:val="left"/>
              <w:rPr>
                <w:sz w:val="20"/>
                <w:szCs w:val="20"/>
              </w:rPr>
            </w:pPr>
            <w:r>
              <w:rPr>
                <w:sz w:val="20"/>
                <w:szCs w:val="20"/>
              </w:rPr>
              <w:t xml:space="preserve">Pendiente (Sprint 2)</w:t>
            </w:r>
          </w:p>
        </w:tc>
      </w:tr>
      <w:tr>
        <w:trPr>
          <w:cantSplit w:val="1"/>
        </w:trPr>
        <w:tc>
          <w:tcPr>
            <w:tcW w:w="4200" w:type="dxa"/>
          </w:tcPr>
          <w:p>
            <w:pPr>
              <w:spacing w:before="0" w:after="0" w:line="276" w:lineRule="auto"/>
              <w:jc w:val="left"/>
              <w:rPr>
                <w:sz w:val="20"/>
                <w:szCs w:val="20"/>
              </w:rPr>
            </w:pPr>
            <w:r>
              <w:rPr>
                <w:sz w:val="20"/>
                <w:szCs w:val="20"/>
              </w:rPr>
              <w:t xml:space="preserve">Módulos de Terraform de las tres plantillas</w:t>
            </w:r>
          </w:p>
        </w:tc>
        <w:tc>
          <w:tcPr>
            <w:tcW w:w="5576" w:type="dxa"/>
          </w:tcPr>
          <w:p>
            <w:pPr>
              <w:spacing w:before="0" w:after="0" w:line="276" w:lineRule="auto"/>
              <w:jc w:val="left"/>
              <w:rPr>
                <w:sz w:val="20"/>
                <w:szCs w:val="20"/>
              </w:rPr>
            </w:pPr>
            <w:r>
              <w:rPr>
                <w:sz w:val="20"/>
                <w:szCs w:val="20"/>
              </w:rPr>
              <w:t xml:space="preserve">Pendiente (Sprint 2)</w:t>
            </w:r>
          </w:p>
        </w:tc>
      </w:tr>
      <w:tr>
        <w:trPr>
          <w:cantSplit w:val="1"/>
        </w:trPr>
        <w:tc>
          <w:tcPr>
            <w:tcW w:w="4200" w:type="dxa"/>
          </w:tcPr>
          <w:p>
            <w:pPr>
              <w:spacing w:before="0" w:after="0" w:line="276" w:lineRule="auto"/>
              <w:jc w:val="left"/>
              <w:rPr>
                <w:sz w:val="20"/>
                <w:szCs w:val="20"/>
              </w:rPr>
            </w:pPr>
            <w:r>
              <w:rPr>
                <w:sz w:val="20"/>
                <w:szCs w:val="20"/>
              </w:rPr>
              <w:t xml:space="preserve">Pipeline de despliegue (Step Functions y CodeBuild)</w:t>
            </w:r>
          </w:p>
        </w:tc>
        <w:tc>
          <w:tcPr>
            <w:tcW w:w="5576" w:type="dxa"/>
          </w:tcPr>
          <w:p>
            <w:pPr>
              <w:spacing w:before="0" w:after="0" w:line="276" w:lineRule="auto"/>
              <w:jc w:val="left"/>
              <w:rPr>
                <w:sz w:val="20"/>
                <w:szCs w:val="20"/>
              </w:rPr>
            </w:pPr>
            <w:r>
              <w:rPr>
                <w:sz w:val="20"/>
                <w:szCs w:val="20"/>
              </w:rPr>
              <w:t xml:space="preserve">Pendiente (Sprint 2)</w:t>
            </w:r>
          </w:p>
        </w:tc>
      </w:tr>
    </w:tbl>
    <w:p>
      <w:pPr>
        <w:spacing w:after="0" w:line="276" w:lineRule="auto"/>
        <w:ind w:left="-113" w:right="-215" w:firstLine="0"/>
        <w:jc w:val="center"/>
        <w:rPr>
          <w:color w:val="595959"/>
          <w:sz w:val="19"/>
          <w:szCs w:val="19"/>
        </w:rPr>
      </w:pPr>
      <w:r>
        <w:rPr>
          <w:color w:val="595959"/>
          <w:sz w:val="19"/>
          <w:szCs w:val="19"/>
        </w:rPr>
        <w:t xml:space="preserve">Fuente: Elaboración propia.</w:t>
      </w:r>
    </w:p>
    <w:p>
      <w:pPr>
        <w:rPr/>
      </w:pPr>
    </w:p>
    <w:p>
      <w:pPr>
        <w:pStyle w:val="Heading2"/>
        <w:numPr>
          <w:ilvl w:val="1"/>
          <w:numId w:val="9"/>
        </w:numPr>
        <w:ind w:left="576" w:hanging="576"/>
        <w:rPr/>
      </w:pPr>
      <w:r>
        <w:t xml:space="preserve">Evaluación</w:t>
      </w:r>
    </w:p>
    <w:p>
      <w:pPr>
        <w:rPr/>
      </w:pPr>
      <w:r>
        <w:rPr/>
        <w:t xml:space="preserve">La evaluación se plantea en dos niveles: pruebas automatizadas, que se ejecutan en cada incremento, y validación funcional del flujo completo. La evaluación de la usabilidad con usuarios y la del caso de uso de una PYME se realizarán cuando el aprovisionamiento real esté disponible.</w:t>
      </w:r>
    </w:p>
    <w:p>
      <w:pPr>
        <w:rPr/>
      </w:pPr>
    </w:p>
    <w:p>
      <w:pPr>
        <w:pStyle w:val="Heading3"/>
        <w:numPr>
          <w:ilvl w:val="2"/>
          <w:numId w:val="9"/>
        </w:numPr>
        <w:ind w:left="720" w:hanging="720"/>
        <w:rPr/>
      </w:pPr>
      <w:r>
        <w:t xml:space="preserve">Pruebas automatizadas</w:t>
      </w:r>
    </w:p>
    <w:p>
      <w:pPr>
        <w:rPr/>
      </w:pPr>
      <w:r>
        <w:rPr/>
        <w:t xml:space="preserve">La Tabla 12 recoge el resultado de la ejecución de las pruebas el 24/10/2026.</w:t>
      </w:r>
    </w:p>
    <w:p>
      <w:pPr>
        <w:keepNext w:val="1"/>
        <w:spacing w:after="120" w:before="120" w:line="360" w:lineRule="auto"/>
        <w:ind w:left="0" w:right="0" w:firstLine="0"/>
        <w:jc w:val="both"/>
        <w:rPr/>
      </w:pPr>
      <w:r>
        <w:rPr>
          <w:rFonts w:ascii="Calibri" w:cs="Calibri" w:eastAsia="Calibri" w:hAnsi="Calibri"/>
          <w:b w:val="1"/>
          <w:bCs w:val="1"/>
          <w:i w:val="0"/>
          <w:iCs w:val="0"/>
          <w:color w:val="000000"/>
          <w:sz w:val="24"/>
          <w:szCs w:val="24"/>
        </w:rPr>
        <w:t xml:space="preserve">Tabla </w:t>
      </w:r>
      <w:r>
        <w:rPr>
          <w:rFonts w:ascii="Calibri" w:cs="Calibri" w:eastAsia="Calibri" w:hAnsi="Calibri"/>
          <w:b w:val="1"/>
          <w:bCs w:val="1"/>
          <w:i w:val="0"/>
          <w:iCs w:val="0"/>
          <w:color w:val="000000"/>
          <w:sz w:val="24"/>
          <w:szCs w:val="24"/>
        </w:rPr>
        <w:fldChar w:fldCharType="begin"/>
      </w:r>
      <w:r>
        <w:rPr>
          <w:rFonts w:ascii="Calibri" w:cs="Calibri" w:eastAsia="Calibri" w:hAnsi="Calibri"/>
          <w:b w:val="1"/>
          <w:bCs w:val="1"/>
          <w:i w:val="0"/>
          <w:iCs w:val="0"/>
          <w:color w:val="000000"/>
          <w:sz w:val="24"/>
          <w:szCs w:val="24"/>
        </w:rPr>
        <w:instrText xml:space="preserve"> SEQ Tabla \* ARABIC </w:instrText>
      </w:r>
      <w:r>
        <w:rPr>
          <w:rFonts w:ascii="Calibri" w:cs="Calibri" w:eastAsia="Calibri" w:hAnsi="Calibri"/>
          <w:b w:val="1"/>
          <w:bCs w:val="1"/>
          <w:i w:val="0"/>
          <w:iCs w:val="0"/>
          <w:color w:val="000000"/>
          <w:sz w:val="24"/>
          <w:szCs w:val="24"/>
        </w:rPr>
        <w:fldChar w:fldCharType="separate"/>
      </w:r>
      <w:r>
        <w:rPr>
          <w:rFonts w:ascii="Calibri" w:cs="Calibri" w:eastAsia="Calibri" w:hAnsi="Calibri"/>
          <w:b w:val="1"/>
          <w:bCs w:val="1"/>
          <w:i w:val="0"/>
          <w:iCs w:val="0"/>
          <w:color w:val="000000"/>
          <w:sz w:val="24"/>
          <w:szCs w:val="24"/>
        </w:rPr>
        <w:t>12</w:t>
      </w:r>
      <w:r>
        <w:rPr>
          <w:rFonts w:ascii="Calibri" w:cs="Calibri" w:eastAsia="Calibri" w:hAnsi="Calibri"/>
          <w:b w:val="1"/>
          <w:bCs w:val="1"/>
          <w:i w:val="0"/>
          <w:iCs w:val="0"/>
          <w:color w:val="000000"/>
          <w:sz w:val="24"/>
          <w:szCs w:val="24"/>
        </w:rPr>
        <w:fldChar w:fldCharType="end"/>
      </w:r>
      <w:r>
        <w:rPr>
          <w:rFonts w:ascii="Calibri" w:cs="Calibri" w:eastAsia="Calibri" w:hAnsi="Calibri"/>
          <w:b w:val="1"/>
          <w:bCs w:val="1"/>
          <w:i w:val="0"/>
          <w:iCs w:val="0"/>
          <w:color w:val="000000"/>
          <w:sz w:val="24"/>
          <w:szCs w:val="24"/>
        </w:rPr>
        <w:t xml:space="preserve">.</w:t>
      </w:r>
      <w:r>
        <w:rPr>
          <w:rFonts w:ascii="Calibri" w:cs="Calibri" w:eastAsia="Calibri" w:hAnsi="Calibri"/>
          <w:b w:val="0"/>
          <w:bCs w:val="0"/>
          <w:i w:val="1"/>
          <w:iCs w:val="1"/>
          <w:color w:val="000000"/>
          <w:sz w:val="24"/>
          <w:szCs w:val="24"/>
        </w:rPr>
        <w:t xml:space="preserve"> Resultado de las pruebas automatizadas.</w:t>
      </w:r>
    </w:p>
    <w:tbl>
      <w:tblPr>
        <w:tblStyle w:val="Table3"/>
        <w:tblW w:w="9776"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1600"/>
        <w:gridCol w:w="2000"/>
        <w:gridCol w:w="4376"/>
        <w:gridCol w:w="1800"/>
      </w:tblGrid>
      <w:tr>
        <w:trPr>
          <w:cantSplit w:val="1"/>
          <w:tblHeader w:val="1"/>
        </w:trPr>
        <w:tc>
          <w:tcPr>
            <w:tcW w:w="1600" w:type="dxa"/>
          </w:tcPr>
          <w:p>
            <w:pPr>
              <w:spacing w:before="0" w:after="0" w:line="276" w:lineRule="auto"/>
              <w:jc w:val="left"/>
              <w:rPr>
                <w:sz w:val="20"/>
                <w:szCs w:val="20"/>
              </w:rPr>
            </w:pPr>
            <w:r>
              <w:rPr>
                <w:b w:val="1"/>
                <w:bCs w:val="1"/>
                <w:sz w:val="20"/>
                <w:szCs w:val="20"/>
              </w:rPr>
              <w:t xml:space="preserve">Componente</w:t>
            </w:r>
          </w:p>
        </w:tc>
        <w:tc>
          <w:tcPr>
            <w:tcW w:w="2000" w:type="dxa"/>
          </w:tcPr>
          <w:p>
            <w:pPr>
              <w:spacing w:before="0" w:after="0" w:line="276" w:lineRule="auto"/>
              <w:jc w:val="left"/>
              <w:rPr>
                <w:sz w:val="20"/>
                <w:szCs w:val="20"/>
              </w:rPr>
            </w:pPr>
            <w:r>
              <w:rPr>
                <w:b w:val="1"/>
                <w:bCs w:val="1"/>
                <w:sz w:val="20"/>
                <w:szCs w:val="20"/>
              </w:rPr>
              <w:t xml:space="preserve">Herramienta</w:t>
            </w:r>
          </w:p>
        </w:tc>
        <w:tc>
          <w:tcPr>
            <w:tcW w:w="4376" w:type="dxa"/>
          </w:tcPr>
          <w:p>
            <w:pPr>
              <w:spacing w:before="0" w:after="0" w:line="276" w:lineRule="auto"/>
              <w:jc w:val="left"/>
              <w:rPr>
                <w:sz w:val="20"/>
                <w:szCs w:val="20"/>
              </w:rPr>
            </w:pPr>
            <w:r>
              <w:rPr>
                <w:b w:val="1"/>
                <w:bCs w:val="1"/>
                <w:sz w:val="20"/>
                <w:szCs w:val="20"/>
              </w:rPr>
              <w:t xml:space="preserve">Qué cubren</w:t>
            </w:r>
          </w:p>
        </w:tc>
        <w:tc>
          <w:tcPr>
            <w:tcW w:w="1800" w:type="dxa"/>
          </w:tcPr>
          <w:p>
            <w:pPr>
              <w:spacing w:before="0" w:after="0" w:line="276" w:lineRule="auto"/>
              <w:jc w:val="left"/>
              <w:rPr>
                <w:sz w:val="20"/>
                <w:szCs w:val="20"/>
              </w:rPr>
            </w:pPr>
            <w:r>
              <w:rPr>
                <w:b w:val="1"/>
                <w:bCs w:val="1"/>
                <w:sz w:val="20"/>
                <w:szCs w:val="20"/>
              </w:rPr>
              <w:t xml:space="preserve">Resultado</w:t>
            </w:r>
          </w:p>
        </w:tc>
      </w:tr>
      <w:tr>
        <w:trPr>
          <w:cantSplit w:val="1"/>
        </w:trPr>
        <w:tc>
          <w:tcPr>
            <w:tcW w:w="1600" w:type="dxa"/>
          </w:tcPr>
          <w:p>
            <w:pPr>
              <w:spacing w:before="0" w:after="0" w:line="276" w:lineRule="auto"/>
              <w:jc w:val="left"/>
              <w:rPr>
                <w:sz w:val="20"/>
                <w:szCs w:val="20"/>
              </w:rPr>
            </w:pPr>
            <w:r>
              <w:rPr>
                <w:sz w:val="20"/>
                <w:szCs w:val="20"/>
              </w:rPr>
              <w:t xml:space="preserve">API</w:t>
            </w:r>
          </w:p>
        </w:tc>
        <w:tc>
          <w:tcPr>
            <w:tcW w:w="2000" w:type="dxa"/>
          </w:tcPr>
          <w:p>
            <w:pPr>
              <w:spacing w:before="0" w:after="0" w:line="276" w:lineRule="auto"/>
              <w:jc w:val="left"/>
              <w:rPr>
                <w:sz w:val="20"/>
                <w:szCs w:val="20"/>
              </w:rPr>
            </w:pPr>
            <w:r>
              <w:rPr>
                <w:sz w:val="20"/>
                <w:szCs w:val="20"/>
              </w:rPr>
              <w:t xml:space="preserve">JUnit 5, Mockito y MockMvc</w:t>
            </w:r>
          </w:p>
        </w:tc>
        <w:tc>
          <w:tcPr>
            <w:tcW w:w="4376" w:type="dxa"/>
          </w:tcPr>
          <w:p>
            <w:pPr>
              <w:spacing w:before="0" w:after="0" w:line="276" w:lineRule="auto"/>
              <w:jc w:val="left"/>
              <w:rPr>
                <w:sz w:val="20"/>
                <w:szCs w:val="20"/>
              </w:rPr>
            </w:pPr>
            <w:r>
              <w:rPr>
                <w:sz w:val="20"/>
                <w:szCs w:val="20"/>
              </w:rPr>
              <w:t xml:space="preserve">Registro e inicio de sesión, autorización por rol y por propietario, validación del catálogo, conexión con GitHub, cliente de la GitHub App, firma y filtrado del webhook, y transiciones de estado de los releases</w:t>
            </w:r>
          </w:p>
        </w:tc>
        <w:tc>
          <w:tcPr>
            <w:tcW w:w="1800" w:type="dxa"/>
          </w:tcPr>
          <w:p>
            <w:pPr>
              <w:spacing w:before="0" w:after="0" w:line="276" w:lineRule="auto"/>
              <w:jc w:val="left"/>
              <w:rPr>
                <w:sz w:val="20"/>
                <w:szCs w:val="20"/>
              </w:rPr>
            </w:pPr>
            <w:r>
              <w:rPr>
                <w:sz w:val="20"/>
                <w:szCs w:val="20"/>
              </w:rPr>
              <w:t xml:space="preserve">62 de 62 superadas</w:t>
            </w:r>
          </w:p>
        </w:tc>
      </w:tr>
      <w:tr>
        <w:trPr>
          <w:cantSplit w:val="1"/>
        </w:trPr>
        <w:tc>
          <w:tcPr>
            <w:tcW w:w="1600" w:type="dxa"/>
          </w:tcPr>
          <w:p>
            <w:pPr>
              <w:spacing w:before="0" w:after="0" w:line="276" w:lineRule="auto"/>
              <w:jc w:val="left"/>
              <w:rPr>
                <w:sz w:val="20"/>
                <w:szCs w:val="20"/>
              </w:rPr>
            </w:pPr>
            <w:r>
              <w:rPr>
                <w:sz w:val="20"/>
                <w:szCs w:val="20"/>
              </w:rPr>
              <w:t xml:space="preserve">Portal</w:t>
            </w:r>
          </w:p>
        </w:tc>
        <w:tc>
          <w:tcPr>
            <w:tcW w:w="2000" w:type="dxa"/>
          </w:tcPr>
          <w:p>
            <w:pPr>
              <w:spacing w:before="0" w:after="0" w:line="276" w:lineRule="auto"/>
              <w:jc w:val="left"/>
              <w:rPr>
                <w:sz w:val="20"/>
                <w:szCs w:val="20"/>
              </w:rPr>
            </w:pPr>
            <w:r>
              <w:rPr>
                <w:sz w:val="20"/>
                <w:szCs w:val="20"/>
              </w:rPr>
              <w:t xml:space="preserve">Vitest</w:t>
            </w:r>
          </w:p>
        </w:tc>
        <w:tc>
          <w:tcPr>
            <w:tcW w:w="4376" w:type="dxa"/>
          </w:tcPr>
          <w:p>
            <w:pPr>
              <w:spacing w:before="0" w:after="0" w:line="276" w:lineRule="auto"/>
              <w:jc w:val="left"/>
              <w:rPr>
                <w:sz w:val="20"/>
                <w:szCs w:val="20"/>
              </w:rPr>
            </w:pPr>
            <w:r>
              <w:rPr>
                <w:sz w:val="20"/>
                <w:szCs w:val="20"/>
              </w:rPr>
              <w:t xml:space="preserve">Configuración, autenticación, validación del catálogo, estimador de costes, página de vuelta de GitHub, formulario de nueva aplicación, detalle de la aplicación y modo de demostración</w:t>
            </w:r>
          </w:p>
        </w:tc>
        <w:tc>
          <w:tcPr>
            <w:tcW w:w="1800" w:type="dxa"/>
          </w:tcPr>
          <w:p>
            <w:pPr>
              <w:spacing w:before="0" w:after="0" w:line="276" w:lineRule="auto"/>
              <w:jc w:val="left"/>
              <w:rPr>
                <w:sz w:val="20"/>
                <w:szCs w:val="20"/>
              </w:rPr>
            </w:pPr>
            <w:r>
              <w:rPr>
                <w:sz w:val="20"/>
                <w:szCs w:val="20"/>
              </w:rPr>
              <w:t xml:space="preserve">53 de 53 superadas</w:t>
            </w:r>
          </w:p>
        </w:tc>
      </w:tr>
    </w:tbl>
    <w:p>
      <w:pPr>
        <w:spacing w:after="0" w:line="276" w:lineRule="auto"/>
        <w:ind w:left="-113" w:right="-215" w:firstLine="0"/>
        <w:jc w:val="center"/>
        <w:rPr>
          <w:color w:val="595959"/>
          <w:sz w:val="19"/>
          <w:szCs w:val="19"/>
        </w:rPr>
      </w:pPr>
      <w:r>
        <w:rPr>
          <w:color w:val="595959"/>
          <w:sz w:val="19"/>
          <w:szCs w:val="19"/>
        </w:rPr>
        <w:t xml:space="preserve">Fuente: Elaboración propia.</w:t>
      </w:r>
    </w:p>
    <w:p>
      <w:pPr>
        <w:rPr/>
      </w:pPr>
    </w:p>
    <w:p>
      <w:pPr>
        <w:pStyle w:val="Heading3"/>
        <w:numPr>
          <w:ilvl w:val="2"/>
          <w:numId w:val="9"/>
        </w:numPr>
        <w:ind w:left="720" w:hanging="720"/>
        <w:rPr/>
      </w:pPr>
      <w:r>
        <w:t xml:space="preserve">Validación funcional</w:t>
      </w:r>
    </w:p>
    <w:p>
      <w:pPr>
        <w:rPr/>
      </w:pPr>
      <w:r>
        <w:rPr/>
        <w:t xml:space="preserve">El 24/10/2026 se ejecutó la plataforma en local, con la API en modo de AWS simulado y GitHub real. Se comprobó el flujo de registro e inicio de sesión y la conexión con GitHub mediante la GitHub App de desarrollo: instalación en la cuenta, autorización del usuario, vuelta al portal y registro de la conexión en el cliente. </w:t>
      </w:r>
      <w:r>
        <w:rPr>
          <w:highlight w:val="yellow"/>
        </w:rPr>
        <w:t xml:space="preserve">[Completar con el resto del flujo probado: conexión con AWS, creación de una aplicación y seguimiento del release.]</w:t>
      </w:r>
    </w:p>
    <w:p>
      <w:pPr>
        <w:rPr/>
      </w:pPr>
    </w:p>
    <w:p>
      <w:pPr>
        <w:pStyle w:val="Heading3"/>
        <w:numPr>
          <w:ilvl w:val="2"/>
          <w:numId w:val="9"/>
        </w:numPr>
        <w:ind w:left="720" w:hanging="720"/>
        <w:rPr/>
      </w:pPr>
      <w:r>
        <w:t xml:space="preserve">Evaluación pendiente</w:t>
      </w:r>
    </w:p>
    <w:p>
      <w:pPr>
        <w:rPr/>
      </w:pPr>
      <w:r>
        <w:rPr/>
        <w:t xml:space="preserve">Para completar la evaluación quedan las siguientes actividades:</w:t>
      </w:r>
    </w:p>
    <w:p>
      <w:pPr>
        <w:numPr>
          <w:ilvl w:val="0"/>
          <w:numId w:val="1"/>
        </w:numPr>
        <w:ind w:left="720" w:hanging="360"/>
        <w:rPr/>
      </w:pPr>
      <w:r>
        <w:rPr/>
        <w:t xml:space="preserve">Despliegue real de las tres plantillas en una cuenta de AWS de pruebas, verificando la URL resultante y la vuelta atrás ante un despliegue fallido.</w:t>
      </w:r>
    </w:p>
    <w:p>
      <w:pPr>
        <w:numPr>
          <w:ilvl w:val="0"/>
          <w:numId w:val="1"/>
        </w:numPr>
        <w:ind w:left="720" w:hanging="360"/>
        <w:rPr/>
      </w:pPr>
      <w:r>
        <w:rPr/>
        <w:t xml:space="preserve">Despliegue automático por </w:t>
      </w:r>
      <w:r>
        <w:rPr>
          <w:i w:val="1"/>
          <w:iCs w:val="1"/>
        </w:rPr>
        <w:t xml:space="preserve">merge</w:t>
      </w:r>
      <w:r>
        <w:rPr/>
        <w:t xml:space="preserve">, con el webhook expuesto mediante una URL pública.</w:t>
      </w:r>
    </w:p>
    <w:p>
      <w:pPr>
        <w:numPr>
          <w:ilvl w:val="0"/>
          <w:numId w:val="1"/>
        </w:numPr>
        <w:ind w:left="720" w:hanging="360"/>
        <w:rPr/>
      </w:pPr>
      <w:r>
        <w:rPr/>
        <w:t xml:space="preserve">Validación de un caso de uso representativo de una PYME, de extremo a extremo.</w:t>
      </w:r>
    </w:p>
    <w:p>
      <w:pPr>
        <w:numPr>
          <w:ilvl w:val="0"/>
          <w:numId w:val="1"/>
        </w:numPr>
        <w:ind w:left="720" w:hanging="360"/>
        <w:rPr/>
      </w:pPr>
      <w:r>
        <w:rPr/>
        <w:t xml:space="preserve">Evaluación de la usabilidad con usuarios, por ejemplo mediante el cuestionario SUS (</w:t>
      </w:r>
      <w:r>
        <w:rPr>
          <w:i w:val="1"/>
          <w:iCs w:val="1"/>
        </w:rPr>
        <w:t xml:space="preserve">System Usability Scale</w:t>
      </w:r>
      <w:r>
        <w:rPr/>
        <w:t xml:space="preserve">), y comparación del coste estimado con el coste real facturado por AWS.</w:t>
      </w:r>
    </w:p>
    <w:p>
      <w:pPr>
        <w:rPr/>
      </w:pPr>
      <w:r>
        <w:br w:type="page"/>
      </w:r>
    </w:p>
    <w:p w:rsidR="00000000" w:rsidDel="00000000" w:rsidP="00000000" w:rsidRDefault="00000000" w:rsidRPr="00000000" w14:paraId="00000131">
      <w:pPr>
        <w:keepNext w:val="1"/>
        <w:pBdr>
          <w:top w:space="0" w:sz="0" w:val="nil"/>
          <w:left w:space="0" w:sz="0" w:val="nil"/>
          <w:bottom w:space="0" w:sz="0" w:val="nil"/>
          <w:right w:space="0" w:sz="0" w:val="nil"/>
          <w:between w:space="0" w:sz="0" w:val="nil"/>
        </w:pBdr>
        <w:ind w:left="360" w:hanging="360"/>
        <w:rPr>
          <w:color w:val="0098cd"/>
          <w:sz w:val="36"/>
          <w:szCs w:val="36"/>
        </w:rPr>
      </w:pPr>
      <w:r w:rsidDel="00000000" w:rsidR="00000000" w:rsidRPr="00000000">
        <w:rPr>
          <w:color w:val="0098cd"/>
          <w:sz w:val="36"/>
          <w:szCs w:val="36"/>
          <w:rtl w:val="0"/>
        </w:rPr>
        <w:t xml:space="preserve">Referencias bibliográficas</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Adzic, G., &amp; Chatley, R. (2017). Serverless computing: economic and architectural impact.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Proceedings of the ACM SIGSOFT Symposium on the Foundations of Software Engineering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2017-January, 884–889. </w:t>
      </w:r>
      <w:hyperlink r:id="rId13">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https://doi.org/10.1145/3106237.3117767</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Alif, R. G., &amp; Munggaran, L. C. (2024). Implementation of GitOps in containerized infrastructure.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Rabit: Jurnal Teknologi dan Sistem Informasi Univrab</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9(1), 154–161. </w:t>
      </w:r>
      <w:hyperlink r:id="rId14">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https://doi.org/10.36341/RABIT.V9I1.3787</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Alshamaila, Y., Papagiannidis, S., &amp; Li, F. (2012). Cloud computing adoption: An exploratory study.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WEBIST 2012 - Proceedings of the 8th International Conference on Web Information Systems and Technologies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518–524. </w:t>
      </w:r>
      <w:hyperlink r:id="rId15">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https://doi.org/10.5220/0003884105180524</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Amazon Web Services. (2022).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Architect your solution for Amazon ECS - Amazon Elastic Container Service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hyperlink r:id="rId16">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https://docs.aws.amazon.com/AmazonECS/latest/developerguide/ecs-configuration.html</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Artac, M., Borovsak, T., Di Nitto, E., Guerriero, M., &amp; Tamburri, D. A. (2017). DevOps: Introducing infrastructure-as-code.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Proceedings - 2017 IEEE/ACM 39th International Conference on Software Engineering Companion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ICSE-C 2017, 497–498. </w:t>
      </w:r>
      <w:hyperlink r:id="rId17">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https://doi.org/10.1109/ICSE-C.2017.162</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Castro-Arana, J. L. (2023).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Gestión y desarrollo de un Monedero Virtual con tecnología NFC “PayBluem”</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[Trabajo Fin de Máster, Universidad Internacional de La Rioja]. Repositorio Institucional UNIR. </w:t>
      </w:r>
      <w:hyperlink r:id="rId18">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https://reunir.unir.net/handle/123456789/14490</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Domingo Soriano, S., &amp; Isabel Guevara Arias, V. (2022). La nube en Pymes mediante las normas ISO 27005.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Revista Ingeniería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6(15), 169–182. </w:t>
      </w:r>
      <w:hyperlink r:id="rId19">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https://doi.org/10.33996/REVISTAINGENIERIA.V6I15.98</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Fernandez, E. B. (2007). Security patterns and secure systems design.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Lecture Notes in Computer Science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4746 LNCS, 233–234. </w:t>
      </w:r>
      <w:hyperlink r:id="rId20">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https://doi.org/10.1007/978-3-540-75294-3_18</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Guerriero, M., Garriga, M., Tamburri, D. A., &amp; Palomba, F. (2019). Adoption, Support, and Challenges of Infrastructure-as-Code: Insights from Industry.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Proceedings - 2019 IEEE International Conference on Software Maintenance and Evolution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ICSME 2019, 580–589. </w:t>
      </w:r>
      <w:hyperlink r:id="rId21">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https://doi.org/10.1109/ICSME.2019.00092</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Hirs-Garzón, J., &amp; Vargas, F. (2023).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Prioridades para la digitalización empresarial en América Latina y el Caribe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Banco Interamericano de Desarrollo. </w:t>
      </w:r>
      <w:hyperlink r:id="rId22">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https://doi.org/10.18235/0005166</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Jones, S., Noppen, J., &amp; Lettice, F. (2016). Management Challenges for DevOps Adoption within UK SMEs.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QUDOS 2016 - Proceedings of the 2nd International Workshop on Quality-Aware DevOps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7–11. </w:t>
      </w:r>
      <w:hyperlink r:id="rId23">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https://doi.org/10.1145/2945408.2945410</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Kratzke, N., &amp; Quint, P. C. (2017). Understanding cloud-native applications after 10 years of cloud computing - A systematic mapping study.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Journal of Systems and Software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126, 1–16. </w:t>
      </w:r>
      <w:hyperlink r:id="rId24">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https://doi.org/10.1016/J.JSS.2017.01.001</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Kumara, I., Garriga, M., Romeu, A. U., Di Nucci, D., Palomba, F., Tamburri, D. A., &amp; van den Heuvel, W. J. (2021). The do’s and don’ts of infrastructure code: A systematic gray literature review.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Information and Software Technology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137, 106593. </w:t>
      </w:r>
      <w:hyperlink r:id="rId25">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https://doi.org/10.1016/J.INFSOF.2021.106593</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Limón Ulloa, R., Patricia, E., Álvarez, B., Bernal, C. Á., Beatriz, C., Castro, P., &amp; Figueroa, J. S. (2025). Adopción de Computación en la Nube para Desarrollo de Software Ágil: Aproximación desde las PYMES del estado de Sonora-México.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Ciencia y Reflexión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4(3), 1751–1778. </w:t>
      </w:r>
      <w:hyperlink r:id="rId26">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https://doi.org/10.70747/CR.V4I3.541</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Morris, K. (2021).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Infrastructure as code: Dynamic systems for the cloud age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(2.ª ed.). O’Reilly Media, Inc. </w:t>
      </w:r>
      <w:hyperlink r:id="rId27">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https://www.oreilly.com/library/view/infrastructure-as-code/9781491924334/</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Nygard, M. T. (2018).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Release It!: Design and Deploy Production-Ready Software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(2.ª ed.). Pragmatic Bookshelf. </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Ortiz, E., Cristhian Villacorta, &amp; Mendoza, A. (2024). Seguridad de la Información en la Nube: Una revisión sistemática.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Revista Científica Ciencias Ingenieriles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4(1), 69–78. </w:t>
      </w:r>
      <w:hyperlink r:id="rId28">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https://doi.org/10.54943/RICCI.V4I1.383</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OWASP Foundation. (2025).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OWASP Top 10:2025</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hyperlink r:id="rId29">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https://top10.owasp.org/2025/</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Pahl, C., Jamshidi, P., &amp; Zimmermann, O. (2018). Architectural principles for cloud software.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ACM Transactions on Internet Technology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18(2), 1–23. </w:t>
      </w:r>
      <w:hyperlink r:id="rId30">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https://doi.org/10.1145/3104028</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Rahman, A., Parnin, C., &amp; Williams, L. (2019). The Seven Sins: Security Smells in Infrastructure as Code Scripts.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Proceedings - International Conference on Software Engineering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2019-May, 164–175. </w:t>
      </w:r>
      <w:hyperlink r:id="rId31">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https://doi.org/10.1109/ICSE.2019.00033</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Skelton, M., &amp; Pais, M. (2019).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Team Topologies: Organizing Business and Technology Teams for Fast Flow</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IT Revolution Press. </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284" w:right="0" w:hanging="284"/>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Sridharan, C. (2018).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Distributed systems observability: A guide to building robust systems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O’Reilly Media, Inc. </w:t>
      </w:r>
      <w:hyperlink r:id="rId32">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https://www.oreilly.com/library/view/distributed-systems-observability/9781492033431/</w:t>
        </w:r>
      </w:hyperlink>
      <w:r w:rsidDel="00000000" w:rsidR="00000000" w:rsidRPr="00000000">
        <w:rPr>
          <w:rtl w:val="0"/>
        </w:rPr>
      </w:r>
    </w:p>
    <w:p w:rsidR="00000000" w:rsidDel="00000000" w:rsidP="00000000" w:rsidRDefault="00000000" w:rsidRPr="00000000" w14:paraId="00000148">
      <w:pPr>
        <w:rPr/>
      </w:pPr>
      <w:r w:rsidDel="00000000" w:rsidR="00000000" w:rsidRPr="00000000">
        <w:br w:type="page"/>
      </w:r>
      <w:r w:rsidDel="00000000" w:rsidR="00000000" w:rsidRPr="00000000">
        <w:rPr>
          <w:rtl w:val="0"/>
        </w:rPr>
      </w:r>
    </w:p>
    <w:p w:rsidR="00000000" w:rsidDel="00000000" w:rsidP="00000000" w:rsidRDefault="00000000" w:rsidRPr="00000000" w14:paraId="00000149">
      <w:pPr>
        <w:numPr>
          <w:ilvl w:val="0"/>
          <w:numId w:val="6"/>
        </w:numPr>
        <w:ind w:left="720" w:hanging="360"/>
        <w:rPr/>
      </w:pPr>
      <w:r w:rsidDel="00000000" w:rsidR="00000000" w:rsidRPr="00000000">
        <w:rPr>
          <w:color w:val="0098cd"/>
          <w:sz w:val="36"/>
          <w:szCs w:val="36"/>
          <w:rtl w:val="0"/>
        </w:rPr>
        <w:t xml:space="preserve">Artículo</w:t>
      </w:r>
      <w:r w:rsidDel="00000000" w:rsidR="00000000" w:rsidRPr="00000000">
        <w:rPr>
          <w:rtl w:val="0"/>
        </w:rPr>
      </w:r>
    </w:p>
    <w:p w:rsidR="00000000" w:rsidDel="00000000" w:rsidP="00000000" w:rsidRDefault="00000000" w:rsidRPr="00000000" w14:paraId="0000014A">
      <w:pPr>
        <w:jc w:val="center"/>
        <w:rPr/>
      </w:pPr>
      <w:r w:rsidDel="00000000" w:rsidR="00000000" w:rsidRPr="00000000">
        <w:rPr>
          <w:rFonts w:ascii="Times New Roman" w:cs="Times New Roman" w:eastAsia="Times New Roman" w:hAnsi="Times New Roman"/>
          <w:b w:val="1"/>
          <w:bCs w:val="1"/>
          <w:sz w:val="28"/>
          <w:szCs w:val="28"/>
          <w:rtl w:val="0"/>
        </w:rPr>
        <w:t xml:space="preserve">Diseño e implementación de una plataforma de autoservicio cloud para simplificar la gestión de infraestructura moderna en PYMEs</w:t>
      </w:r>
      <w:r w:rsidDel="00000000" w:rsidR="00000000" w:rsidRPr="00000000">
        <w:rPr>
          <w:rtl w:val="0"/>
        </w:rPr>
      </w:r>
    </w:p>
    <w:p w:rsidR="00000000" w:rsidDel="00000000" w:rsidP="00000000" w:rsidRDefault="00000000" w:rsidRPr="00000000" w14:paraId="0000014B">
      <w:pPr>
        <w:jc w:val="center"/>
        <w:rPr/>
      </w:pPr>
      <w:r w:rsidDel="00000000" w:rsidR="00000000" w:rsidRPr="00000000">
        <w:rPr>
          <w:rFonts w:ascii="Times New Roman" w:cs="Times New Roman" w:eastAsia="Times New Roman" w:hAnsi="Times New Roman"/>
          <w:sz w:val="22"/>
          <w:szCs w:val="22"/>
          <w:rtl w:val="0"/>
        </w:rPr>
        <w:t xml:space="preserve">Elkin Fabian Marmolejo Rodríguez, Juan Daniel Ortiz Ceballos</w:t>
      </w:r>
      <w:r w:rsidDel="00000000" w:rsidR="00000000" w:rsidRPr="00000000">
        <w:rPr>
          <w:rtl w:val="0"/>
        </w:rPr>
      </w:r>
    </w:p>
    <w:p w:rsidR="00000000" w:rsidDel="00000000" w:rsidP="00000000" w:rsidRDefault="00000000" w:rsidRPr="00000000" w14:paraId="0000014C">
      <w:pPr>
        <w:jc w:val="center"/>
        <w:rPr/>
      </w:pPr>
      <w:r w:rsidDel="00000000" w:rsidR="00000000" w:rsidRPr="00000000">
        <w:rPr>
          <w:rFonts w:ascii="Times New Roman" w:cs="Times New Roman" w:eastAsia="Times New Roman" w:hAnsi="Times New Roman"/>
          <w:i w:val="1"/>
          <w:iCs w:val="1"/>
          <w:sz w:val="20"/>
          <w:szCs w:val="20"/>
          <w:rtl w:val="0"/>
        </w:rPr>
        <w:t xml:space="preserve">Universidad Internacional de La Rioja, Logroño (España)</w:t>
      </w:r>
      <w:r w:rsidDel="00000000" w:rsidR="00000000" w:rsidRPr="00000000">
        <w:rPr>
          <w:rtl w:val="0"/>
        </w:rPr>
      </w:r>
    </w:p>
    <w:p w:rsidR="00000000" w:rsidDel="00000000" w:rsidP="00000000" w:rsidRDefault="00000000" w:rsidRPr="00000000" w14:paraId="0000014D">
      <w:pPr>
        <w:jc w:val="center"/>
        <w:rPr/>
      </w:pPr>
      <w:r w:rsidDel="00000000" w:rsidR="00000000" w:rsidRPr="00000000">
        <w:rPr>
          <w:rFonts w:ascii="Times New Roman" w:cs="Times New Roman" w:eastAsia="Times New Roman" w:hAnsi="Times New Roman"/>
          <w:sz w:val="20"/>
          <w:szCs w:val="20"/>
          <w:rtl w:val="0"/>
        </w:rPr>
        <w:t xml:space="preserve">[Fecha de entrega]</w:t>
      </w: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Pr>
          <w:rFonts w:ascii="Times New Roman" w:cs="Times New Roman" w:eastAsia="Times New Roman" w:hAnsi="Times New Roman"/>
          <w:b w:val="1"/>
          <w:bCs w:val="1"/>
          <w:i w:val="1"/>
          <w:iCs w:val="1"/>
          <w:sz w:val="20"/>
          <w:szCs w:val="20"/>
        </w:rPr>
        <w:t xml:space="preserve">Resumen:</w:t>
      </w:r>
      <w:r>
        <w:rPr>
          <w:rFonts w:ascii="Times New Roman" w:cs="Times New Roman" w:eastAsia="Times New Roman" w:hAnsi="Times New Roman"/>
          <w:i w:val="1"/>
          <w:iCs w:val="1"/>
          <w:sz w:val="20"/>
          <w:szCs w:val="20"/>
        </w:rPr>
        <w:t xml:space="preserve"> Las pequeñas y medianas empresas (PYMEs) enfrentan dificultades para adoptar infraestructura cloud moderna debido al alto costo de sostener equipos especializados en DevOps y arquitectura cloud. Este trabajo propone el diseño e implementación de una plataforma de autoservicio cloud que automatiza, mediante Infraestructura como Código (Terraform) y servicios gestionados de AWS (EC2 con Auto Scaling, S3 y CloudFront), el despliegue de aplicaciones de PYMEs en su propia cuenta de AWS, incorporando observabilidad básica (Amazon CloudWatch y AWS X-Ray) y controles de seguridad desde el diseño. La metodología sigue un enfoque ágil iterativo e incremental, organizado en cuatro sprints alineados con el calendario de entregas del TFM. Al cierre de este artículo se han desarrollado el portal web en Angular, la API de orquestación en Spring Boot y la integración con GitHub; el aprovisionamiento real en AWS se encuentra en curso.</w:t>
      </w:r>
    </w:p>
    <w:p w:rsidR="00000000" w:rsidDel="00000000" w:rsidP="00000000" w:rsidRDefault="00000000" w:rsidRPr="00000000" w14:paraId="00000150">
      <w:pPr>
        <w:rPr/>
      </w:pPr>
      <w:r w:rsidDel="00000000" w:rsidR="00000000" w:rsidRPr="00000000">
        <w:rPr>
          <w:rFonts w:ascii="Times New Roman" w:cs="Times New Roman" w:eastAsia="Times New Roman" w:hAnsi="Times New Roman"/>
          <w:b w:val="1"/>
          <w:bCs w:val="1"/>
          <w:i w:val="1"/>
          <w:iCs w:val="1"/>
          <w:sz w:val="20"/>
          <w:szCs w:val="20"/>
          <w:rtl w:val="0"/>
        </w:rPr>
        <w:t xml:space="preserve">Palabras clave: </w:t>
      </w:r>
      <w:r w:rsidDel="00000000" w:rsidR="00000000" w:rsidRPr="00000000">
        <w:rPr>
          <w:rFonts w:ascii="Times New Roman" w:cs="Times New Roman" w:eastAsia="Times New Roman" w:hAnsi="Times New Roman"/>
          <w:i w:val="1"/>
          <w:iCs w:val="1"/>
          <w:sz w:val="20"/>
          <w:szCs w:val="20"/>
          <w:rtl w:val="0"/>
        </w:rPr>
        <w:t xml:space="preserve">automatización de infraestructura, computación en la nube, Infraestructura como Código, observabilidad, PYMEs.</w:t>
      </w: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Fonts w:ascii="Times New Roman" w:cs="Times New Roman" w:eastAsia="Times New Roman" w:hAnsi="Times New Roman"/>
          <w:b w:val="1"/>
          <w:bCs w:val="1"/>
          <w:smallCaps w:val="1"/>
          <w:color w:val="0098cd"/>
          <w:sz w:val="20"/>
          <w:szCs w:val="20"/>
          <w:rtl w:val="0"/>
        </w:rPr>
        <w:t xml:space="preserve">I. Introducción</w:t>
      </w:r>
      <w:r w:rsidDel="00000000" w:rsidR="00000000" w:rsidRPr="00000000">
        <w:rPr>
          <w:rtl w:val="0"/>
        </w:rPr>
      </w:r>
    </w:p>
    <w:p w:rsidR="00000000" w:rsidDel="00000000" w:rsidP="00000000" w:rsidRDefault="00000000" w:rsidRPr="00000000" w14:paraId="00000153">
      <w:pPr>
        <w:rPr/>
      </w:pPr>
      <w:r w:rsidDel="00000000" w:rsidR="00000000" w:rsidRPr="00000000">
        <w:rPr>
          <w:rFonts w:ascii="Times New Roman" w:cs="Times New Roman" w:eastAsia="Times New Roman" w:hAnsi="Times New Roman"/>
          <w:sz w:val="20"/>
          <w:szCs w:val="20"/>
          <w:rtl w:val="0"/>
        </w:rPr>
        <w:t xml:space="preserve">La adopción de tecnologías cloud modernas constituye hoy un factor clave de competitividad empresarial. Sin embargo, las PYMEs afrontan una barrera estructural: sostener de forma permanente un equipo propio especializado en DevOps y arquitectura cloud representa una inversión difícil de justificar para organizaciones de menor tamaño, lo que las lleva con frecuencia a depender de procesos manuales de configuración y despliegue, poco escalables y propensos a errores. Este trabajo plantea el problema de la falta de mecanismos accesibles para que las PYMEs aprovisionen y gestionen infraestructura cloud moderna en AWS sin depender de conocimientos avanzados en automatización, contenedores u observabilidad. Como respuesta, se propone diseñar e implementar una plataforma de autoservicio cloud que traslade esa complejidad técnica a plantillas preconfiguradas de Infraestructura como Código.</w:t>
      </w:r>
      <w:r w:rsidDel="00000000" w:rsidR="00000000" w:rsidRPr="00000000">
        <w:rPr>
          <w:rtl w:val="0"/>
        </w:rPr>
      </w:r>
    </w:p>
    <w:p w:rsidR="00000000" w:rsidDel="00000000" w:rsidP="00000000" w:rsidRDefault="00000000" w:rsidRPr="00000000" w14:paraId="00000154">
      <w:pPr>
        <w:rPr/>
      </w:pPr>
      <w:r w:rsidDel="00000000" w:rsidR="00000000" w:rsidRPr="00000000">
        <w:rPr>
          <w:rFonts w:ascii="Times New Roman" w:cs="Times New Roman" w:eastAsia="Times New Roman" w:hAnsi="Times New Roman"/>
          <w:b w:val="1"/>
          <w:bCs w:val="1"/>
          <w:smallCaps w:val="1"/>
          <w:color w:val="0098cd"/>
          <w:sz w:val="20"/>
          <w:szCs w:val="20"/>
          <w:rtl w:val="0"/>
        </w:rPr>
        <w:t xml:space="preserve">II. Estado del Arte</w:t>
      </w:r>
      <w:r w:rsidDel="00000000" w:rsidR="00000000" w:rsidRPr="00000000">
        <w:rPr>
          <w:rtl w:val="0"/>
        </w:rPr>
      </w:r>
    </w:p>
    <w:p w:rsidR="00000000" w:rsidDel="00000000" w:rsidP="00000000" w:rsidRDefault="00000000" w:rsidRPr="00000000" w14:paraId="00000155">
      <w:pPr>
        <w:rPr/>
      </w:pPr>
      <w:r w:rsidDel="00000000" w:rsidR="00000000" w:rsidRPr="00000000">
        <w:rPr>
          <w:rFonts w:ascii="Times New Roman" w:cs="Times New Roman" w:eastAsia="Times New Roman" w:hAnsi="Times New Roman"/>
          <w:sz w:val="20"/>
          <w:szCs w:val="20"/>
          <w:rtl w:val="0"/>
        </w:rPr>
        <w:t xml:space="preserve">El paradigma cloud-native propone construir sistemas distribuidos, elásticos y compuestos por microservicios desplegados en contenedores y gestionados de forma automatizada [1]. La Infraestructura como Código (IaC) traslada estos principios a la gestión de infraestructura, tratando servidores y redes con las mismas prácticas que el código fuente: control de versiones, revisión y pruebas automatizadas [2]. Sobre esta base, la Ingeniería de Plataformas propone construir plataformas de autoservicio que abstraigan dicha complejidad para equipos sin perfil de operaciones [3]. En paralelo, la observabilidad —sustentada en métricas, registros y trazas— permite inferir el estado interno de un sistema distribuido y diagnosticar fallos en entornos complejos [4]. No obstante, la literatura muestra que la adopción de DevOps resulta difícil de sostener en el tiempo incluso en organizaciones con presupuesto dedicado [5], y que la brecha de digitalización entre PYMEs y grandes empresas persiste en regiones como América Latina y el Caribe [6]. Estos hallazgos evidencian la necesidad de soluciones que democraticen el acceso a buenas prácticas de automatización e IaC para organizaciones con recursos técnicos limitados.</w:t>
      </w:r>
      <w:r w:rsidDel="00000000" w:rsidR="00000000" w:rsidRPr="00000000">
        <w:rPr>
          <w:rtl w:val="0"/>
        </w:rPr>
      </w:r>
    </w:p>
    <w:p w:rsidR="00000000" w:rsidDel="00000000" w:rsidP="00000000" w:rsidRDefault="00000000" w:rsidRPr="00000000" w14:paraId="00000156">
      <w:pPr>
        <w:rPr/>
      </w:pPr>
      <w:r w:rsidDel="00000000" w:rsidR="00000000" w:rsidRPr="00000000">
        <w:rPr>
          <w:rFonts w:ascii="Times New Roman" w:cs="Times New Roman" w:eastAsia="Times New Roman" w:hAnsi="Times New Roman"/>
          <w:b w:val="1"/>
          <w:bCs w:val="1"/>
          <w:smallCaps w:val="1"/>
          <w:color w:val="0098cd"/>
          <w:sz w:val="20"/>
          <w:szCs w:val="20"/>
          <w:rtl w:val="0"/>
        </w:rPr>
        <w:t xml:space="preserve">III. Objetivos y Metodología</w:t>
      </w:r>
      <w:r w:rsidDel="00000000" w:rsidR="00000000" w:rsidRPr="00000000">
        <w:rPr>
          <w:rtl w:val="0"/>
        </w:rPr>
      </w:r>
    </w:p>
    <w:p w:rsidR="00000000" w:rsidDel="00000000" w:rsidP="00000000" w:rsidRDefault="00000000" w:rsidRPr="00000000" w14:paraId="00000157">
      <w:pPr>
        <w:rPr/>
      </w:pPr>
      <w:r>
        <w:rPr>
          <w:rFonts w:ascii="Times New Roman" w:cs="Times New Roman" w:eastAsia="Times New Roman" w:hAnsi="Times New Roman"/>
          <w:sz w:val="20"/>
          <w:szCs w:val="20"/>
        </w:rPr>
        <w:t xml:space="preserve">El objetivo general de este trabajo es diseñar e implementar una plataforma de autoservicio cloud que facilite el despliegue y la gestión inicial de infraestructura moderna en AWS para PYMEs, mediante automatización basada en IaC y mecanismos básicos de observabilidad. De él se derivan cuatro objetivos específicos: (i) diseñar una arquitectura cloud-native modular apoyada en contenedores y servicios gestionados de AWS (EC2 con Auto Scaling, S3 y CloudFront); (ii) desarrollar una plataforma web de autoservicio que automatice el aprovisionamiento mediante plantillas de Terraform; (iii) integrar observabilidad básica mediante Amazon CloudWatch y AWS X-Ray; y (iv) evaluar la usabilidad y aplicabilidad de la plataforma con un caso de uso representativo. El desarrollo se organiza mediante una metodología ágil iterativa e incremental, en cuatro sprints de aproximadamente dos semanas, alineados con el calendario oficial de entregas del TFM, de modo que cada entrega coincida con el cierre de una iteración.</w:t>
      </w:r>
    </w:p>
    <w:p w:rsidR="00000000" w:rsidDel="00000000" w:rsidP="00000000" w:rsidRDefault="00000000" w:rsidRPr="00000000" w14:paraId="00000158">
      <w:pPr>
        <w:rPr/>
      </w:pPr>
      <w:r w:rsidDel="00000000" w:rsidR="00000000" w:rsidRPr="00000000">
        <w:rPr>
          <w:rFonts w:ascii="Times New Roman" w:cs="Times New Roman" w:eastAsia="Times New Roman" w:hAnsi="Times New Roman"/>
          <w:b w:val="1"/>
          <w:bCs w:val="1"/>
          <w:smallCaps w:val="1"/>
          <w:color w:val="0098cd"/>
          <w:sz w:val="20"/>
          <w:szCs w:val="20"/>
          <w:rtl w:val="0"/>
        </w:rPr>
        <w:t xml:space="preserve">IV. Contribución</w:t>
      </w:r>
      <w:r w:rsidDel="00000000" w:rsidR="00000000" w:rsidRPr="00000000">
        <w:rPr>
          <w:rtl w:val="0"/>
        </w:rPr>
      </w:r>
    </w:p>
    <w:p w:rsidR="00000000" w:rsidDel="00000000" w:rsidP="00000000" w:rsidRDefault="00000000" w:rsidRPr="00000000" w14:paraId="00000159">
      <w:pPr>
        <w:rPr/>
      </w:pPr>
      <w:r>
        <w:rPr>
          <w:rFonts w:ascii="Times New Roman" w:cs="Times New Roman" w:eastAsia="Times New Roman" w:hAnsi="Times New Roman"/>
          <w:sz w:val="20"/>
          <w:szCs w:val="20"/>
        </w:rPr>
        <w:t xml:space="preserve">La contribución de este trabajo es una plataforma web de autoservicio que permite a una PYME desplegar sus aplicaciones en su propia cuenta de AWS sin intervención manual directa sobre la consola cloud. Su arquitectura contempla un portal web en Angular desde el que el cliente conecta su cuenta de AWS y su repositorio de GitHub, elige una plantilla y la configura con una estimación de coste en vivo; una API en Spring Boot que valida cada solicitud y orquesta plantillas de Infraestructura como Código escritas en Terraform para desplegar los componentes de red, cómputo (Auto Scaling de EC2 detrás de un balanceador ALB) y distribución del frontend (S3 y CloudFront); y observabilidad con Amazon CloudWatch y AWS X-Ray. La plataforma accede a la cuenta del cliente asumiendo un rol IAM con External ID, por lo que nunca guarda credenciales permanentes, y los controles de seguridad (autenticación, cifrado en tránsito y gestión centralizada de secretos) se incorporan desde el diseño. Al cierre de este artículo, el portal web, la API y la integración con GitHub están implementados, y las plantillas de IaC y el pipeline de despliegue se encuentran en desarrollo conforme a la planificación de sprints descrita en la Sección III.</w:t>
      </w:r>
    </w:p>
    <w:p w:rsidR="00000000" w:rsidDel="00000000" w:rsidP="00000000" w:rsidRDefault="00000000" w:rsidRPr="00000000" w14:paraId="0000015A">
      <w:pPr>
        <w:rPr/>
      </w:pPr>
      <w:r w:rsidDel="00000000" w:rsidR="00000000" w:rsidRPr="00000000">
        <w:rPr>
          <w:rFonts w:ascii="Times New Roman" w:cs="Times New Roman" w:eastAsia="Times New Roman" w:hAnsi="Times New Roman"/>
          <w:b w:val="1"/>
          <w:bCs w:val="1"/>
          <w:smallCaps w:val="1"/>
          <w:color w:val="0098cd"/>
          <w:sz w:val="20"/>
          <w:szCs w:val="20"/>
          <w:rtl w:val="0"/>
        </w:rPr>
        <w:t xml:space="preserve">V. Resultados</w:t>
      </w:r>
      <w:r w:rsidDel="00000000" w:rsidR="00000000" w:rsidRPr="00000000">
        <w:rPr>
          <w:rtl w:val="0"/>
        </w:rPr>
      </w:r>
    </w:p>
    <w:p w:rsidR="00000000" w:rsidDel="00000000" w:rsidP="00000000" w:rsidRDefault="00000000" w:rsidRPr="00000000" w14:paraId="0000015B">
      <w:pPr>
        <w:rPr/>
      </w:pPr>
      <w:r w:rsidDel="00000000" w:rsidR="00000000" w:rsidRPr="00000000">
        <w:rPr>
          <w:rFonts w:ascii="Times New Roman" w:cs="Times New Roman" w:eastAsia="Times New Roman" w:hAnsi="Times New Roman"/>
          <w:sz w:val="20"/>
          <w:szCs w:val="20"/>
          <w:rtl w:val="0"/>
        </w:rPr>
        <w:t xml:space="preserve">Esta sección se completará con los resultados obtenidos (funcionalidad implementada, resultados del aprovisionamiento automatizado y de la integración de observabilidad) una vez finalizado el desarrollo de la plataforma, conforme al cronograma de sprints y entregas del TFM.</w:t>
      </w:r>
      <w:r w:rsidDel="00000000" w:rsidR="00000000" w:rsidRPr="00000000">
        <w:rPr>
          <w:rtl w:val="0"/>
        </w:rPr>
      </w:r>
    </w:p>
    <w:p w:rsidR="00000000" w:rsidDel="00000000" w:rsidP="00000000" w:rsidRDefault="00000000" w:rsidRPr="00000000" w14:paraId="0000015C">
      <w:pPr>
        <w:rPr/>
      </w:pPr>
      <w:r w:rsidDel="00000000" w:rsidR="00000000" w:rsidRPr="00000000">
        <w:rPr>
          <w:rFonts w:ascii="Times New Roman" w:cs="Times New Roman" w:eastAsia="Times New Roman" w:hAnsi="Times New Roman"/>
          <w:b w:val="1"/>
          <w:bCs w:val="1"/>
          <w:smallCaps w:val="1"/>
          <w:color w:val="0098cd"/>
          <w:sz w:val="20"/>
          <w:szCs w:val="20"/>
          <w:rtl w:val="0"/>
        </w:rPr>
        <w:t xml:space="preserve">VI. Discusión</w:t>
      </w:r>
      <w:r w:rsidDel="00000000" w:rsidR="00000000" w:rsidRPr="00000000">
        <w:rPr>
          <w:rtl w:val="0"/>
        </w:rPr>
      </w:r>
    </w:p>
    <w:p w:rsidR="00000000" w:rsidDel="00000000" w:rsidP="00000000" w:rsidRDefault="00000000" w:rsidRPr="00000000" w14:paraId="0000015D">
      <w:pPr>
        <w:rPr/>
      </w:pPr>
      <w:r w:rsidDel="00000000" w:rsidR="00000000" w:rsidRPr="00000000">
        <w:rPr>
          <w:rFonts w:ascii="Times New Roman" w:cs="Times New Roman" w:eastAsia="Times New Roman" w:hAnsi="Times New Roman"/>
          <w:sz w:val="20"/>
          <w:szCs w:val="20"/>
          <w:rtl w:val="0"/>
        </w:rPr>
        <w:t xml:space="preserve">La discusión de los resultados, y su contraste con los hallazgos del estado del arte presentados en la Sección II, se desarrollará una vez disponibles los resultados de la Sección V.</w:t>
      </w:r>
      <w:r w:rsidDel="00000000" w:rsidR="00000000" w:rsidRPr="00000000">
        <w:rPr>
          <w:rtl w:val="0"/>
        </w:rPr>
      </w:r>
    </w:p>
    <w:p w:rsidR="00000000" w:rsidDel="00000000" w:rsidP="00000000" w:rsidRDefault="00000000" w:rsidRPr="00000000" w14:paraId="0000015E">
      <w:pPr>
        <w:rPr/>
      </w:pPr>
      <w:r w:rsidDel="00000000" w:rsidR="00000000" w:rsidRPr="00000000">
        <w:rPr>
          <w:rFonts w:ascii="Times New Roman" w:cs="Times New Roman" w:eastAsia="Times New Roman" w:hAnsi="Times New Roman"/>
          <w:b w:val="1"/>
          <w:bCs w:val="1"/>
          <w:smallCaps w:val="1"/>
          <w:color w:val="0098cd"/>
          <w:sz w:val="20"/>
          <w:szCs w:val="20"/>
          <w:rtl w:val="0"/>
        </w:rPr>
        <w:t xml:space="preserve">VII. Conclusiones</w:t>
      </w:r>
      <w:r w:rsidDel="00000000" w:rsidR="00000000" w:rsidRPr="00000000">
        <w:rPr>
          <w:rtl w:val="0"/>
        </w:rPr>
      </w:r>
    </w:p>
    <w:p w:rsidR="00000000" w:rsidDel="00000000" w:rsidP="00000000" w:rsidRDefault="00000000" w:rsidRPr="00000000" w14:paraId="0000015F">
      <w:pPr>
        <w:rPr/>
      </w:pPr>
      <w:r w:rsidDel="00000000" w:rsidR="00000000" w:rsidRPr="00000000">
        <w:rPr>
          <w:rFonts w:ascii="Times New Roman" w:cs="Times New Roman" w:eastAsia="Times New Roman" w:hAnsi="Times New Roman"/>
          <w:sz w:val="20"/>
          <w:szCs w:val="20"/>
          <w:rtl w:val="0"/>
        </w:rPr>
        <w:t xml:space="preserve">Las conclusiones definitivas de este trabajo, así como el grado de consecución de los objetivos específicos planteados en la Sección III y las líneas de trabajo futuro, se presentarán al finalizar el desarrollo y la evaluación de la plataforma.</w:t>
      </w: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Fonts w:ascii="Times New Roman" w:cs="Times New Roman" w:eastAsia="Times New Roman" w:hAnsi="Times New Roman"/>
          <w:b w:val="1"/>
          <w:bCs w:val="1"/>
          <w:smallCaps w:val="1"/>
          <w:color w:val="0098cd"/>
          <w:sz w:val="20"/>
          <w:szCs w:val="20"/>
          <w:rtl w:val="0"/>
        </w:rPr>
        <w:t xml:space="preserve">Referencias</w:t>
      </w:r>
      <w:r w:rsidDel="00000000" w:rsidR="00000000" w:rsidRPr="00000000">
        <w:rPr>
          <w:rtl w:val="0"/>
        </w:rPr>
      </w:r>
    </w:p>
    <w:p w:rsidR="00000000" w:rsidDel="00000000" w:rsidP="00000000" w:rsidRDefault="00000000" w:rsidRPr="00000000" w14:paraId="00000162">
      <w:pPr>
        <w:ind w:left="360" w:hanging="360"/>
        <w:rPr/>
      </w:pPr>
      <w:r w:rsidDel="00000000" w:rsidR="00000000" w:rsidRPr="00000000">
        <w:rPr>
          <w:rFonts w:ascii="Times New Roman" w:cs="Times New Roman" w:eastAsia="Times New Roman" w:hAnsi="Times New Roman"/>
          <w:sz w:val="18"/>
          <w:szCs w:val="18"/>
          <w:rtl w:val="0"/>
        </w:rPr>
        <w:t xml:space="preserve">[1] N. Kratzke and P.-C. Quint, "Understanding cloud-native applications after 10 years of cloud computing: A systematic mapping study," J. Syst. Softw., vol. 126, pp. 1–16, 2017.</w:t>
      </w:r>
      <w:r w:rsidDel="00000000" w:rsidR="00000000" w:rsidRPr="00000000">
        <w:rPr>
          <w:rtl w:val="0"/>
        </w:rPr>
      </w:r>
    </w:p>
    <w:p w:rsidR="00000000" w:rsidDel="00000000" w:rsidP="00000000" w:rsidRDefault="00000000" w:rsidRPr="00000000" w14:paraId="00000163">
      <w:pPr>
        <w:ind w:left="360" w:hanging="360"/>
        <w:rPr/>
      </w:pPr>
      <w:r w:rsidDel="00000000" w:rsidR="00000000" w:rsidRPr="00000000">
        <w:rPr>
          <w:rFonts w:ascii="Times New Roman" w:cs="Times New Roman" w:eastAsia="Times New Roman" w:hAnsi="Times New Roman"/>
          <w:sz w:val="18"/>
          <w:szCs w:val="18"/>
          <w:rtl w:val="0"/>
        </w:rPr>
        <w:t xml:space="preserve">[2] I. Kumara et al., "The do's and don'ts of infrastructure code: A systematic gray literature review," Inf. Softw. Technol., vol. 137, p. 106593, 2021.</w:t>
      </w:r>
      <w:r w:rsidDel="00000000" w:rsidR="00000000" w:rsidRPr="00000000">
        <w:rPr>
          <w:rtl w:val="0"/>
        </w:rPr>
      </w:r>
    </w:p>
    <w:p w:rsidR="00000000" w:rsidDel="00000000" w:rsidP="00000000" w:rsidRDefault="00000000" w:rsidRPr="00000000" w14:paraId="00000164">
      <w:pPr>
        <w:ind w:left="360" w:hanging="360"/>
        <w:rPr/>
      </w:pPr>
      <w:r w:rsidDel="00000000" w:rsidR="00000000" w:rsidRPr="00000000">
        <w:rPr>
          <w:rFonts w:ascii="Times New Roman" w:cs="Times New Roman" w:eastAsia="Times New Roman" w:hAnsi="Times New Roman"/>
          <w:sz w:val="18"/>
          <w:szCs w:val="18"/>
          <w:rtl w:val="0"/>
        </w:rPr>
        <w:t xml:space="preserve">[3] M. Skelton and M. Pais, Team Topologies: Organizing Business and Technology Teams for Fast Flow. Portland, OR: IT Revolution Press, 2019.</w:t>
      </w:r>
      <w:r w:rsidDel="00000000" w:rsidR="00000000" w:rsidRPr="00000000">
        <w:rPr>
          <w:rtl w:val="0"/>
        </w:rPr>
      </w:r>
    </w:p>
    <w:p w:rsidR="00000000" w:rsidDel="00000000" w:rsidP="00000000" w:rsidRDefault="00000000" w:rsidRPr="00000000" w14:paraId="00000165">
      <w:pPr>
        <w:ind w:left="360" w:hanging="360"/>
        <w:rPr/>
      </w:pPr>
      <w:r w:rsidDel="00000000" w:rsidR="00000000" w:rsidRPr="00000000">
        <w:rPr>
          <w:rFonts w:ascii="Times New Roman" w:cs="Times New Roman" w:eastAsia="Times New Roman" w:hAnsi="Times New Roman"/>
          <w:sz w:val="18"/>
          <w:szCs w:val="18"/>
          <w:rtl w:val="0"/>
        </w:rPr>
        <w:t xml:space="preserve">[4] C. Sridharan, Distributed Systems Observability: A Guide to Building Robust Systems. Sebastopol, CA: O'Reilly Media, 2018.</w:t>
      </w:r>
      <w:r w:rsidDel="00000000" w:rsidR="00000000" w:rsidRPr="00000000">
        <w:rPr>
          <w:rtl w:val="0"/>
        </w:rPr>
      </w:r>
    </w:p>
    <w:p w:rsidR="00000000" w:rsidDel="00000000" w:rsidP="00000000" w:rsidRDefault="00000000" w:rsidRPr="00000000" w14:paraId="00000166">
      <w:pPr>
        <w:ind w:left="360" w:hanging="360"/>
        <w:rPr/>
      </w:pPr>
      <w:r w:rsidDel="00000000" w:rsidR="00000000" w:rsidRPr="00000000">
        <w:rPr>
          <w:rFonts w:ascii="Times New Roman" w:cs="Times New Roman" w:eastAsia="Times New Roman" w:hAnsi="Times New Roman"/>
          <w:sz w:val="18"/>
          <w:szCs w:val="18"/>
          <w:rtl w:val="0"/>
        </w:rPr>
        <w:t xml:space="preserve">[5] S. Jones, J. Noppen, and F. Lettice, "Management challenges for DevOps adoption within UK SMEs," in Proc. 2nd Int. Workshop Quality-Aware DevOps (QUDOS), 2016, pp. 7–11.</w:t>
      </w:r>
      <w:r w:rsidDel="00000000" w:rsidR="00000000" w:rsidRPr="00000000">
        <w:rPr>
          <w:rtl w:val="0"/>
        </w:rPr>
      </w:r>
    </w:p>
    <w:p w:rsidR="00000000" w:rsidDel="00000000" w:rsidP="00000000" w:rsidRDefault="00000000" w:rsidRPr="00000000" w14:paraId="00000167">
      <w:pPr>
        <w:ind w:left="360" w:hanging="360"/>
        <w:rPr/>
      </w:pPr>
      <w:r w:rsidDel="00000000" w:rsidR="00000000" w:rsidRPr="00000000">
        <w:rPr>
          <w:rFonts w:ascii="Times New Roman" w:cs="Times New Roman" w:eastAsia="Times New Roman" w:hAnsi="Times New Roman"/>
          <w:sz w:val="18"/>
          <w:szCs w:val="18"/>
          <w:rtl w:val="0"/>
        </w:rPr>
        <w:t xml:space="preserve">[6] J. Hirs-Garzón and F. Vargas, "Prioridades para la digitalización empresarial en América Latina y el Caribe," Banco Interamericano de Desarrollo, 2023.</w:t>
      </w:r>
      <w:r w:rsidDel="00000000" w:rsidR="00000000" w:rsidRPr="00000000">
        <w:rPr>
          <w:rtl w:val="0"/>
        </w:rPr>
      </w:r>
    </w:p>
    <w:sectPr>
      <w:headerReference r:id="rId33" w:type="first"/>
      <w:type w:val="nextPage"/>
      <w:pgSz w:h="16838" w:w="11906" w:orient="portrait"/>
      <w:pgMar w:bottom="1418" w:top="1418"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C">
    <w:pPr>
      <w:pBdr>
        <w:top w:space="0" w:sz="0" w:val="nil"/>
        <w:left w:space="0" w:sz="0" w:val="nil"/>
        <w:bottom w:space="0" w:sz="0" w:val="nil"/>
        <w:right w:space="0" w:sz="0" w:val="nil"/>
        <w:between w:space="0" w:sz="0" w:val="nil"/>
      </w:pBdr>
      <w:tabs>
        <w:tab w:val="center" w:leader="none" w:pos="4252"/>
        <w:tab w:val="right" w:leader="none" w:pos="8504"/>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F">
    <w:pPr>
      <w:pBdr>
        <w:top w:space="0" w:sz="0" w:val="nil"/>
        <w:left w:space="0" w:sz="0" w:val="nil"/>
        <w:bottom w:space="0" w:sz="0" w:val="nil"/>
        <w:right w:space="0" w:sz="0" w:val="nil"/>
        <w:between w:space="0" w:sz="0" w:val="nil"/>
      </w:pBdr>
      <w:tabs>
        <w:tab w:val="center" w:leader="none" w:pos="4252"/>
        <w:tab w:val="right" w:leader="none" w:pos="8504"/>
      </w:tabs>
      <w:jc w:val="right"/>
      <w:rPr>
        <w:color w:val="000000"/>
      </w:rPr>
    </w:pPr>
    <w:r w:rsidDel="00000000" w:rsidR="00000000" w:rsidRPr="00000000">
      <w:rPr>
        <w:rtl w:val="0"/>
      </w:rPr>
    </w:r>
  </w:p>
  <w:p w:rsidR="00000000" w:rsidDel="00000000" w:rsidP="00000000" w:rsidRDefault="00000000" w:rsidRPr="00000000" w14:paraId="00000170">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jc w:val="right"/>
      <w:rPr>
        <w:color w:val="000000"/>
        <w:sz w:val="20"/>
        <w:szCs w:val="20"/>
      </w:rPr>
    </w:pPr>
    <w:r w:rsidDel="00000000" w:rsidR="00000000" w:rsidRPr="00000000">
      <w:rPr>
        <w:color w:val="000000"/>
        <w:sz w:val="20"/>
        <w:szCs w:val="20"/>
        <w:rtl w:val="0"/>
      </w:rPr>
      <w:t xml:space="preserve">Elkin Fabian Marmolejo Rodríguez y Juan Daniel Ortiz Ceballos</w:t>
    </w:r>
  </w:p>
  <w:p w:rsidR="00000000" w:rsidDel="00000000" w:rsidP="00000000" w:rsidRDefault="00000000" w:rsidRPr="00000000" w14:paraId="00000169">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jc w:val="right"/>
      <w:rPr>
        <w:color w:val="000000"/>
        <w:sz w:val="20"/>
        <w:szCs w:val="20"/>
      </w:rPr>
    </w:pPr>
    <w:r w:rsidDel="00000000" w:rsidR="00000000" w:rsidRPr="00000000">
      <w:rPr>
        <w:color w:val="000000"/>
        <w:sz w:val="20"/>
        <w:szCs w:val="20"/>
        <w:rtl w:val="0"/>
      </w:rPr>
      <w:t xml:space="preserve">Diseño e implementación de una plataforma de autoservicio cloud para simplificar la gestión de infraestructura moderna en PYMEs</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jc w:val="right"/>
      <w:rPr>
        <w:color w:val="000000"/>
        <w:sz w:val="20"/>
        <w:szCs w:val="20"/>
      </w:rPr>
    </w:pPr>
    <w:r w:rsidDel="00000000" w:rsidR="00000000" w:rsidRPr="00000000">
      <w:rPr>
        <w:color w:val="000000"/>
        <w:sz w:val="20"/>
        <w:szCs w:val="20"/>
        <w:rtl w:val="0"/>
      </w:rPr>
      <w:t xml:space="preserve">Nombre y apellidos del estudiante</w:t>
    </w:r>
  </w:p>
  <w:p w:rsidR="00000000" w:rsidDel="00000000" w:rsidP="00000000" w:rsidRDefault="00000000" w:rsidRPr="00000000" w14:paraId="0000016B">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jc w:val="right"/>
      <w:rPr>
        <w:color w:val="000000"/>
        <w:sz w:val="20"/>
        <w:szCs w:val="20"/>
      </w:rPr>
    </w:pPr>
    <w:r w:rsidDel="00000000" w:rsidR="00000000" w:rsidRPr="00000000">
      <w:rPr>
        <w:color w:val="000000"/>
        <w:sz w:val="20"/>
        <w:szCs w:val="20"/>
        <w:rtl w:val="0"/>
      </w:rPr>
      <w:t xml:space="preserve">Título del Trabajo Fin de Estudios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upperLetter"/>
      <w:lvlText w:val="Anexo %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3"/>
      <w:numFmt w:val="decimal"/>
      <w:lvlText w:val="%1"/>
      <w:lvlJc w:val="left"/>
      <w:pPr>
        <w:ind w:left="375" w:hanging="375"/>
      </w:pPr>
      <w:rPr/>
    </w:lvl>
    <w:lvl w:ilvl="1">
      <w:start w:val="1"/>
      <w:numFmt w:val="decimal"/>
      <w:lvlText w:val="%1.%2"/>
      <w:lvlJc w:val="left"/>
      <w:pPr>
        <w:ind w:left="735" w:hanging="375"/>
      </w:pPr>
      <w:rPr/>
    </w:lvl>
    <w:lvl w:ilvl="2">
      <w:start w:val="1"/>
      <w:numFmt w:val="decimal"/>
      <w:lvlText w:val="%1.%2.%3"/>
      <w:lvlJc w:val="left"/>
      <w:pPr>
        <w:ind w:left="1440" w:hanging="720"/>
      </w:pPr>
      <w:rPr/>
    </w:lvl>
    <w:lvl w:ilvl="3">
      <w:start w:val="1"/>
      <w:numFmt w:val="decimal"/>
      <w:lvlText w:val="%1.%2.%3.%4"/>
      <w:lvlJc w:val="left"/>
      <w:pPr>
        <w:ind w:left="2160" w:hanging="108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5040" w:hanging="2160"/>
      </w:pPr>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_419"/>
      </w:rPr>
    </w:rPrDefault>
    <w:pPrDefault>
      <w:pPr>
        <w:spacing w:after="120" w:before="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ind w:left="432" w:hanging="432"/>
    </w:pPr>
    <w:rPr>
      <w:smallCaps w:val="1"/>
      <w:color w:val="0098cd"/>
      <w:sz w:val="36"/>
      <w:szCs w:val="36"/>
    </w:rPr>
  </w:style>
  <w:style w:type="paragraph" w:styleId="Heading2">
    <w:name w:val="heading 2"/>
    <w:basedOn w:val="Normal"/>
    <w:next w:val="Normal"/>
    <w:pPr>
      <w:keepNext w:val="1"/>
      <w:ind w:left="576" w:hanging="576"/>
    </w:pPr>
    <w:rPr>
      <w:color w:val="0098cd"/>
      <w:sz w:val="28"/>
      <w:szCs w:val="28"/>
    </w:rPr>
  </w:style>
  <w:style w:type="paragraph" w:styleId="Heading3">
    <w:name w:val="heading 3"/>
    <w:basedOn w:val="Normal"/>
    <w:next w:val="Normal"/>
    <w:pPr>
      <w:keepNext w:val="1"/>
      <w:ind w:left="720" w:hanging="720"/>
    </w:pPr>
    <w:rPr>
      <w:b w:val="1"/>
      <w:bCs w:val="1"/>
    </w:rPr>
  </w:style>
  <w:style w:type="paragraph" w:styleId="Heading4">
    <w:name w:val="heading 4"/>
    <w:basedOn w:val="Normal"/>
    <w:next w:val="Normal"/>
    <w:pPr>
      <w:ind w:left="864" w:hanging="864"/>
    </w:pPr>
    <w:rPr/>
  </w:style>
  <w:style w:type="paragraph" w:styleId="Heading5">
    <w:name w:val="heading 5"/>
    <w:basedOn w:val="Normal"/>
    <w:next w:val="Normal"/>
    <w:pPr>
      <w:spacing w:after="60" w:before="240" w:lineRule="auto"/>
      <w:ind w:left="1008" w:hanging="1008"/>
    </w:pPr>
    <w:rPr>
      <w:b w:val="1"/>
      <w:bCs w:val="1"/>
      <w:i w:val="1"/>
      <w:iCs w:val="1"/>
      <w:sz w:val="26"/>
      <w:szCs w:val="26"/>
    </w:rPr>
  </w:style>
  <w:style w:type="paragraph" w:styleId="Heading6">
    <w:name w:val="heading 6"/>
    <w:basedOn w:val="Normal"/>
    <w:next w:val="Normal"/>
    <w:pPr>
      <w:spacing w:after="60" w:before="240" w:lineRule="auto"/>
      <w:ind w:left="1152" w:hanging="1152"/>
    </w:pPr>
    <w:rPr>
      <w:b w:val="1"/>
      <w:bCs w:val="1"/>
    </w:rPr>
  </w:style>
  <w:style w:type="paragraph" w:styleId="Title">
    <w:name w:val="Title"/>
    <w:basedOn w:val="Normal"/>
    <w:next w:val="Normal"/>
    <w:pPr/>
    <w:rPr>
      <w:i w:val="1"/>
      <w:iCs w:val="1"/>
    </w:rPr>
  </w:style>
  <w:style w:type="paragraph" w:styleId="Ttulo7">
    <w:name w:val="heading 7"/>
    <w:basedOn w:val="Normal"/>
    <w:next w:val="Normal"/>
    <w:link w:val="Ttulo7Car"/>
    <w:uiPriority w:val="9"/>
    <w:semiHidden w:val="1"/>
    <w:unhideWhenUsed w:val="1"/>
    <w:qFormat w:val="1"/>
    <w:rsid w:val="00C84740"/>
    <w:pPr>
      <w:numPr>
        <w:ilvl w:val="6"/>
        <w:numId w:val="9"/>
      </w:numPr>
      <w:spacing w:after="60" w:before="240"/>
      <w:outlineLvl w:val="6"/>
    </w:pPr>
  </w:style>
  <w:style w:type="paragraph" w:styleId="Ttulo8">
    <w:name w:val="heading 8"/>
    <w:basedOn w:val="Normal"/>
    <w:next w:val="Normal"/>
    <w:link w:val="Ttulo8Car"/>
    <w:uiPriority w:val="9"/>
    <w:semiHidden w:val="1"/>
    <w:unhideWhenUsed w:val="1"/>
    <w:qFormat w:val="1"/>
    <w:rsid w:val="00C84740"/>
    <w:pPr>
      <w:numPr>
        <w:ilvl w:val="7"/>
        <w:numId w:val="9"/>
      </w:numPr>
      <w:spacing w:after="60" w:before="240"/>
      <w:outlineLvl w:val="7"/>
    </w:pPr>
    <w:rPr>
      <w:i w:val="1"/>
      <w:iCs w:val="1"/>
    </w:rPr>
  </w:style>
  <w:style w:type="paragraph" w:styleId="Ttulo9">
    <w:name w:val="heading 9"/>
    <w:basedOn w:val="Normal"/>
    <w:next w:val="Normal"/>
    <w:link w:val="Ttulo9Car"/>
    <w:uiPriority w:val="9"/>
    <w:semiHidden w:val="1"/>
    <w:unhideWhenUsed w:val="1"/>
    <w:qFormat w:val="1"/>
    <w:rsid w:val="00C84740"/>
    <w:pPr>
      <w:numPr>
        <w:ilvl w:val="8"/>
        <w:numId w:val="9"/>
      </w:numPr>
      <w:spacing w:after="60" w:before="240"/>
      <w:outlineLvl w:val="8"/>
    </w:pPr>
    <w:rPr>
      <w:rFonts w:ascii="Calibri Light" w:hAnsi="Calibri Light"/>
      <w:szCs w:val="2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paragraph" w:styleId="Sinespaciado">
    <w:name w:val="No Spacing"/>
    <w:link w:val="SinespaciadoCar"/>
    <w:uiPriority w:val="1"/>
    <w:rsid w:val="00507BAD"/>
    <w:rPr>
      <w:rFonts w:eastAsia="Times New Roman"/>
      <w:sz w:val="22"/>
      <w:szCs w:val="22"/>
      <w:lang w:eastAsia="en-US"/>
    </w:rPr>
  </w:style>
  <w:style w:type="character" w:styleId="SinespaciadoCar" w:customStyle="1">
    <w:name w:val="Sin espaciado Car"/>
    <w:link w:val="Sinespaciado"/>
    <w:uiPriority w:val="1"/>
    <w:rsid w:val="00507BAD"/>
    <w:rPr>
      <w:rFonts w:eastAsia="Times New Roman"/>
      <w:sz w:val="22"/>
      <w:szCs w:val="22"/>
      <w:lang w:bidi="ar-SA" w:eastAsia="en-US" w:val="es-ES"/>
    </w:rPr>
  </w:style>
  <w:style w:type="paragraph" w:styleId="Textodeglobo">
    <w:name w:val="Balloon Text"/>
    <w:basedOn w:val="Normal"/>
    <w:link w:val="TextodegloboCar"/>
    <w:uiPriority w:val="99"/>
    <w:semiHidden w:val="1"/>
    <w:unhideWhenUsed w:val="1"/>
    <w:rsid w:val="00507BAD"/>
    <w:rPr>
      <w:rFonts w:ascii="Tahoma" w:hAnsi="Tahoma"/>
      <w:sz w:val="16"/>
      <w:szCs w:val="16"/>
      <w:lang w:val="x-none"/>
    </w:rPr>
  </w:style>
  <w:style w:type="character" w:styleId="TextodegloboCar" w:customStyle="1">
    <w:name w:val="Texto de globo Car"/>
    <w:link w:val="Textodeglobo"/>
    <w:uiPriority w:val="99"/>
    <w:semiHidden w:val="1"/>
    <w:rsid w:val="00507BAD"/>
    <w:rPr>
      <w:rFonts w:ascii="Tahoma" w:cs="Tahoma" w:eastAsia="Times New Roman" w:hAnsi="Tahoma"/>
      <w:sz w:val="16"/>
      <w:szCs w:val="16"/>
      <w:lang w:eastAsia="es-ES"/>
    </w:rPr>
  </w:style>
  <w:style w:type="paragraph" w:styleId="Encabezado">
    <w:name w:val="header"/>
    <w:basedOn w:val="Normal"/>
    <w:link w:val="EncabezadoCar"/>
    <w:uiPriority w:val="99"/>
    <w:unhideWhenUsed w:val="1"/>
    <w:rsid w:val="006A56B3"/>
    <w:pPr>
      <w:tabs>
        <w:tab w:val="center" w:pos="4252"/>
        <w:tab w:val="right" w:pos="8504"/>
      </w:tabs>
    </w:pPr>
  </w:style>
  <w:style w:type="character" w:styleId="EncabezadoCar" w:customStyle="1">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val="1"/>
    <w:rsid w:val="006A56B3"/>
    <w:pPr>
      <w:tabs>
        <w:tab w:val="center" w:pos="4252"/>
        <w:tab w:val="right" w:pos="8504"/>
      </w:tabs>
    </w:pPr>
  </w:style>
  <w:style w:type="character" w:styleId="PiedepginaCar" w:customStyle="1">
    <w:name w:val="Pie de página Car"/>
    <w:link w:val="Piedepgina"/>
    <w:uiPriority w:val="99"/>
    <w:rsid w:val="006A56B3"/>
    <w:rPr>
      <w:rFonts w:ascii="Times New Roman" w:eastAsia="Times New Roman" w:hAnsi="Times New Roman"/>
      <w:sz w:val="24"/>
      <w:szCs w:val="24"/>
    </w:rPr>
  </w:style>
  <w:style w:type="character" w:styleId="Ttulo1Car" w:customStyle="1">
    <w:name w:val="Título 1 Car"/>
    <w:uiPriority w:val="9"/>
    <w:rsid w:val="000D09A0"/>
    <w:rPr>
      <w:rFonts w:eastAsia="Times New Roman" w:asciiTheme="majorHAnsi" w:hAnsiTheme="majorHAnsi"/>
      <w:bCs w:val="1"/>
      <w:caps w:val="1"/>
      <w:color w:val="0098cd"/>
      <w:kern w:val="32"/>
      <w:sz w:val="36"/>
      <w:szCs w:val="32"/>
    </w:rPr>
  </w:style>
  <w:style w:type="character" w:styleId="Ttulo2Car" w:customStyle="1">
    <w:name w:val="Título 2 Car"/>
    <w:uiPriority w:val="9"/>
    <w:rsid w:val="00F03DD6"/>
    <w:rPr>
      <w:rFonts w:cs="Arial" w:eastAsia="Times New Roman" w:asciiTheme="majorHAnsi" w:hAnsiTheme="majorHAnsi"/>
      <w:bCs w:val="1"/>
      <w:iCs w:val="1"/>
      <w:color w:val="0098cd"/>
      <w:sz w:val="28"/>
      <w:szCs w:val="28"/>
    </w:rPr>
  </w:style>
  <w:style w:type="character" w:styleId="Ttulo3Car" w:customStyle="1">
    <w:name w:val="Título 3 Car"/>
    <w:uiPriority w:val="9"/>
    <w:rsid w:val="00F03DD6"/>
    <w:rPr>
      <w:rFonts w:eastAsia="Times New Roman" w:asciiTheme="majorHAnsi" w:hAnsiTheme="majorHAnsi"/>
      <w:b w:val="1"/>
      <w:bCs w:val="1"/>
      <w:sz w:val="24"/>
      <w:szCs w:val="26"/>
    </w:rPr>
  </w:style>
  <w:style w:type="character" w:styleId="TtuloCar" w:customStyle="1">
    <w:name w:val="Título Car"/>
    <w:aliases w:val="Subtitulos 3er nivel Car"/>
    <w:uiPriority w:val="10"/>
    <w:rsid w:val="00D971A1"/>
    <w:rPr>
      <w:rFonts w:ascii="Arial" w:cs="Times New Roman" w:eastAsia="Times New Roman" w:hAnsi="Arial"/>
      <w:bCs w:val="1"/>
      <w:i w:val="1"/>
      <w:kern w:val="28"/>
      <w:sz w:val="24"/>
      <w:szCs w:val="32"/>
    </w:rPr>
  </w:style>
  <w:style w:type="character" w:styleId="Ttulo4Car" w:customStyle="1">
    <w:name w:val="Título 4 Car"/>
    <w:uiPriority w:val="9"/>
    <w:rsid w:val="000D09A0"/>
    <w:rPr>
      <w:rFonts w:eastAsia="Times New Roman" w:asciiTheme="minorHAnsi" w:hAnsiTheme="minorHAnsi"/>
      <w:sz w:val="24"/>
      <w:szCs w:val="24"/>
    </w:rPr>
  </w:style>
  <w:style w:type="paragraph" w:styleId="Cita">
    <w:name w:val="Quote"/>
    <w:basedOn w:val="Normal"/>
    <w:next w:val="Normal"/>
    <w:link w:val="CitaCar"/>
    <w:uiPriority w:val="29"/>
    <w:qFormat w:val="1"/>
    <w:rsid w:val="00514164"/>
    <w:pPr>
      <w:spacing w:line="240" w:lineRule="auto"/>
    </w:pPr>
    <w:rPr>
      <w:iCs w:val="1"/>
      <w:color w:val="404040"/>
    </w:rPr>
  </w:style>
  <w:style w:type="character" w:styleId="CitaCar" w:customStyle="1">
    <w:name w:val="Cita Car"/>
    <w:link w:val="Cita"/>
    <w:uiPriority w:val="29"/>
    <w:rsid w:val="00514164"/>
    <w:rPr>
      <w:rFonts w:ascii="Arial" w:eastAsia="Times New Roman" w:hAnsi="Arial"/>
      <w:iCs w:val="1"/>
      <w:color w:val="404040"/>
      <w:sz w:val="22"/>
      <w:szCs w:val="24"/>
    </w:rPr>
  </w:style>
  <w:style w:type="paragraph" w:styleId="TtuloTDC">
    <w:name w:val="TOC Heading"/>
    <w:aliases w:val="Tablas"/>
    <w:basedOn w:val="Tabladeilustraciones"/>
    <w:next w:val="Normal"/>
    <w:uiPriority w:val="39"/>
    <w:unhideWhenUsed w:val="1"/>
    <w:qFormat w:val="1"/>
    <w:rsid w:val="008C16EB"/>
    <w:pPr>
      <w:tabs>
        <w:tab w:val="right" w:leader="dot" w:pos="9060"/>
      </w:tabs>
    </w:pPr>
    <w:rPr>
      <w:rFonts w:cs="Arial"/>
      <w:b w:val="1"/>
      <w:noProof w:val="1"/>
    </w:rPr>
  </w:style>
  <w:style w:type="paragraph" w:styleId="TDC1">
    <w:name w:val="toc 1"/>
    <w:basedOn w:val="Normal"/>
    <w:next w:val="Normal"/>
    <w:autoRedefine w:val="1"/>
    <w:uiPriority w:val="39"/>
    <w:unhideWhenUsed w:val="1"/>
    <w:rsid w:val="00423E85"/>
  </w:style>
  <w:style w:type="character" w:styleId="Hipervnculo">
    <w:name w:val="Hyperlink"/>
    <w:uiPriority w:val="99"/>
    <w:unhideWhenUsed w:val="1"/>
    <w:rsid w:val="00877054"/>
    <w:rPr>
      <w:color w:val="0563c1"/>
      <w:u w:val="single"/>
    </w:rPr>
  </w:style>
  <w:style w:type="character" w:styleId="Ttulo5Car" w:customStyle="1">
    <w:name w:val="Título 5 Car"/>
    <w:uiPriority w:val="9"/>
    <w:semiHidden w:val="1"/>
    <w:rsid w:val="00C84740"/>
    <w:rPr>
      <w:rFonts w:eastAsia="Times New Roman"/>
      <w:b w:val="1"/>
      <w:bCs w:val="1"/>
      <w:i w:val="1"/>
      <w:iCs w:val="1"/>
      <w:sz w:val="26"/>
      <w:szCs w:val="26"/>
    </w:rPr>
  </w:style>
  <w:style w:type="character" w:styleId="Ttulo6Car" w:customStyle="1">
    <w:name w:val="Título 6 Car"/>
    <w:uiPriority w:val="9"/>
    <w:semiHidden w:val="1"/>
    <w:rsid w:val="00C84740"/>
    <w:rPr>
      <w:rFonts w:eastAsia="Times New Roman"/>
      <w:b w:val="1"/>
      <w:bCs w:val="1"/>
      <w:sz w:val="24"/>
      <w:szCs w:val="22"/>
    </w:rPr>
  </w:style>
  <w:style w:type="character" w:styleId="Ttulo7Car" w:customStyle="1">
    <w:name w:val="Título 7 Car"/>
    <w:link w:val="Ttulo7"/>
    <w:uiPriority w:val="9"/>
    <w:semiHidden w:val="1"/>
    <w:rsid w:val="00C84740"/>
    <w:rPr>
      <w:rFonts w:eastAsia="Times New Roman"/>
      <w:sz w:val="24"/>
      <w:szCs w:val="24"/>
    </w:rPr>
  </w:style>
  <w:style w:type="character" w:styleId="Ttulo8Car" w:customStyle="1">
    <w:name w:val="Título 8 Car"/>
    <w:link w:val="Ttulo8"/>
    <w:uiPriority w:val="9"/>
    <w:semiHidden w:val="1"/>
    <w:rsid w:val="00C84740"/>
    <w:rPr>
      <w:rFonts w:eastAsia="Times New Roman"/>
      <w:i w:val="1"/>
      <w:iCs w:val="1"/>
      <w:sz w:val="24"/>
      <w:szCs w:val="24"/>
    </w:rPr>
  </w:style>
  <w:style w:type="character" w:styleId="Ttulo9Car" w:customStyle="1">
    <w:name w:val="Título 9 Car"/>
    <w:link w:val="Ttulo9"/>
    <w:uiPriority w:val="9"/>
    <w:semiHidden w:val="1"/>
    <w:rsid w:val="00C84740"/>
    <w:rPr>
      <w:rFonts w:ascii="Calibri Light" w:eastAsia="Times New Roman" w:hAnsi="Calibri Light"/>
      <w:sz w:val="24"/>
      <w:szCs w:val="22"/>
    </w:rPr>
  </w:style>
  <w:style w:type="paragraph" w:styleId="TDC2">
    <w:name w:val="toc 2"/>
    <w:basedOn w:val="Normal"/>
    <w:next w:val="Normal"/>
    <w:autoRedefine w:val="1"/>
    <w:uiPriority w:val="39"/>
    <w:unhideWhenUsed w:val="1"/>
    <w:rsid w:val="00783DCC"/>
    <w:pPr>
      <w:ind w:left="221"/>
    </w:pPr>
  </w:style>
  <w:style w:type="paragraph" w:styleId="TDC3">
    <w:name w:val="toc 3"/>
    <w:basedOn w:val="Normal"/>
    <w:next w:val="Normal"/>
    <w:autoRedefine w:val="1"/>
    <w:uiPriority w:val="39"/>
    <w:unhideWhenUsed w:val="1"/>
    <w:rsid w:val="001526D9"/>
    <w:pPr>
      <w:ind w:left="440"/>
    </w:pPr>
  </w:style>
  <w:style w:type="character" w:styleId="Refdecomentario">
    <w:name w:val="annotation reference"/>
    <w:uiPriority w:val="99"/>
    <w:semiHidden w:val="1"/>
    <w:unhideWhenUsed w:val="1"/>
    <w:rsid w:val="00793FDB"/>
    <w:rPr>
      <w:sz w:val="16"/>
      <w:szCs w:val="16"/>
    </w:rPr>
  </w:style>
  <w:style w:type="paragraph" w:styleId="TDC4">
    <w:name w:val="toc 4"/>
    <w:basedOn w:val="Normal"/>
    <w:next w:val="Normal"/>
    <w:autoRedefine w:val="1"/>
    <w:uiPriority w:val="39"/>
    <w:unhideWhenUsed w:val="1"/>
    <w:rsid w:val="0066672A"/>
    <w:pPr>
      <w:ind w:left="660"/>
    </w:pPr>
  </w:style>
  <w:style w:type="paragraph" w:styleId="Textocomentario">
    <w:name w:val="annotation text"/>
    <w:basedOn w:val="Normal"/>
    <w:link w:val="TextocomentarioCar"/>
    <w:uiPriority w:val="99"/>
    <w:semiHidden w:val="1"/>
    <w:unhideWhenUsed w:val="1"/>
    <w:rsid w:val="00793FDB"/>
    <w:rPr>
      <w:sz w:val="20"/>
      <w:szCs w:val="20"/>
    </w:rPr>
  </w:style>
  <w:style w:type="character" w:styleId="TextocomentarioCar" w:customStyle="1">
    <w:name w:val="Texto comentario Car"/>
    <w:link w:val="Textocomentario"/>
    <w:uiPriority w:val="99"/>
    <w:semiHidden w:val="1"/>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val="1"/>
    <w:unhideWhenUsed w:val="1"/>
    <w:rsid w:val="00793FDB"/>
    <w:rPr>
      <w:b w:val="1"/>
      <w:bCs w:val="1"/>
    </w:rPr>
  </w:style>
  <w:style w:type="character" w:styleId="AsuntodelcomentarioCar" w:customStyle="1">
    <w:name w:val="Asunto del comentario Car"/>
    <w:link w:val="Asuntodelcomentario"/>
    <w:uiPriority w:val="99"/>
    <w:semiHidden w:val="1"/>
    <w:rsid w:val="00793FDB"/>
    <w:rPr>
      <w:rFonts w:ascii="Arial" w:eastAsia="Times New Roman" w:hAnsi="Arial"/>
      <w:b w:val="1"/>
      <w:bCs w:val="1"/>
    </w:rPr>
  </w:style>
  <w:style w:type="paragraph" w:styleId="Descripcin">
    <w:name w:val="caption"/>
    <w:basedOn w:val="Normal"/>
    <w:next w:val="Normal"/>
    <w:uiPriority w:val="35"/>
    <w:unhideWhenUsed w:val="1"/>
    <w:qFormat w:val="1"/>
    <w:rsid w:val="0024219C"/>
    <w:rPr>
      <w:b w:val="1"/>
      <w:bCs w:val="1"/>
      <w:szCs w:val="20"/>
    </w:rPr>
  </w:style>
  <w:style w:type="table" w:styleId="Tablaconcuadrcula">
    <w:name w:val="Table Grid"/>
    <w:basedOn w:val="Tablanormal"/>
    <w:uiPriority w:val="59"/>
    <w:rsid w:val="00BD4B5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Figuras" w:customStyle="1">
    <w:name w:val="Figuras"/>
    <w:basedOn w:val="Normal"/>
    <w:link w:val="FigurasCar"/>
    <w:autoRedefine w:val="1"/>
    <w:qFormat w:val="1"/>
    <w:rsid w:val="00D04165"/>
    <w:rPr>
      <w:rFonts w:cs="Arial"/>
      <w:i w:val="1"/>
    </w:rPr>
  </w:style>
  <w:style w:type="paragraph" w:styleId="Tabladeilustraciones">
    <w:name w:val="table of figures"/>
    <w:basedOn w:val="Normal"/>
    <w:next w:val="Normal"/>
    <w:uiPriority w:val="99"/>
    <w:unhideWhenUsed w:val="1"/>
    <w:rsid w:val="001C2AB4"/>
  </w:style>
  <w:style w:type="paragraph" w:styleId="ndice1">
    <w:name w:val="index 1"/>
    <w:basedOn w:val="Normal"/>
    <w:next w:val="Normal"/>
    <w:autoRedefine w:val="1"/>
    <w:uiPriority w:val="99"/>
    <w:semiHidden w:val="1"/>
    <w:unhideWhenUsed w:val="1"/>
    <w:qFormat w:val="1"/>
    <w:rsid w:val="00977178"/>
    <w:pPr>
      <w:numPr>
        <w:numId w:val="2"/>
      </w:numPr>
    </w:pPr>
    <w:rPr>
      <w:b w:val="1"/>
      <w:caps w:val="1"/>
      <w:sz w:val="28"/>
    </w:rPr>
  </w:style>
  <w:style w:type="paragraph" w:styleId="ndice2">
    <w:name w:val="index 2"/>
    <w:basedOn w:val="Normal"/>
    <w:next w:val="Normal"/>
    <w:autoRedefine w:val="1"/>
    <w:uiPriority w:val="99"/>
    <w:semiHidden w:val="1"/>
    <w:unhideWhenUsed w:val="1"/>
    <w:qFormat w:val="1"/>
    <w:rsid w:val="00977178"/>
    <w:pPr>
      <w:ind w:left="709" w:hanging="709"/>
    </w:pPr>
    <w:rPr>
      <w:b w:val="1"/>
      <w:caps w:val="1"/>
    </w:rPr>
  </w:style>
  <w:style w:type="paragraph" w:styleId="ndice3">
    <w:name w:val="index 3"/>
    <w:basedOn w:val="Normal"/>
    <w:next w:val="Normal"/>
    <w:autoRedefine w:val="1"/>
    <w:uiPriority w:val="99"/>
    <w:semiHidden w:val="1"/>
    <w:unhideWhenUsed w:val="1"/>
    <w:qFormat w:val="1"/>
    <w:rsid w:val="00977178"/>
    <w:pPr>
      <w:ind w:left="221" w:hanging="221"/>
    </w:pPr>
  </w:style>
  <w:style w:type="paragraph" w:styleId="ndice4">
    <w:name w:val="index 4"/>
    <w:basedOn w:val="Normal"/>
    <w:next w:val="Normal"/>
    <w:autoRedefine w:val="1"/>
    <w:uiPriority w:val="99"/>
    <w:semiHidden w:val="1"/>
    <w:unhideWhenUsed w:val="1"/>
    <w:qFormat w:val="1"/>
    <w:rsid w:val="00977178"/>
    <w:pPr>
      <w:ind w:left="221" w:hanging="221"/>
    </w:pPr>
    <w:rPr>
      <w:i w:val="1"/>
    </w:rPr>
  </w:style>
  <w:style w:type="character" w:styleId="FigurasCar" w:customStyle="1">
    <w:name w:val="Figuras Car"/>
    <w:link w:val="Figuras"/>
    <w:rsid w:val="00D04165"/>
    <w:rPr>
      <w:rFonts w:cs="Arial"/>
      <w:i w:val="1"/>
    </w:rPr>
  </w:style>
  <w:style w:type="paragraph" w:styleId="TDC8">
    <w:name w:val="toc 8"/>
    <w:basedOn w:val="Normal"/>
    <w:next w:val="Normal"/>
    <w:autoRedefine w:val="1"/>
    <w:uiPriority w:val="39"/>
    <w:semiHidden w:val="1"/>
    <w:unhideWhenUsed w:val="1"/>
    <w:rsid w:val="001C2AB4"/>
    <w:pPr>
      <w:ind w:left="1540"/>
    </w:pPr>
  </w:style>
  <w:style w:type="paragraph" w:styleId="TDC9">
    <w:name w:val="toc 9"/>
    <w:basedOn w:val="Normal"/>
    <w:next w:val="Normal"/>
    <w:autoRedefine w:val="1"/>
    <w:uiPriority w:val="39"/>
    <w:semiHidden w:val="1"/>
    <w:unhideWhenUsed w:val="1"/>
    <w:rsid w:val="00C10A65"/>
    <w:pPr>
      <w:ind w:left="1760"/>
    </w:pPr>
  </w:style>
  <w:style w:type="paragraph" w:styleId="PiedepginaSecciones" w:customStyle="1">
    <w:name w:val="Pie de página_Secciones"/>
    <w:basedOn w:val="Normal"/>
    <w:uiPriority w:val="19"/>
    <w:qFormat w:val="1"/>
    <w:rsid w:val="00CA0785"/>
    <w:pPr>
      <w:tabs>
        <w:tab w:val="right" w:pos="8220"/>
      </w:tabs>
      <w:spacing w:after="100" w:line="240" w:lineRule="auto"/>
      <w:jc w:val="right"/>
    </w:pPr>
    <w:rPr>
      <w:rFonts w:cs="UnitOT-Light"/>
      <w:bCs w:val="1"/>
      <w:noProof w:val="1"/>
      <w:color w:val="0098cd"/>
      <w:sz w:val="20"/>
      <w:szCs w:val="20"/>
    </w:rPr>
  </w:style>
  <w:style w:type="paragraph" w:styleId="Ttulondices" w:customStyle="1">
    <w:name w:val="Título Índices"/>
    <w:basedOn w:val="Normal"/>
    <w:link w:val="TtulondicesCar"/>
    <w:qFormat w:val="1"/>
    <w:rsid w:val="008C16EB"/>
    <w:rPr>
      <w:rFonts w:cs="Arial" w:asciiTheme="majorHAnsi" w:hAnsiTheme="majorHAnsi"/>
      <w:color w:val="0098cd"/>
      <w:sz w:val="36"/>
      <w:szCs w:val="36"/>
      <w:lang w:eastAsia="en-US"/>
    </w:rPr>
  </w:style>
  <w:style w:type="paragraph" w:styleId="Pgina" w:customStyle="1">
    <w:name w:val="Página"/>
    <w:basedOn w:val="Piedepgina"/>
    <w:link w:val="PginaCar"/>
    <w:qFormat w:val="1"/>
    <w:rsid w:val="00EC771B"/>
    <w:pPr>
      <w:jc w:val="right"/>
    </w:pPr>
    <w:rPr>
      <w:rFonts w:cs="Arial"/>
      <w:szCs w:val="22"/>
    </w:rPr>
  </w:style>
  <w:style w:type="character" w:styleId="TtulondicesCar" w:customStyle="1">
    <w:name w:val="Título Índices Car"/>
    <w:basedOn w:val="Fuentedeprrafopredeter"/>
    <w:link w:val="Ttulondices"/>
    <w:rsid w:val="008C16EB"/>
    <w:rPr>
      <w:rFonts w:cs="Arial" w:eastAsia="Times New Roman" w:asciiTheme="majorHAnsi" w:hAnsiTheme="majorHAnsi"/>
      <w:color w:val="0098cd"/>
      <w:sz w:val="36"/>
      <w:szCs w:val="36"/>
      <w:lang w:eastAsia="en-US"/>
    </w:rPr>
  </w:style>
  <w:style w:type="character" w:styleId="PginaCar" w:customStyle="1">
    <w:name w:val="Página Car"/>
    <w:basedOn w:val="PiedepginaCar"/>
    <w:link w:val="Pgina"/>
    <w:rsid w:val="00EC771B"/>
    <w:rPr>
      <w:rFonts w:cs="Arial" w:eastAsia="Times New Roman" w:asciiTheme="minorHAnsi" w:hAnsiTheme="minorHAnsi"/>
      <w:sz w:val="22"/>
      <w:szCs w:val="22"/>
    </w:rPr>
  </w:style>
  <w:style w:type="paragraph" w:styleId="Prrafodelista">
    <w:name w:val="List Paragraph"/>
    <w:basedOn w:val="Normal"/>
    <w:uiPriority w:val="34"/>
    <w:rsid w:val="00DA0FCE"/>
    <w:pPr>
      <w:ind w:left="720"/>
      <w:contextualSpacing w:val="1"/>
    </w:pPr>
  </w:style>
  <w:style w:type="paragraph" w:styleId="Textonotapie">
    <w:name w:val="footnote text"/>
    <w:basedOn w:val="Normal"/>
    <w:link w:val="TextonotapieCar"/>
    <w:unhideWhenUsed w:val="1"/>
    <w:rsid w:val="00FA0670"/>
    <w:pPr>
      <w:spacing w:after="0" w:before="0" w:line="240" w:lineRule="auto"/>
    </w:pPr>
    <w:rPr>
      <w:sz w:val="20"/>
      <w:szCs w:val="20"/>
    </w:rPr>
  </w:style>
  <w:style w:type="character" w:styleId="TextonotapieCar" w:customStyle="1">
    <w:name w:val="Texto nota pie Car"/>
    <w:basedOn w:val="Fuentedeprrafopredeter"/>
    <w:link w:val="Textonotapie"/>
    <w:rsid w:val="00FA0670"/>
    <w:rPr>
      <w:rFonts w:eastAsia="Times New Roman" w:asciiTheme="minorHAnsi" w:hAnsiTheme="minorHAnsi"/>
    </w:rPr>
  </w:style>
  <w:style w:type="character" w:styleId="Refdenotaalpie">
    <w:name w:val="footnote reference"/>
    <w:basedOn w:val="Fuentedeprrafopredeter"/>
    <w:uiPriority w:val="99"/>
    <w:semiHidden w:val="1"/>
    <w:unhideWhenUsed w:val="1"/>
    <w:rsid w:val="00FA0670"/>
    <w:rPr>
      <w:vertAlign w:val="superscript"/>
    </w:rPr>
  </w:style>
  <w:style w:type="paragraph" w:styleId="Ttulo1sinnumerar" w:customStyle="1">
    <w:name w:val="Título 1 sin numerar"/>
    <w:qFormat w:val="1"/>
    <w:rsid w:val="00A75783"/>
  </w:style>
  <w:style w:type="paragraph" w:styleId="Referenciasbibliogrficas" w:customStyle="1">
    <w:name w:val="Referencias bibliográficas"/>
    <w:basedOn w:val="Normal"/>
    <w:qFormat w:val="1"/>
    <w:rsid w:val="00A75783"/>
    <w:pPr>
      <w:ind w:left="284" w:hanging="284"/>
    </w:pPr>
    <w:rPr>
      <w:lang w:val="en-US"/>
    </w:rPr>
  </w:style>
  <w:style w:type="paragraph" w:styleId="Anexo" w:customStyle="1">
    <w:name w:val="Anexo"/>
    <w:basedOn w:val="Ttulo1sinnumerar"/>
    <w:qFormat w:val="1"/>
    <w:rsid w:val="00D34BAD"/>
    <w:pPr>
      <w:numPr>
        <w:numId w:val="4"/>
      </w:numPr>
      <w:ind w:left="360"/>
    </w:pPr>
  </w:style>
  <w:style w:type="paragraph" w:styleId="AbstractKeytitle" w:customStyle="1">
    <w:name w:val="Abstract_Key_title"/>
    <w:link w:val="AbstractKeytitleCar"/>
    <w:qFormat w:val="1"/>
    <w:rsid w:val="003C1583"/>
    <w:pPr>
      <w:pBdr>
        <w:bottom w:color="0098cd" w:space="1" w:sz="4" w:val="single"/>
      </w:pBdr>
      <w:tabs>
        <w:tab w:val="left" w:pos="8080"/>
      </w:tabs>
      <w:spacing w:after="227" w:line="259" w:lineRule="auto"/>
    </w:pPr>
    <w:rPr>
      <w:rFonts w:ascii="Arial" w:cs="Arial" w:eastAsia="UnitOT" w:hAnsi="Arial"/>
      <w:b w:val="1"/>
      <w:smallCaps w:val="1"/>
      <w:color w:val="0097cd"/>
      <w:w w:val="115"/>
      <w:sz w:val="28"/>
      <w:szCs w:val="28"/>
      <w:lang w:eastAsia="en-US" w:val="en-US"/>
    </w:rPr>
  </w:style>
  <w:style w:type="paragraph" w:styleId="Abstract" w:customStyle="1">
    <w:name w:val="Abstract"/>
    <w:qFormat w:val="1"/>
    <w:rsid w:val="003C1583"/>
    <w:pPr>
      <w:spacing w:after="57" w:line="216" w:lineRule="exact"/>
    </w:pPr>
    <w:rPr>
      <w:rFonts w:ascii="Times New Roman" w:eastAsia="Times New Roman" w:hAnsi="Times New Roman"/>
      <w:sz w:val="18"/>
      <w:szCs w:val="18"/>
      <w:lang w:eastAsia="en-US" w:val="en-US"/>
    </w:rPr>
  </w:style>
  <w:style w:type="character" w:styleId="AbstractKeytitleCar" w:customStyle="1">
    <w:name w:val="Abstract_Key_title Car"/>
    <w:basedOn w:val="Fuentedeprrafopredeter"/>
    <w:link w:val="AbstractKeytitle"/>
    <w:rsid w:val="003C1583"/>
    <w:rPr>
      <w:rFonts w:ascii="Arial" w:cs="Arial" w:eastAsia="UnitOT" w:hAnsi="Arial"/>
      <w:b w:val="1"/>
      <w:smallCaps w:val="1"/>
      <w:color w:val="0097cd"/>
      <w:w w:val="115"/>
      <w:sz w:val="28"/>
      <w:szCs w:val="28"/>
      <w:lang w:eastAsia="en-US" w:val="en-US"/>
    </w:rPr>
  </w:style>
  <w:style w:type="paragraph" w:styleId="Keywords" w:customStyle="1">
    <w:name w:val="Keywords"/>
    <w:qFormat w:val="1"/>
    <w:rsid w:val="003C1583"/>
    <w:pPr>
      <w:spacing w:after="160" w:line="259" w:lineRule="auto"/>
    </w:pPr>
    <w:rPr>
      <w:rFonts w:ascii="Times New Roman" w:eastAsia="Times New Roman" w:hAnsi="Times New Roman"/>
      <w:sz w:val="18"/>
      <w:szCs w:val="18"/>
      <w:lang w:eastAsia="en-US" w:val="en-US"/>
    </w:rPr>
  </w:style>
  <w:style w:type="paragraph" w:styleId="TableTitle" w:customStyle="1">
    <w:name w:val="Table Title"/>
    <w:basedOn w:val="Normal"/>
    <w:qFormat w:val="1"/>
    <w:rsid w:val="008233DF"/>
    <w:pPr>
      <w:widowControl w:val="0"/>
      <w:autoSpaceDE w:val="0"/>
      <w:autoSpaceDN w:val="0"/>
      <w:spacing w:after="57" w:before="113" w:line="240" w:lineRule="auto"/>
      <w:jc w:val="center"/>
    </w:pPr>
    <w:rPr>
      <w:rFonts w:ascii="Times New Roman" w:hAnsi="Times New Roman"/>
      <w:smallCaps w:val="1"/>
      <w:sz w:val="16"/>
      <w:szCs w:val="16"/>
      <w:lang w:eastAsia="en-US" w:val="en-US"/>
    </w:rPr>
  </w:style>
  <w:style w:type="paragraph" w:styleId="FigureCaption" w:customStyle="1">
    <w:name w:val="FigureCaption"/>
    <w:basedOn w:val="Normal"/>
    <w:qFormat w:val="1"/>
    <w:rsid w:val="008233DF"/>
    <w:pPr>
      <w:widowControl w:val="0"/>
      <w:autoSpaceDE w:val="0"/>
      <w:autoSpaceDN w:val="0"/>
      <w:spacing w:after="113" w:before="113" w:line="240" w:lineRule="auto"/>
      <w:jc w:val="left"/>
    </w:pPr>
    <w:rPr>
      <w:rFonts w:ascii="Times New Roman" w:hAnsi="Times New Roman"/>
      <w:sz w:val="16"/>
      <w:szCs w:val="20"/>
      <w:lang w:eastAsia="en-US" w:val="en-US"/>
    </w:rPr>
  </w:style>
  <w:style w:type="paragraph" w:styleId="TableText" w:customStyle="1">
    <w:name w:val="TableText"/>
    <w:basedOn w:val="Normal"/>
    <w:qFormat w:val="1"/>
    <w:rsid w:val="008233DF"/>
    <w:pPr>
      <w:widowControl w:val="0"/>
      <w:autoSpaceDE w:val="0"/>
      <w:autoSpaceDN w:val="0"/>
      <w:spacing w:after="57" w:before="0" w:line="240" w:lineRule="auto"/>
      <w:ind w:firstLine="210"/>
      <w:jc w:val="left"/>
    </w:pPr>
    <w:rPr>
      <w:rFonts w:ascii="Times New Roman" w:hAnsi="Times New Roman"/>
      <w:sz w:val="16"/>
      <w:szCs w:val="20"/>
      <w:lang w:eastAsia="en-US" w:val="en-US"/>
    </w:rPr>
  </w:style>
  <w:style w:type="paragraph" w:styleId="References" w:customStyle="1">
    <w:name w:val="References"/>
    <w:basedOn w:val="Normal"/>
    <w:qFormat w:val="1"/>
    <w:rsid w:val="008233DF"/>
    <w:pPr>
      <w:widowControl w:val="0"/>
      <w:numPr>
        <w:numId w:val="6"/>
      </w:numPr>
      <w:autoSpaceDE w:val="0"/>
      <w:autoSpaceDN w:val="0"/>
      <w:spacing w:after="14" w:before="0" w:line="240" w:lineRule="auto"/>
      <w:ind w:left="397" w:hanging="397"/>
    </w:pPr>
    <w:rPr>
      <w:rFonts w:ascii="Times New Roman" w:hAnsi="Times New Roman"/>
      <w:sz w:val="16"/>
      <w:szCs w:val="16"/>
      <w:lang w:eastAsia="en-US" w:val="en-US"/>
    </w:rPr>
  </w:style>
  <w:style w:type="paragraph" w:styleId="Piedefoto-tabla" w:customStyle="1">
    <w:name w:val="Pie de foto-tabla"/>
    <w:basedOn w:val="Normal"/>
    <w:next w:val="Normal"/>
    <w:uiPriority w:val="16"/>
    <w:qFormat w:val="1"/>
    <w:rsid w:val="00B52554"/>
    <w:pPr>
      <w:spacing w:after="0" w:line="276" w:lineRule="auto"/>
      <w:ind w:left="-113" w:right="-215"/>
      <w:jc w:val="center"/>
    </w:pPr>
    <w:rPr>
      <w:rFonts w:cs="UnitOT-Light"/>
      <w:iCs w:val="1"/>
      <w:color w:val="595959" w:themeColor="text1" w:themeTint="0000A6"/>
      <w:sz w:val="19"/>
      <w:szCs w:val="18"/>
      <w:lang w:val="en-US"/>
    </w:rPr>
  </w:style>
  <w:style w:type="character" w:styleId="Mencinsinresolver">
    <w:name w:val="Unresolved Mention"/>
    <w:basedOn w:val="Fuentedeprrafopredeter"/>
    <w:uiPriority w:val="99"/>
    <w:semiHidden w:val="1"/>
    <w:unhideWhenUsed w:val="1"/>
    <w:rsid w:val="003C474D"/>
    <w:rPr>
      <w:color w:val="605e5c"/>
      <w:shd w:color="auto" w:fill="e1dfdd" w:val="clear"/>
    </w:rPr>
  </w:style>
  <w:style w:type="paragraph" w:styleId="CuadroCmoestudiaryReferencias" w:customStyle="1">
    <w:name w:val="Cuadro «Cómo estudiar» y Referencias"/>
    <w:basedOn w:val="Normal"/>
    <w:uiPriority w:val="10"/>
    <w:qFormat w:val="1"/>
    <w:rsid w:val="000D1932"/>
    <w:pPr>
      <w:pBdr>
        <w:top w:color="0098cd" w:space="4" w:sz="4" w:val="single"/>
        <w:bottom w:color="0098cd" w:space="1" w:sz="4" w:val="single"/>
      </w:pBdr>
      <w:shd w:color="auto" w:fill="e6f4f9" w:val="clear"/>
      <w:tabs>
        <w:tab w:val="left" w:pos="1134"/>
      </w:tabs>
      <w:spacing w:after="0" w:before="0"/>
    </w:pPr>
    <w:rPr>
      <w:rFonts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color="9cc2e5" w:space="0" w:sz="4" w:themeColor="accent1" w:themeTint="000099" w:val="single"/>
        <w:left w:color="9cc2e5" w:space="0" w:sz="4" w:themeColor="accent1" w:themeTint="000099" w:val="single"/>
        <w:bottom w:color="9cc2e5" w:space="0" w:sz="4" w:themeColor="accent1" w:themeTint="000099" w:val="single"/>
        <w:right w:color="9cc2e5" w:space="0" w:sz="4" w:themeColor="accent1" w:themeTint="000099" w:val="single"/>
        <w:insideH w:color="9cc2e5" w:space="0" w:sz="4" w:themeColor="accent1" w:themeTint="000099" w:val="single"/>
        <w:insideV w:color="9cc2e5" w:space="0" w:sz="4" w:themeColor="accent1" w:themeTint="000099" w:val="single"/>
      </w:tblBorders>
    </w:tblPr>
    <w:tblStylePr w:type="firstRow">
      <w:rPr>
        <w:b w:val="1"/>
        <w:bCs w:val="1"/>
        <w:color w:val="ffffff" w:themeColor="background1"/>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space="0" w:sz="0" w:val="nil"/>
          <w:insideV w:space="0" w:sz="0" w:val="nil"/>
        </w:tcBorders>
        <w:shd w:color="auto" w:fill="5b9bd5" w:themeFill="accent1" w:val="clear"/>
      </w:tcPr>
    </w:tblStylePr>
    <w:tblStylePr w:type="lastRow">
      <w:rPr>
        <w:b w:val="1"/>
        <w:bCs w:val="1"/>
      </w:rPr>
      <w:tblPr/>
      <w:tcPr>
        <w:tcBorders>
          <w:top w:color="5b9bd5" w:space="0" w:sz="4" w:themeColor="accent1" w:val="double"/>
        </w:tcBorders>
      </w:tcPr>
    </w:tblStylePr>
    <w:tblStylePr w:type="firstCol">
      <w:rPr>
        <w:b w:val="1"/>
        <w:bCs w:val="1"/>
      </w:rPr>
    </w:tblStylePr>
    <w:tblStylePr w:type="lastCol">
      <w:rPr>
        <w:b w:val="1"/>
        <w:bCs w:val="1"/>
      </w:rPr>
    </w:tblStylePr>
    <w:tblStylePr w:type="band1Vert">
      <w:tblPr/>
      <w:tcPr>
        <w:shd w:color="auto" w:fill="deeaf6" w:themeFill="accent1" w:themeFillTint="000033" w:val="clear"/>
      </w:tcPr>
    </w:tblStylePr>
    <w:tblStylePr w:type="band1Horz">
      <w:tblPr/>
      <w:tcPr>
        <w:shd w:color="auto" w:fill="deeaf6" w:themeFill="accent1" w:themeFillTint="000033" w:val="clear"/>
      </w:tcPr>
    </w:tblStylePr>
  </w:style>
  <w:style w:type="paragraph" w:styleId="NormalWeb">
    <w:name w:val="Normal (Web)"/>
    <w:basedOn w:val="Normal"/>
    <w:uiPriority w:val="99"/>
    <w:semiHidden w:val="1"/>
    <w:unhideWhenUsed w:val="1"/>
    <w:rsid w:val="008A5BE0"/>
    <w:pPr>
      <w:spacing w:after="100" w:afterAutospacing="1" w:before="100" w:beforeAutospacing="1" w:line="240" w:lineRule="auto"/>
      <w:jc w:val="left"/>
    </w:pPr>
    <w:rPr>
      <w:rFonts w:ascii="Times New Roman" w:hAnsi="Times New Roman"/>
      <w:lang w:val="es-CO"/>
    </w:rPr>
  </w:style>
  <w:style w:type="paragraph" w:styleId="HTMLconformatoprevio">
    <w:name w:val="HTML Preformatted"/>
    <w:basedOn w:val="Normal"/>
    <w:link w:val="HTMLconformatoprevioCar"/>
    <w:uiPriority w:val="99"/>
    <w:semiHidden w:val="1"/>
    <w:unhideWhenUsed w:val="1"/>
    <w:rsid w:val="008B33E1"/>
    <w:pPr>
      <w:spacing w:after="0" w:before="0" w:line="240" w:lineRule="auto"/>
    </w:pPr>
    <w:rPr>
      <w:rFonts w:ascii="Consolas" w:hAnsi="Consolas"/>
      <w:sz w:val="20"/>
      <w:szCs w:val="20"/>
    </w:rPr>
  </w:style>
  <w:style w:type="character" w:styleId="HTMLconformatoprevioCar" w:customStyle="1">
    <w:name w:val="HTML con formato previo Car"/>
    <w:basedOn w:val="Fuentedeprrafopredeter"/>
    <w:link w:val="HTMLconformatoprevio"/>
    <w:uiPriority w:val="99"/>
    <w:semiHidden w:val="1"/>
    <w:rsid w:val="008B33E1"/>
    <w:rPr>
      <w:rFonts w:ascii="Consolas" w:eastAsia="Times New Roman" w:hAnsi="Consolas"/>
    </w:rPr>
  </w:style>
  <w:style w:type="character" w:styleId="Textodelmarcadordeposicin">
    <w:name w:val="Placeholder Text"/>
    <w:basedOn w:val="Fuentedeprrafopredeter"/>
    <w:uiPriority w:val="99"/>
    <w:semiHidden w:val="1"/>
    <w:rsid w:val="007F4510"/>
    <w:rPr>
      <w:color w:val="666666"/>
    </w:rPr>
  </w:style>
  <w:style w:type="table" w:styleId="a" w:customStyle="1">
    <w:basedOn w:val="TableNormal0"/>
    <w:tblPr>
      <w:tblStyleRowBandSize w:val="1"/>
      <w:tblStyleColBandSize w:val="1"/>
      <w:tblCellMar>
        <w:top w:w="0.0" w:type="dxa"/>
        <w:left w:w="108.0" w:type="dxa"/>
        <w:bottom w:w="0.0" w:type="dxa"/>
        <w:right w:w="108.0" w:type="dxa"/>
      </w:tblCellMar>
    </w:tblPr>
  </w:style>
  <w:style w:type="table" w:styleId="a0" w:customStyle="1">
    <w:basedOn w:val="TableNormal0"/>
    <w:tblPr>
      <w:tblStyleRowBandSize w:val="1"/>
      <w:tblStyleColBandSize w:val="1"/>
      <w:tblCellMar>
        <w:top w:w="0.0" w:type="dxa"/>
        <w:left w:w="108.0" w:type="dxa"/>
        <w:bottom w:w="0.0" w:type="dxa"/>
        <w:right w:w="108.0" w:type="dxa"/>
      </w:tblCellMar>
    </w:tblPr>
    <w:tblStylePr w:type="firstRow">
      <w:rPr>
        <w:b w:val="1"/>
        <w:bCs w:val="1"/>
        <w:color w:val="ffffff"/>
      </w:rPr>
      <w:tblPr/>
      <w:tcPr>
        <w:tcBorders>
          <w:top w:color="5b9bd5" w:space="0" w:sz="4" w:val="single"/>
          <w:left w:color="5b9bd5" w:space="0" w:sz="4" w:val="single"/>
          <w:bottom w:color="5b9bd5" w:space="0" w:sz="4" w:val="single"/>
          <w:right w:color="5b9bd5" w:space="0" w:sz="4" w:val="single"/>
          <w:insideH w:space="0" w:sz="0" w:val="nil"/>
          <w:insideV w:space="0" w:sz="0" w:val="nil"/>
        </w:tcBorders>
        <w:shd w:color="auto" w:fill="5b9bd5" w:val="clear"/>
      </w:tcPr>
    </w:tblStylePr>
    <w:tblStylePr w:type="lastRow">
      <w:rPr>
        <w:b w:val="1"/>
        <w:bCs w:val="1"/>
      </w:rPr>
      <w:tblPr/>
      <w:tcPr>
        <w:tcBorders>
          <w:top w:color="5b9bd5" w:space="0" w:sz="4" w:val="single"/>
        </w:tcBorders>
      </w:tcPr>
    </w:tblStylePr>
    <w:tblStylePr w:type="firstCol">
      <w:rPr>
        <w:b w:val="1"/>
        <w:bCs w:val="1"/>
      </w:rPr>
    </w:tblStylePr>
    <w:tblStylePr w:type="lastCol">
      <w:rPr>
        <w:b w:val="1"/>
        <w:bCs w:val="1"/>
      </w:rPr>
    </w:tblStylePr>
    <w:tblStylePr w:type="band1Vert">
      <w:tblPr/>
      <w:tcPr>
        <w:shd w:color="auto" w:fill="deeaf6" w:val="clear"/>
      </w:tcPr>
    </w:tblStylePr>
    <w:tblStylePr w:type="band1Horz">
      <w:tblPr/>
      <w:tcPr>
        <w:shd w:color="auto" w:fill="deeaf6" w:val="clear"/>
      </w:tcPr>
    </w:tblStylePr>
  </w:style>
  <w:style w:type="table" w:styleId="a1" w:customStyle="1">
    <w:basedOn w:val="TableNormal0"/>
    <w:tblPr>
      <w:tblStyleRowBandSize w:val="1"/>
      <w:tblStyleColBandSize w:val="1"/>
      <w:tblCellMar>
        <w:top w:w="15.0" w:type="dxa"/>
        <w:left w:w="15.0" w:type="dxa"/>
        <w:bottom w:w="15.0" w:type="dxa"/>
        <w:right w:w="15.0" w:type="dxa"/>
      </w:tblCellMar>
    </w:tblPr>
  </w:style>
  <w:style w:type="table" w:styleId="Tablaconcuadrcula3-nfasis1">
    <w:name w:val="Grid Table 3 Accent 1"/>
    <w:basedOn w:val="Tablanormal"/>
    <w:uiPriority w:val="48"/>
    <w:rsid w:val="00BF3B50"/>
    <w:pPr>
      <w:spacing w:after="0" w:line="240" w:lineRule="auto"/>
    </w:pPr>
    <w:tblPr>
      <w:tblStyleRowBandSize w:val="1"/>
      <w:tblStyleColBandSize w:val="1"/>
      <w:tblBorders>
        <w:top w:color="9cc2e5" w:space="0" w:sz="4" w:themeColor="accent1" w:themeTint="000099" w:val="single"/>
        <w:left w:color="9cc2e5" w:space="0" w:sz="4" w:themeColor="accent1" w:themeTint="000099" w:val="single"/>
        <w:bottom w:color="9cc2e5" w:space="0" w:sz="4" w:themeColor="accent1" w:themeTint="000099" w:val="single"/>
        <w:right w:color="9cc2e5" w:space="0" w:sz="4" w:themeColor="accent1" w:themeTint="000099" w:val="single"/>
        <w:insideH w:color="9cc2e5" w:space="0" w:sz="4" w:themeColor="accent1" w:themeTint="000099" w:val="single"/>
        <w:insideV w:color="9cc2e5" w:space="0" w:sz="4" w:themeColor="accen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deeaf6" w:themeFill="accent1" w:themeFillTint="000033" w:val="clear"/>
      </w:tcPr>
    </w:tblStylePr>
    <w:tblStylePr w:type="band1Horz">
      <w:tblPr/>
      <w:tcPr>
        <w:shd w:color="auto" w:fill="deeaf6" w:themeFill="accent1" w:themeFillTint="000033" w:val="clear"/>
      </w:tcPr>
    </w:tblStylePr>
    <w:tblStylePr w:type="neCell">
      <w:tblPr/>
      <w:tcPr>
        <w:tcBorders>
          <w:bottom w:color="9cc2e5" w:space="0" w:sz="4" w:themeColor="accent1" w:themeTint="000099" w:val="single"/>
        </w:tcBorders>
      </w:tcPr>
    </w:tblStylePr>
    <w:tblStylePr w:type="nwCell">
      <w:tblPr/>
      <w:tcPr>
        <w:tcBorders>
          <w:bottom w:color="9cc2e5" w:space="0" w:sz="4" w:themeColor="accent1" w:themeTint="000099" w:val="single"/>
        </w:tcBorders>
      </w:tcPr>
    </w:tblStylePr>
    <w:tblStylePr w:type="seCell">
      <w:tblPr/>
      <w:tcPr>
        <w:tcBorders>
          <w:top w:color="9cc2e5" w:space="0" w:sz="4" w:themeColor="accent1" w:themeTint="000099" w:val="single"/>
        </w:tcBorders>
      </w:tcPr>
    </w:tblStylePr>
    <w:tblStylePr w:type="swCell">
      <w:tblPr/>
      <w:tcPr>
        <w:tcBorders>
          <w:top w:color="9cc2e5" w:space="0" w:sz="4" w:themeColor="accent1" w:themeTint="000099" w:val="single"/>
        </w:tcBorders>
      </w:tcPr>
    </w:tblStylePr>
  </w:style>
  <w:style w:type="character" w:styleId="Fuerte">
    <w:name w:val="Strong"/>
    <w:basedOn w:val="Fuentedeprrafopredeter"/>
    <w:uiPriority w:val="22"/>
    <w:qFormat w:val="1"/>
    <w:rsid w:val="00466B26"/>
    <w:rPr>
      <w:b w:val="1"/>
      <w:bCs w:val="1"/>
    </w:rPr>
  </w:style>
  <w:style w:type="character" w:styleId="Hipervnculovisitado">
    <w:name w:val="FollowedHyperlink"/>
    <w:basedOn w:val="Fuentedeprrafopredeter"/>
    <w:uiPriority w:val="99"/>
    <w:semiHidden w:val="1"/>
    <w:unhideWhenUsed w:val="1"/>
    <w:rsid w:val="00466B26"/>
    <w:rPr>
      <w:color w:val="954f72" w:themeColor="followedHyperlink"/>
      <w:u w:val="single"/>
    </w:rPr>
  </w:style>
  <w:style w:type="character" w:styleId="CdigoHTML">
    <w:name w:val="HTML Code"/>
    <w:basedOn w:val="Fuentedeprrafopredeter"/>
    <w:uiPriority w:val="99"/>
    <w:semiHidden w:val="1"/>
    <w:unhideWhenUsed w:val="1"/>
    <w:rsid w:val="007F2B6C"/>
    <w:rPr>
      <w:rFonts w:ascii="Courier New" w:cs="Courier New" w:eastAsia="Times New Roman" w:hAnsi="Courier New"/>
      <w:sz w:val="20"/>
      <w:szCs w:val="20"/>
    </w:rPr>
  </w:style>
  <w:style w:type="table" w:styleId="a2" w:customStyle="1">
    <w:basedOn w:val="TableNormal0"/>
    <w:tblPr>
      <w:tblStyleRowBandSize w:val="1"/>
      <w:tblStyleColBandSize w:val="1"/>
      <w:tblCellMar>
        <w:top w:w="0.0" w:type="dxa"/>
        <w:left w:w="108.0" w:type="dxa"/>
        <w:bottom w:w="0.0" w:type="dxa"/>
        <w:right w:w="108.0" w:type="dxa"/>
      </w:tblCellMar>
    </w:tblPr>
  </w:style>
  <w:style w:type="table" w:styleId="a3" w:customStyle="1">
    <w:basedOn w:val="TableNormal0"/>
    <w:tblPr>
      <w:tblStyleRowBandSize w:val="1"/>
      <w:tblStyleColBandSize w:val="1"/>
      <w:tblCellMar>
        <w:top w:w="0.0" w:type="dxa"/>
        <w:left w:w="108.0" w:type="dxa"/>
        <w:bottom w:w="0.0" w:type="dxa"/>
        <w:right w:w="108.0" w:type="dxa"/>
      </w:tblCellMar>
    </w:tblPr>
    <w:tblStylePr w:type="firstRow">
      <w:rPr>
        <w:b w:val="1"/>
        <w:bCs w:val="1"/>
        <w:color w:val="ffffff"/>
      </w:rPr>
      <w:tblPr/>
      <w:tcPr>
        <w:tcBorders>
          <w:top w:color="5b9bd5" w:space="0" w:sz="4" w:val="single"/>
          <w:left w:color="5b9bd5" w:space="0" w:sz="4" w:val="single"/>
          <w:bottom w:color="5b9bd5" w:space="0" w:sz="4" w:val="single"/>
          <w:right w:color="5b9bd5" w:space="0" w:sz="4" w:val="single"/>
          <w:insideH w:space="0" w:sz="0" w:val="nil"/>
          <w:insideV w:space="0" w:sz="0" w:val="nil"/>
        </w:tcBorders>
        <w:shd w:color="auto" w:fill="5b9bd5" w:val="clear"/>
      </w:tcPr>
    </w:tblStylePr>
    <w:tblStylePr w:type="lastRow">
      <w:rPr>
        <w:b w:val="1"/>
        <w:bCs w:val="1"/>
      </w:rPr>
      <w:tblPr/>
      <w:tcPr>
        <w:tcBorders>
          <w:top w:color="5b9bd5" w:space="0" w:sz="4" w:val="single"/>
        </w:tcBorders>
      </w:tcPr>
    </w:tblStylePr>
    <w:tblStylePr w:type="firstCol">
      <w:rPr>
        <w:b w:val="1"/>
        <w:bCs w:val="1"/>
      </w:rPr>
    </w:tblStylePr>
    <w:tblStylePr w:type="lastCol">
      <w:rPr>
        <w:b w:val="1"/>
        <w:bCs w:val="1"/>
      </w:rPr>
    </w:tblStylePr>
    <w:tblStylePr w:type="band1Vert">
      <w:tblPr/>
      <w:tcPr>
        <w:shd w:color="auto" w:fill="deeaf6" w:val="clear"/>
      </w:tcPr>
    </w:tblStylePr>
    <w:tblStylePr w:type="band1Horz">
      <w:tblPr/>
      <w:tcPr>
        <w:shd w:color="auto" w:fill="deeaf6" w:val="clear"/>
      </w:tcPr>
    </w:tblStylePr>
  </w:style>
  <w:style w:type="table" w:styleId="a4" w:customStyle="1">
    <w:basedOn w:val="TableNormal0"/>
    <w:pPr>
      <w:spacing w:after="0" w:line="240" w:lineRule="auto"/>
    </w:pPr>
    <w:tblPr>
      <w:tblStyleRowBandSize w:val="1"/>
      <w:tblStyleColBandSize w:val="1"/>
      <w:tblCellMar>
        <w:top w:w="0.0" w:type="dxa"/>
        <w:left w:w="108.0" w:type="dxa"/>
        <w:bottom w:w="0.0" w:type="dxa"/>
        <w:right w:w="108.0" w:type="dxa"/>
      </w:tblCellMar>
    </w:tblPr>
    <w:tblStylePr w:type="firstRow">
      <w:rPr>
        <w:b w:val="1"/>
        <w:bCs w:val="1"/>
      </w:rPr>
      <w:tblPr/>
      <w:tcPr>
        <w:tcBorders>
          <w:top w:space="0" w:sz="0" w:val="nil"/>
          <w:left w:space="0" w:sz="0" w:val="nil"/>
          <w:right w:space="0" w:sz="0" w:val="nil"/>
          <w:insideH w:space="0" w:sz="0" w:val="nil"/>
          <w:insideV w:space="0" w:sz="0" w:val="nil"/>
        </w:tcBorders>
        <w:shd w:color="auto" w:fill="ffffff"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val="clear"/>
      </w:tcPr>
    </w:tblStylePr>
    <w:tblStylePr w:type="band1Vert">
      <w:tblPr/>
      <w:tcPr>
        <w:shd w:color="auto" w:fill="deeaf6" w:val="clear"/>
      </w:tcPr>
    </w:tblStylePr>
    <w:tblStylePr w:type="band1Horz">
      <w:tblPr/>
      <w:tcPr>
        <w:shd w:color="auto" w:fill="deeaf6" w:val="clear"/>
      </w:tcPr>
    </w:tblStylePr>
    <w:tblStylePr w:type="neCell">
      <w:tblPr/>
      <w:tcPr>
        <w:tcBorders>
          <w:bottom w:color="9cc2e5" w:space="0" w:sz="4" w:val="single"/>
        </w:tcBorders>
      </w:tcPr>
    </w:tblStylePr>
    <w:tblStylePr w:type="nwCell">
      <w:tblPr/>
      <w:tcPr>
        <w:tcBorders>
          <w:bottom w:color="9cc2e5" w:space="0" w:sz="4" w:val="single"/>
        </w:tcBorders>
      </w:tcPr>
    </w:tblStylePr>
    <w:tblStylePr w:type="seCell">
      <w:tblPr/>
      <w:tcPr>
        <w:tcBorders>
          <w:top w:color="9cc2e5" w:space="0" w:sz="4" w:val="single"/>
        </w:tcBorders>
      </w:tcPr>
    </w:tblStylePr>
    <w:tblStylePr w:type="swCell">
      <w:tblPr/>
      <w:tcPr>
        <w:tcBorders>
          <w:top w:color="9cc2e5" w:space="0" w:sz="4" w:val="single"/>
        </w:tcBorders>
      </w:tcPr>
    </w:tblStylePr>
  </w:style>
  <w:style w:type="table" w:styleId="a5" w:customStyle="1">
    <w:basedOn w:val="TableNormal0"/>
    <w:pPr>
      <w:spacing w:after="0" w:line="240" w:lineRule="auto"/>
    </w:pPr>
    <w:tblPr>
      <w:tblStyleRowBandSize w:val="1"/>
      <w:tblStyleColBandSize w:val="1"/>
      <w:tblCellMar>
        <w:top w:w="0.0" w:type="dxa"/>
        <w:left w:w="108.0" w:type="dxa"/>
        <w:bottom w:w="0.0" w:type="dxa"/>
        <w:right w:w="108.0" w:type="dxa"/>
      </w:tblCellMar>
    </w:tblPr>
    <w:tblStylePr w:type="firstRow">
      <w:rPr>
        <w:b w:val="1"/>
        <w:bCs w:val="1"/>
      </w:rPr>
      <w:tblPr/>
      <w:tcPr>
        <w:tcBorders>
          <w:top w:space="0" w:sz="0" w:val="nil"/>
          <w:left w:space="0" w:sz="0" w:val="nil"/>
          <w:right w:space="0" w:sz="0" w:val="nil"/>
          <w:insideH w:space="0" w:sz="0" w:val="nil"/>
          <w:insideV w:space="0" w:sz="0" w:val="nil"/>
        </w:tcBorders>
        <w:shd w:color="auto" w:fill="ffffff"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val="clear"/>
      </w:tcPr>
    </w:tblStylePr>
    <w:tblStylePr w:type="band1Vert">
      <w:tblPr/>
      <w:tcPr>
        <w:shd w:color="auto" w:fill="deeaf6" w:val="clear"/>
      </w:tcPr>
    </w:tblStylePr>
    <w:tblStylePr w:type="band1Horz">
      <w:tblPr/>
      <w:tcPr>
        <w:shd w:color="auto" w:fill="deeaf6" w:val="clear"/>
      </w:tcPr>
    </w:tblStylePr>
    <w:tblStylePr w:type="neCell">
      <w:tblPr/>
      <w:tcPr>
        <w:tcBorders>
          <w:bottom w:color="9cc2e5" w:space="0" w:sz="4" w:val="single"/>
        </w:tcBorders>
      </w:tcPr>
    </w:tblStylePr>
    <w:tblStylePr w:type="nwCell">
      <w:tblPr/>
      <w:tcPr>
        <w:tcBorders>
          <w:bottom w:color="9cc2e5" w:space="0" w:sz="4" w:val="single"/>
        </w:tcBorders>
      </w:tcPr>
    </w:tblStylePr>
    <w:tblStylePr w:type="seCell">
      <w:tblPr/>
      <w:tcPr>
        <w:tcBorders>
          <w:top w:color="9cc2e5" w:space="0" w:sz="4" w:val="single"/>
        </w:tcBorders>
      </w:tcPr>
    </w:tblStylePr>
    <w:tblStylePr w:type="swCell">
      <w:tblPr/>
      <w:tcPr>
        <w:tcBorders>
          <w:top w:color="9cc2e5" w:space="0" w:sz="4" w:val="single"/>
        </w:tcBorders>
      </w:tcPr>
    </w:tblStylePr>
  </w:style>
  <w:style w:type="table" w:styleId="a6" w:customStyle="1">
    <w:basedOn w:val="TableNormal0"/>
    <w:pPr>
      <w:spacing w:after="0" w:line="240" w:lineRule="auto"/>
    </w:pPr>
    <w:tblPr>
      <w:tblStyleRowBandSize w:val="1"/>
      <w:tblStyleColBandSize w:val="1"/>
      <w:tblCellMar>
        <w:top w:w="0.0" w:type="dxa"/>
        <w:left w:w="108.0" w:type="dxa"/>
        <w:bottom w:w="0.0" w:type="dxa"/>
        <w:right w:w="108.0" w:type="dxa"/>
      </w:tblCellMar>
    </w:tblPr>
    <w:tblStylePr w:type="firstRow">
      <w:rPr>
        <w:b w:val="1"/>
        <w:bCs w:val="1"/>
      </w:rPr>
      <w:tblPr/>
      <w:tcPr>
        <w:tcBorders>
          <w:top w:space="0" w:sz="0" w:val="nil"/>
          <w:left w:space="0" w:sz="0" w:val="nil"/>
          <w:right w:space="0" w:sz="0" w:val="nil"/>
          <w:insideH w:space="0" w:sz="0" w:val="nil"/>
          <w:insideV w:space="0" w:sz="0" w:val="nil"/>
        </w:tcBorders>
        <w:shd w:color="auto" w:fill="ffffff"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val="clear"/>
      </w:tcPr>
    </w:tblStylePr>
    <w:tblStylePr w:type="band1Vert">
      <w:tblPr/>
      <w:tcPr>
        <w:shd w:color="auto" w:fill="deeaf6" w:val="clear"/>
      </w:tcPr>
    </w:tblStylePr>
    <w:tblStylePr w:type="band1Horz">
      <w:tblPr/>
      <w:tcPr>
        <w:shd w:color="auto" w:fill="deeaf6" w:val="clear"/>
      </w:tcPr>
    </w:tblStylePr>
    <w:tblStylePr w:type="neCell">
      <w:tblPr/>
      <w:tcPr>
        <w:tcBorders>
          <w:bottom w:color="9cc2e5" w:space="0" w:sz="4" w:val="single"/>
        </w:tcBorders>
      </w:tcPr>
    </w:tblStylePr>
    <w:tblStylePr w:type="nwCell">
      <w:tblPr/>
      <w:tcPr>
        <w:tcBorders>
          <w:bottom w:color="9cc2e5" w:space="0" w:sz="4" w:val="single"/>
        </w:tcBorders>
      </w:tcPr>
    </w:tblStylePr>
    <w:tblStylePr w:type="seCell">
      <w:tblPr/>
      <w:tcPr>
        <w:tcBorders>
          <w:top w:color="9cc2e5" w:space="0" w:sz="4" w:val="single"/>
        </w:tcBorders>
      </w:tcPr>
    </w:tblStylePr>
    <w:tblStylePr w:type="swCell">
      <w:tblPr/>
      <w:tcPr>
        <w:tcBorders>
          <w:top w:color="9cc2e5" w:space="0" w:sz="4" w:val="single"/>
        </w:tcBorders>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shd w:fill="deeaf6" w:val="clear"/>
      </w:tcPr>
    </w:tblStylePr>
    <w:tblStylePr w:type="band1Vert">
      <w:tcPr>
        <w:shd w:fill="deeaf6" w:val="clear"/>
      </w:tcPr>
    </w:tblStylePr>
    <w:tblStylePr w:type="firstCol">
      <w:rPr>
        <w:b w:val="1"/>
        <w:bCs w:val="1"/>
      </w:rPr>
    </w:tblStylePr>
    <w:tblStylePr w:type="firstRow">
      <w:rPr>
        <w:b w:val="1"/>
        <w:bCs w:val="1"/>
        <w:color w:val="ffffff"/>
      </w:rPr>
      <w:tcPr>
        <w:tcBorders>
          <w:top w:color="5b9bd5" w:space="0" w:sz="4" w:val="single"/>
          <w:left w:color="5b9bd5" w:space="0" w:sz="4" w:val="single"/>
          <w:bottom w:color="5b9bd5" w:space="0" w:sz="4" w:val="single"/>
          <w:right w:color="5b9bd5" w:space="0" w:sz="4" w:val="single"/>
          <w:insideH w:color="000000" w:space="0" w:sz="0" w:val="nil"/>
          <w:insideV w:color="000000" w:space="0" w:sz="0" w:val="nil"/>
        </w:tcBorders>
        <w:shd w:fill="5b9bd5" w:val="clear"/>
      </w:tcPr>
    </w:tblStylePr>
    <w:tblStylePr w:type="lastCol">
      <w:rPr>
        <w:b w:val="1"/>
        <w:bCs w:val="1"/>
      </w:rPr>
    </w:tblStylePr>
    <w:tblStylePr w:type="lastRow">
      <w:rPr>
        <w:b w:val="1"/>
        <w:bCs w:val="1"/>
      </w:rPr>
      <w:tcPr>
        <w:tcBorders>
          <w:top w:color="5b9bd5"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eeaf6" w:val="clear"/>
      </w:tcPr>
    </w:tblStylePr>
    <w:tblStylePr w:type="band1Vert">
      <w:tcPr>
        <w:shd w:fill="deea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2e5" w:space="0" w:sz="4" w:val="single"/>
        </w:tcBorders>
      </w:tcPr>
    </w:tblStylePr>
    <w:tblStylePr w:type="nwCell">
      <w:tcPr>
        <w:tcBorders>
          <w:bottom w:color="9cc2e5" w:space="0" w:sz="4" w:val="single"/>
        </w:tcBorders>
      </w:tcPr>
    </w:tblStylePr>
    <w:tblStylePr w:type="seCell">
      <w:tcPr>
        <w:tcBorders>
          <w:top w:color="9cc2e5" w:space="0" w:sz="4" w:val="single"/>
        </w:tcBorders>
      </w:tcPr>
    </w:tblStylePr>
    <w:tblStylePr w:type="swCell">
      <w:tcPr>
        <w:tcBorders>
          <w:top w:color="9cc2e5"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eeaf6" w:val="clear"/>
      </w:tcPr>
    </w:tblStylePr>
    <w:tblStylePr w:type="band1Vert">
      <w:tcPr>
        <w:shd w:fill="deea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2e5" w:space="0" w:sz="4" w:val="single"/>
        </w:tcBorders>
      </w:tcPr>
    </w:tblStylePr>
    <w:tblStylePr w:type="nwCell">
      <w:tcPr>
        <w:tcBorders>
          <w:bottom w:color="9cc2e5" w:space="0" w:sz="4" w:val="single"/>
        </w:tcBorders>
      </w:tcPr>
    </w:tblStylePr>
    <w:tblStylePr w:type="seCell">
      <w:tcPr>
        <w:tcBorders>
          <w:top w:color="9cc2e5" w:space="0" w:sz="4" w:val="single"/>
        </w:tcBorders>
      </w:tcPr>
    </w:tblStylePr>
    <w:tblStylePr w:type="swCell">
      <w:tcPr>
        <w:tcBorders>
          <w:top w:color="9cc2e5"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eeaf6" w:val="clear"/>
      </w:tcPr>
    </w:tblStylePr>
    <w:tblStylePr w:type="band1Vert">
      <w:tcPr>
        <w:shd w:fill="deea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2e5" w:space="0" w:sz="4" w:val="single"/>
        </w:tcBorders>
      </w:tcPr>
    </w:tblStylePr>
    <w:tblStylePr w:type="nwCell">
      <w:tcPr>
        <w:tcBorders>
          <w:bottom w:color="9cc2e5" w:space="0" w:sz="4" w:val="single"/>
        </w:tcBorders>
      </w:tcPr>
    </w:tblStylePr>
    <w:tblStylePr w:type="seCell">
      <w:tcPr>
        <w:tcBorders>
          <w:top w:color="9cc2e5" w:space="0" w:sz="4" w:val="single"/>
        </w:tcBorders>
      </w:tcPr>
    </w:tblStylePr>
    <w:tblStylePr w:type="swCell">
      <w:tcPr>
        <w:tcBorders>
          <w:top w:color="9cc2e5" w:space="0" w:sz="4" w:val="single"/>
        </w:tcBorders>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07/978-3-540-75294-3_18" TargetMode="External"/><Relationship Id="rId22" Type="http://schemas.openxmlformats.org/officeDocument/2006/relationships/hyperlink" Target="https://doi.org/10.18235/0005166" TargetMode="External"/><Relationship Id="rId21" Type="http://schemas.openxmlformats.org/officeDocument/2006/relationships/hyperlink" Target="https://doi.org/10.1109/ICSME.2019.00092" TargetMode="External"/><Relationship Id="rId24" Type="http://schemas.openxmlformats.org/officeDocument/2006/relationships/hyperlink" Target="https://doi.org/10.1016/J.JSS.2017.01.001" TargetMode="External"/><Relationship Id="rId23" Type="http://schemas.openxmlformats.org/officeDocument/2006/relationships/hyperlink" Target="https://doi.org/10.1145/2945408.29454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hyperlink" Target="https://doi.org/10.70747/CR.V4I3.541" TargetMode="External"/><Relationship Id="rId25" Type="http://schemas.openxmlformats.org/officeDocument/2006/relationships/hyperlink" Target="https://doi.org/10.1016/J.INFSOF.2021.106593" TargetMode="External"/><Relationship Id="rId28" Type="http://schemas.openxmlformats.org/officeDocument/2006/relationships/hyperlink" Target="https://doi.org/10.54943/RICCI.V4I1.383" TargetMode="External"/><Relationship Id="rId27" Type="http://schemas.openxmlformats.org/officeDocument/2006/relationships/hyperlink" Target="https://www.oreilly.com/library/view/infrastructure-as-code/9781491924334/"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top10.owasp.org/2025/" TargetMode="External"/><Relationship Id="rId7" Type="http://schemas.openxmlformats.org/officeDocument/2006/relationships/image" Target="media/image1.png"/><Relationship Id="rId8" Type="http://schemas.openxmlformats.org/officeDocument/2006/relationships/header" Target="header1.xml"/><Relationship Id="rId31" Type="http://schemas.openxmlformats.org/officeDocument/2006/relationships/hyperlink" Target="https://doi.org/10.1109/ICSE.2019.00033" TargetMode="External"/><Relationship Id="rId30" Type="http://schemas.openxmlformats.org/officeDocument/2006/relationships/hyperlink" Target="https://doi.org/10.1145/3104028" TargetMode="External"/><Relationship Id="rId11" Type="http://schemas.openxmlformats.org/officeDocument/2006/relationships/image" Target="media/image3.jpg"/><Relationship Id="rId33" Type="http://schemas.openxmlformats.org/officeDocument/2006/relationships/header" Target="header2.xml"/><Relationship Id="rId10" Type="http://schemas.openxmlformats.org/officeDocument/2006/relationships/footer" Target="footer2.xml"/><Relationship Id="rId32" Type="http://schemas.openxmlformats.org/officeDocument/2006/relationships/hyperlink" Target="https://www.oreilly.com/library/view/distributed-systems-observability/9781492033431/" TargetMode="External"/><Relationship Id="rId13" Type="http://schemas.openxmlformats.org/officeDocument/2006/relationships/hyperlink" Target="https://doi.org/10.1145/3106237.3117767" TargetMode="External"/><Relationship Id="rId12" Type="http://schemas.openxmlformats.org/officeDocument/2006/relationships/image" Target="media/image2.png"/><Relationship Id="rId15" Type="http://schemas.openxmlformats.org/officeDocument/2006/relationships/hyperlink" Target="https://doi.org/10.5220/0003884105180524" TargetMode="External"/><Relationship Id="rId14" Type="http://schemas.openxmlformats.org/officeDocument/2006/relationships/hyperlink" Target="https://doi.org/10.36341/RABIT.V9I1.3787" TargetMode="External"/><Relationship Id="rId17" Type="http://schemas.openxmlformats.org/officeDocument/2006/relationships/hyperlink" Target="https://doi.org/10.1109/ICSE-C.2017.162" TargetMode="External"/><Relationship Id="rId16" Type="http://schemas.openxmlformats.org/officeDocument/2006/relationships/hyperlink" Target="https://docs.aws.amazon.com/AmazonECS/latest/developerguide/ecs-configuration.html" TargetMode="External"/><Relationship Id="rId19" Type="http://schemas.openxmlformats.org/officeDocument/2006/relationships/hyperlink" Target="https://doi.org/10.33996/REVISTAINGENIERIA.V6I15.98" TargetMode="External"/><Relationship Id="rId18" Type="http://schemas.openxmlformats.org/officeDocument/2006/relationships/hyperlink" Target="https://reunir.unir.net/handle/123456789/1449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3EHpO8oekb2ZKReTsPWH57hjZQ==">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2026-10-04T05:48:00Z</dcterms:created>
  <dc:creator>Conchi de Miguel</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