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before="850"/>
      </w:pPr>
      <w:r>
        <w:rPr>
          <w:rFonts w:ascii="Arial" w:cs="Arial" w:eastAsia="Arial" w:hAnsi="Arial"/>
          <w:b/>
          <w:bCs/>
          <w:color w:val="000000"/>
          <w:sz w:val="52"/>
          <w:szCs w:val="52"/>
        </w:rPr>
        <w:t xml:space="preserve">LearnTerms Question Studio Model Comparison Report</w:t>
      </w:r>
    </w:p>
    <w:p>
      <w:pPr>
        <w:spacing w:after="380"/>
      </w:pPr>
      <w:r>
        <w:rPr>
          <w:rFonts w:ascii="Arial" w:cs="Arial" w:eastAsia="Arial" w:hAnsi="Arial"/>
          <w:color w:val="5B6573"/>
          <w:sz w:val="26"/>
          <w:szCs w:val="26"/>
        </w:rPr>
        <w:t xml:space="preserve">Gemini 3.8 Flash Luna and three comparator models</w:t>
      </w:r>
    </w:p>
    <w:p>
      <w:pPr>
        <w:spacing w:after="50"/>
      </w:pPr>
      <w:r>
        <w:rPr>
          <w:rFonts w:ascii="Arial" w:cs="Arial" w:eastAsia="Arial" w:hAnsi="Arial"/>
          <w:b/>
          <w:bCs/>
          <w:color w:val="000000"/>
        </w:rPr>
        <w:t xml:space="preserve">Prepared for Justin Dang</w:t>
      </w:r>
    </w:p>
    <w:p>
      <w:pPr>
        <w:spacing w:after="50"/>
      </w:pPr>
      <w:r>
        <w:rPr>
          <w:rFonts w:ascii="Arial" w:cs="Arial" w:eastAsia="Arial" w:hAnsi="Arial"/>
          <w:color w:val="000000"/>
        </w:rPr>
        <w:t xml:space="preserve">Evaluation completed September 20 2026</w:t>
      </w:r>
    </w:p>
    <w:p>
      <w:pPr>
        <w:spacing w:after="480"/>
      </w:pPr>
      <w:r>
        <w:rPr>
          <w:rFonts w:ascii="Arial" w:cs="Arial" w:eastAsia="Arial" w:hAnsi="Arial"/>
          <w:color w:val="000000"/>
        </w:rPr>
        <w:t xml:space="preserve">Repository LearnTerms</w:t>
      </w:r>
    </w:p>
    <w:p>
      <w:pPr>
        <w:pStyle w:val="Heading1"/>
        <w:keepNext/>
        <w:spacing w:after="140" w:before="300"/>
      </w:pPr>
      <w:r>
        <w:t xml:space="preserve">Decision summary</w:t>
      </w:r>
    </w:p>
    <w:p>
      <w:pPr>
        <w:spacing w:after="120" w:line="276"/>
      </w:pPr>
      <w:r>
        <w:rPr>
          <w:rFonts w:ascii="Arial" w:cs="Arial" w:eastAsia="Arial" w:hAnsi="Arial"/>
          <w:color w:val="000000"/>
        </w:rPr>
        <w:t xml:space="preserve">Keep openai gpt 5.6 luna as the Question Studio generation model for now. Luna produced six strict passes across nine objectives, compared with five for google gemini 3.8 flash. That one-case quality difference is not conclusive because the judge was openai gpt 5.6 terra, which shares a model family with Luna. The operational result was decisive: Luna averaged 5.7 seconds per candidate call and cost $0.0084 across nine calls, while Gemini averaged 31.0 seconds and cost $0.2238.</w:t>
      </w:r>
    </w:p>
    <w:p>
      <w:pPr>
        <w:spacing w:after="120" w:line="276"/>
      </w:pPr>
      <w:r>
        <w:rPr>
          <w:rFonts w:ascii="Arial" w:cs="Arial" w:eastAsia="Arial" w:hAnsi="Arial"/>
          <w:color w:val="000000"/>
        </w:rPr>
        <w:t xml:space="preserve">The benchmark also found a larger prompt-level problem. Every model sometimes added unsupported facts to rationales, distractors, mechanisms, or clinical thresholds. Tightening the source-only generation and repair contract is more likely to improve question quality than changing models.</w:t>
      </w:r>
    </w:p>
    <w:p>
      <w:r>
        <w:br w:type="page"/>
      </w:r>
    </w:p>
    <w:p>
      <w:pPr>
        <w:pStyle w:val="Heading1"/>
        <w:keepNext/>
        <w:spacing w:after="140" w:before="300"/>
      </w:pPr>
      <w:r>
        <w:t xml:space="preserve">Executive findings</w:t>
      </w:r>
    </w:p>
    <w:p>
      <w:pPr>
        <w:pStyle w:val="ListParagraph"/>
        <w:numPr>
          <w:ilvl w:val="0"/>
          <w:numId w:val="1"/>
        </w:numPr>
        <w:spacing w:after="70" w:line="260"/>
      </w:pPr>
      <w:r>
        <w:rPr>
          <w:rFonts w:ascii="Arial" w:cs="Arial" w:eastAsia="Arial" w:hAnsi="Arial"/>
          <w:color w:val="000000"/>
        </w:rPr>
        <w:t xml:space="preserve">Luna recorded the highest strict pass count at 6 of 9, followed by Gemini at 5 of 9.</w:t>
      </w:r>
    </w:p>
    <w:p>
      <w:pPr>
        <w:pStyle w:val="ListParagraph"/>
        <w:numPr>
          <w:ilvl w:val="0"/>
          <w:numId w:val="1"/>
        </w:numPr>
        <w:spacing w:after="70" w:line="260"/>
      </w:pPr>
      <w:r>
        <w:rPr>
          <w:rFonts w:ascii="Arial" w:cs="Arial" w:eastAsia="Arial" w:hAnsi="Arial"/>
          <w:color w:val="000000"/>
        </w:rPr>
        <w:t xml:space="preserve">Luna was about 5.5 times faster and 26.6 times less expensive than Gemini on candidate calls.</w:t>
      </w:r>
    </w:p>
    <w:p>
      <w:pPr>
        <w:pStyle w:val="ListParagraph"/>
        <w:numPr>
          <w:ilvl w:val="0"/>
          <w:numId w:val="1"/>
        </w:numPr>
        <w:spacing w:after="70" w:line="260"/>
      </w:pPr>
      <w:r>
        <w:rPr>
          <w:rFonts w:ascii="Arial" w:cs="Arial" w:eastAsia="Arial" w:hAnsi="Arial"/>
          <w:color w:val="000000"/>
        </w:rPr>
        <w:t xml:space="preserve">Gemini raw throughput did not improve end-to-end experience in this structured generation and judging workflow.</w:t>
      </w:r>
    </w:p>
    <w:p>
      <w:pPr>
        <w:pStyle w:val="ListParagraph"/>
        <w:numPr>
          <w:ilvl w:val="0"/>
          <w:numId w:val="1"/>
        </w:numPr>
        <w:spacing w:after="70" w:line="260"/>
      </w:pPr>
      <w:r>
        <w:rPr>
          <w:rFonts w:ascii="Arial" w:cs="Arial" w:eastAsia="Arial" w:hAnsi="Arial"/>
          <w:color w:val="000000"/>
        </w:rPr>
        <w:t xml:space="preserve">Unsupported claims were the dominant failure mode across all five models.</w:t>
      </w:r>
    </w:p>
    <w:p>
      <w:pPr>
        <w:pStyle w:val="ListParagraph"/>
        <w:numPr>
          <w:ilvl w:val="0"/>
          <w:numId w:val="1"/>
        </w:numPr>
        <w:spacing w:after="70" w:line="260"/>
      </w:pPr>
      <w:r>
        <w:rPr>
          <w:rFonts w:ascii="Arial" w:cs="Arial" w:eastAsia="Arial" w:hAnsi="Arial"/>
          <w:color w:val="000000"/>
        </w:rPr>
        <w:t xml:space="preserve">The all-in attributable spend was approximately $2.73, below the authorized $3 cap.</w:t>
      </w:r>
    </w:p>
    <w:p>
      <w:pPr>
        <w:pStyle w:val="ListParagraph"/>
        <w:numPr>
          <w:ilvl w:val="0"/>
          <w:numId w:val="1"/>
        </w:numPr>
        <w:spacing w:after="70" w:line="260"/>
      </w:pPr>
      <w:r>
        <w:rPr>
          <w:rFonts w:ascii="Arial" w:cs="Arial" w:eastAsia="Arial" w:hAnsi="Arial"/>
          <w:color w:val="000000"/>
        </w:rPr>
        <w:t xml:space="preserve">Thirty-three of the 45 final response bodies were retained locally and are reproduced in the appendix. Twelve earlier bodies were evicted by Ori session retention; their timing, cost, status, score when available, and judge notes remain included.</w:t>
      </w:r>
    </w:p>
    <w:p>
      <w:pPr>
        <w:pStyle w:val="Heading1"/>
        <w:keepNext/>
        <w:spacing w:after="140" w:before="300"/>
      </w:pPr>
      <w:r>
        <w:t xml:space="preserve">Comparative results</w:t>
      </w:r>
    </w:p>
    <w:tbl>
      <w:tblPr>
        <w:tblW w:type="dxa" w:w="7910"/>
        <w:tblBorders>
          <w:top w:val="single" w:color="auto" w:sz="4"/>
          <w:left w:val="single" w:color="auto" w:sz="4"/>
          <w:bottom w:val="single" w:color="auto" w:sz="4"/>
          <w:right w:val="single" w:color="auto" w:sz="4"/>
          <w:insideH w:val="single" w:color="auto" w:sz="4"/>
          <w:insideV w:val="single" w:color="auto" w:sz="4"/>
        </w:tblBorders>
      </w:tblPr>
      <w:tblGrid>
        <w:gridCol w:w="1650"/>
        <w:gridCol w:w="820"/>
        <w:gridCol w:w="940"/>
        <w:gridCol w:w="900"/>
        <w:gridCol w:w="900"/>
        <w:gridCol w:w="2700"/>
      </w:tblGrid>
      <w:tr>
        <w:trPr>
          <w:cantSplit/>
          <w:tblHeader/>
        </w:trPr>
        <w:tc>
          <w:tcPr>
            <w:tcW w:type="dxa" w:w="165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left"/>
            </w:pPr>
            <w:r>
              <w:rPr>
                <w:rFonts w:ascii="Arial" w:cs="Arial" w:eastAsia="Arial" w:hAnsi="Arial"/>
                <w:b/>
                <w:bCs/>
                <w:color w:val="FFFFFF"/>
                <w:sz w:val="18"/>
                <w:szCs w:val="18"/>
              </w:rPr>
              <w:t xml:space="preserve">Model</w:t>
            </w:r>
          </w:p>
        </w:tc>
        <w:tc>
          <w:tcPr>
            <w:tcW w:type="dxa" w:w="82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center"/>
            </w:pPr>
            <w:r>
              <w:rPr>
                <w:rFonts w:ascii="Arial" w:cs="Arial" w:eastAsia="Arial" w:hAnsi="Arial"/>
                <w:b/>
                <w:bCs/>
                <w:color w:val="FFFFFF"/>
                <w:sz w:val="18"/>
                <w:szCs w:val="18"/>
              </w:rPr>
              <w:t xml:space="preserve">Strict passes</w:t>
            </w:r>
          </w:p>
        </w:tc>
        <w:tc>
          <w:tcPr>
            <w:tcW w:type="dxa" w:w="94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center"/>
            </w:pPr>
            <w:r>
              <w:rPr>
                <w:rFonts w:ascii="Arial" w:cs="Arial" w:eastAsia="Arial" w:hAnsi="Arial"/>
                <w:b/>
                <w:bCs/>
                <w:color w:val="FFFFFF"/>
                <w:sz w:val="18"/>
                <w:szCs w:val="18"/>
              </w:rPr>
              <w:t xml:space="preserve">Average latency</w:t>
            </w:r>
          </w:p>
        </w:tc>
        <w:tc>
          <w:tcPr>
            <w:tcW w:type="dxa" w:w="90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center"/>
            </w:pPr>
            <w:r>
              <w:rPr>
                <w:rFonts w:ascii="Arial" w:cs="Arial" w:eastAsia="Arial" w:hAnsi="Arial"/>
                <w:b/>
                <w:bCs/>
                <w:color w:val="FFFFFF"/>
                <w:sz w:val="18"/>
                <w:szCs w:val="18"/>
              </w:rPr>
              <w:t xml:space="preserve">Candidate cost</w:t>
            </w:r>
          </w:p>
        </w:tc>
        <w:tc>
          <w:tcPr>
            <w:tcW w:type="dxa" w:w="90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center"/>
            </w:pPr>
            <w:r>
              <w:rPr>
                <w:rFonts w:ascii="Arial" w:cs="Arial" w:eastAsia="Arial" w:hAnsi="Arial"/>
                <w:b/>
                <w:bCs/>
                <w:color w:val="FFFFFF"/>
                <w:sz w:val="18"/>
                <w:szCs w:val="18"/>
              </w:rPr>
              <w:t xml:space="preserve">Retained bodies</w:t>
            </w:r>
          </w:p>
        </w:tc>
        <w:tc>
          <w:tcPr>
            <w:tcW w:type="dxa" w:w="270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left"/>
            </w:pPr>
            <w:r>
              <w:rPr>
                <w:rFonts w:ascii="Arial" w:cs="Arial" w:eastAsia="Arial" w:hAnsi="Arial"/>
                <w:b/>
                <w:bCs/>
                <w:color w:val="FFFFFF"/>
                <w:sz w:val="18"/>
                <w:szCs w:val="18"/>
              </w:rPr>
              <w:t xml:space="preserve">Interpretation</w:t>
            </w:r>
          </w:p>
        </w:tc>
      </w:tr>
      <w:tr>
        <w:trPr>
          <w:cantSplit/>
        </w:trPr>
        <w:tc>
          <w:tcPr>
            <w:tcW w:type="dxa" w:w="16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Luna</w:t>
            </w:r>
          </w:p>
        </w:tc>
        <w:tc>
          <w:tcPr>
            <w:tcW w:type="dxa" w:w="82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6/9</w:t>
            </w:r>
          </w:p>
        </w:tc>
        <w:tc>
          <w:tcPr>
            <w:tcW w:type="dxa" w:w="94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5.7s</w:t>
            </w:r>
          </w:p>
        </w:tc>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$0.0084</w:t>
            </w:r>
          </w:p>
        </w:tc>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1/9</w:t>
            </w:r>
          </w:p>
        </w:tc>
        <w:tc>
          <w:tcPr>
            <w:tcW w:type="dxa" w:w="27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Incumbent and best operational result</w:t>
            </w:r>
          </w:p>
        </w:tc>
      </w:tr>
      <w:tr>
        <w:trPr>
          <w:cantSplit/>
        </w:trPr>
        <w:tc>
          <w:tcPr>
            <w:tcW w:type="dxa" w:w="16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Gemini 3.8 Flash</w:t>
            </w:r>
          </w:p>
        </w:tc>
        <w:tc>
          <w:tcPr>
            <w:tcW w:type="dxa" w:w="82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5/9</w:t>
            </w:r>
          </w:p>
        </w:tc>
        <w:tc>
          <w:tcPr>
            <w:tcW w:type="dxa" w:w="94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31.0s</w:t>
            </w:r>
          </w:p>
        </w:tc>
        <w:tc>
          <w:tcPr>
            <w:tcW w:type="dxa" w:w="9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$0.2238</w:t>
            </w:r>
          </w:p>
        </w:tc>
        <w:tc>
          <w:tcPr>
            <w:tcW w:type="dxa" w:w="9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7/9</w:t>
            </w:r>
          </w:p>
        </w:tc>
        <w:tc>
          <w:tcPr>
            <w:tcW w:type="dxa" w:w="27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One fewer strict pass and substantially slower</w:t>
            </w:r>
          </w:p>
        </w:tc>
      </w:tr>
      <w:tr>
        <w:trPr>
          <w:cantSplit/>
        </w:trPr>
        <w:tc>
          <w:tcPr>
            <w:tcW w:type="dxa" w:w="16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DeepSeek V4.1 Flash</w:t>
            </w:r>
          </w:p>
        </w:tc>
        <w:tc>
          <w:tcPr>
            <w:tcW w:type="dxa" w:w="82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3/9</w:t>
            </w:r>
          </w:p>
        </w:tc>
        <w:tc>
          <w:tcPr>
            <w:tcW w:type="dxa" w:w="94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49.4s</w:t>
            </w:r>
          </w:p>
        </w:tc>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$0.0111</w:t>
            </w:r>
          </w:p>
        </w:tc>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8/9</w:t>
            </w:r>
          </w:p>
        </w:tc>
        <w:tc>
          <w:tcPr>
            <w:tcW w:type="dxa" w:w="27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Low cost but weaker strict quality</w:t>
            </w:r>
          </w:p>
        </w:tc>
      </w:tr>
      <w:tr>
        <w:trPr>
          <w:cantSplit/>
        </w:trPr>
        <w:tc>
          <w:tcPr>
            <w:tcW w:type="dxa" w:w="16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GLM 5.3 Flash</w:t>
            </w:r>
          </w:p>
        </w:tc>
        <w:tc>
          <w:tcPr>
            <w:tcW w:type="dxa" w:w="82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3/9</w:t>
            </w:r>
          </w:p>
        </w:tc>
        <w:tc>
          <w:tcPr>
            <w:tcW w:type="dxa" w:w="94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55.7s</w:t>
            </w:r>
          </w:p>
        </w:tc>
        <w:tc>
          <w:tcPr>
            <w:tcW w:type="dxa" w:w="9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$0.0252</w:t>
            </w:r>
          </w:p>
        </w:tc>
        <w:tc>
          <w:tcPr>
            <w:tcW w:type="dxa" w:w="9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9/9</w:t>
            </w:r>
          </w:p>
        </w:tc>
        <w:tc>
          <w:tcPr>
            <w:tcW w:type="dxa" w:w="27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Two cases exceeded the 90 second guard</w:t>
            </w:r>
          </w:p>
        </w:tc>
      </w:tr>
      <w:tr>
        <w:trPr>
          <w:cantSplit/>
        </w:trPr>
        <w:tc>
          <w:tcPr>
            <w:tcW w:type="dxa" w:w="16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Tencent Hy4 Preview</w:t>
            </w:r>
          </w:p>
        </w:tc>
        <w:tc>
          <w:tcPr>
            <w:tcW w:type="dxa" w:w="82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2/9</w:t>
            </w:r>
          </w:p>
        </w:tc>
        <w:tc>
          <w:tcPr>
            <w:tcW w:type="dxa" w:w="94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25.4s</w:t>
            </w:r>
          </w:p>
        </w:tc>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$0.0570</w:t>
            </w:r>
          </w:p>
        </w:tc>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8/9</w:t>
            </w:r>
          </w:p>
        </w:tc>
        <w:tc>
          <w:tcPr>
            <w:tcW w:type="dxa" w:w="27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Lowest strict pass count</w:t>
            </w:r>
          </w:p>
        </w:tc>
      </w:tr>
    </w:tbl>
    <w:p>
      <w:pPr>
        <w:spacing w:after="120" w:line="276"/>
      </w:pPr>
      <w:r>
        <w:rPr>
          <w:rFonts w:ascii="Arial" w:cs="Arial" w:eastAsia="Arial" w:hAnsi="Arial"/>
          <w:color w:val="000000"/>
        </w:rPr>
        <w:t xml:space="preserve">Latency comes from the concurrent sweep and should be treated as directional. Candidate cost excludes judge spend. A strict pass required source grounding, one defensible answer, plausible non-overlapping distractors, an accurate standalone rationale, and an appropriate cognitive level.</w:t>
      </w:r>
    </w:p>
    <w:p>
      <w:pPr>
        <w:pStyle w:val="Heading1"/>
        <w:keepNext/>
        <w:spacing w:after="140" w:before="300"/>
      </w:pPr>
      <w:r>
        <w:t xml:space="preserve">Luna and Gemini comparison</w:t>
      </w:r>
    </w:p>
    <w:p>
      <w:pPr>
        <w:pStyle w:val="Heading2"/>
        <w:keepNext/>
        <w:spacing w:after="100" w:before="220"/>
      </w:pPr>
      <w:r>
        <w:t xml:space="preserve">Quality</w:t>
      </w:r>
    </w:p>
    <w:p>
      <w:pPr>
        <w:spacing w:after="120" w:line="276"/>
      </w:pPr>
      <w:r>
        <w:rPr>
          <w:rFonts w:ascii="Arial" w:cs="Arial" w:eastAsia="Arial" w:hAnsi="Arial"/>
          <w:color w:val="000000"/>
        </w:rPr>
        <w:t xml:space="preserve">Luna passed six of nine cases and Gemini passed five. A one-case gap in a nine-case sample is too small to establish a stable model-quality advantage. The judge-family overlap also creates a plausible preference for Luna's style. The result supports retaining Luna as the incumbent, but it does not prove that Luna is intrinsically better than Gemini.</w:t>
      </w:r>
    </w:p>
    <w:p>
      <w:pPr>
        <w:pStyle w:val="Heading2"/>
        <w:keepNext/>
        <w:spacing w:after="100" w:before="220"/>
      </w:pPr>
      <w:r>
        <w:t xml:space="preserve">Speed</w:t>
      </w:r>
    </w:p>
    <w:p>
      <w:pPr>
        <w:spacing w:after="120" w:line="276"/>
      </w:pPr>
      <w:r>
        <w:rPr>
          <w:rFonts w:ascii="Arial" w:cs="Arial" w:eastAsia="Arial" w:hAnsi="Arial"/>
          <w:color w:val="000000"/>
        </w:rPr>
        <w:t xml:space="preserve">Luna averaged 5.7 seconds per candidate call. Gemini averaged 31.0 seconds, about 5.5 times slower. The workflow measures complete structured responses rather than raw token throughput. Time to first token, provider scheduling, reasoning, JSON completion, and downstream judging all affect the user-visible wait. Gemini's theoretical throughput advantage did not overcome those factors in this run.</w:t>
      </w:r>
    </w:p>
    <w:p>
      <w:pPr>
        <w:pStyle w:val="Heading2"/>
        <w:keepNext/>
        <w:spacing w:after="100" w:before="220"/>
      </w:pPr>
      <w:r>
        <w:t xml:space="preserve">Cost</w:t>
      </w:r>
    </w:p>
    <w:p>
      <w:pPr>
        <w:spacing w:after="120" w:line="276"/>
      </w:pPr>
      <w:r>
        <w:rPr>
          <w:rFonts w:ascii="Arial" w:cs="Arial" w:eastAsia="Arial" w:hAnsi="Arial"/>
          <w:color w:val="000000"/>
        </w:rPr>
        <w:t xml:space="preserve">Nine Luna candidate calls cost $0.0084. Nine Gemini calls cost $0.2238, approximately 26.6 times more. Gemini did not deliver a quality or latency gain that justified that difference.</w:t>
      </w:r>
    </w:p>
    <w:p>
      <w:pPr>
        <w:pStyle w:val="Heading1"/>
        <w:keepNext/>
        <w:spacing w:after="140" w:before="300"/>
      </w:pPr>
      <w:r>
        <w:t xml:space="preserve">Scope and method</w:t>
      </w:r>
    </w:p>
    <w:p>
      <w:pPr>
        <w:spacing w:after="120" w:line="276"/>
      </w:pPr>
      <w:r>
        <w:rPr>
          <w:rFonts w:ascii="Arial" w:cs="Arial" w:eastAsia="Arial" w:hAnsi="Arial"/>
          <w:color w:val="000000"/>
        </w:rPr>
        <w:t xml:space="preserve">The evaluation used nine objectives from three documents in the existing Question Studio regression corpus. Each document contributed one learn question, one clinical application question, and one critical-thinking question. Five models generated one response for each objective, producing 45 candidate outputs. The separate Terra judge returned 36 completed verdicts; structural and timeout failures accounted for the remaining cases.</w:t>
      </w:r>
    </w:p>
    <w:tbl>
      <w:tblPr>
        <w:tblW w:type="dxa" w:w="791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950"/>
        <w:gridCol w:w="3960"/>
      </w:tblGrid>
      <w:tr>
        <w:trPr>
          <w:cantSplit/>
          <w:tblHeader/>
        </w:trPr>
        <w:tc>
          <w:tcPr>
            <w:tcW w:type="dxa" w:w="90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center"/>
            </w:pPr>
            <w:r>
              <w:rPr>
                <w:rFonts w:ascii="Arial" w:cs="Arial" w:eastAsia="Arial" w:hAnsi="Arial"/>
                <w:b/>
                <w:bCs/>
                <w:color w:val="FFFFFF"/>
                <w:sz w:val="18"/>
                <w:szCs w:val="18"/>
              </w:rPr>
              <w:t xml:space="preserve">Case</w:t>
            </w:r>
          </w:p>
        </w:tc>
        <w:tc>
          <w:tcPr>
            <w:tcW w:type="dxa" w:w="210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left"/>
            </w:pPr>
            <w:r>
              <w:rPr>
                <w:rFonts w:ascii="Arial" w:cs="Arial" w:eastAsia="Arial" w:hAnsi="Arial"/>
                <w:b/>
                <w:bCs/>
                <w:color w:val="FFFFFF"/>
                <w:sz w:val="18"/>
                <w:szCs w:val="18"/>
              </w:rPr>
              <w:t xml:space="preserve">Document</w:t>
            </w:r>
          </w:p>
        </w:tc>
        <w:tc>
          <w:tcPr>
            <w:tcW w:type="dxa" w:w="95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center"/>
            </w:pPr>
            <w:r>
              <w:rPr>
                <w:rFonts w:ascii="Arial" w:cs="Arial" w:eastAsia="Arial" w:hAnsi="Arial"/>
                <w:b/>
                <w:bCs/>
                <w:color w:val="FFFFFF"/>
                <w:sz w:val="18"/>
                <w:szCs w:val="18"/>
              </w:rPr>
              <w:t xml:space="preserve">Type</w:t>
            </w:r>
          </w:p>
        </w:tc>
        <w:tc>
          <w:tcPr>
            <w:tcW w:type="dxa" w:w="396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left"/>
            </w:pPr>
            <w:r>
              <w:rPr>
                <w:rFonts w:ascii="Arial" w:cs="Arial" w:eastAsia="Arial" w:hAnsi="Arial"/>
                <w:b/>
                <w:bCs/>
                <w:color w:val="FFFFFF"/>
                <w:sz w:val="18"/>
                <w:szCs w:val="18"/>
              </w:rPr>
              <w:t xml:space="preserve">Objective</w:t>
            </w:r>
          </w:p>
        </w:tc>
      </w:tr>
      <w:tr>
        <w:trPr>
          <w:cantSplit/>
        </w:trPr>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85bef31d-q1</w:t>
            </w:r>
          </w:p>
        </w:tc>
        <w:tc>
          <w:tcPr>
            <w:tcW w:type="dxa" w:w="21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3. Therapeutic Spectacle Prescribing I bb.pdf</w:t>
            </w:r>
          </w:p>
        </w:tc>
        <w:tc>
          <w:tcPr>
            <w:tcW w:type="dxa" w:w="9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learn</w:t>
            </w:r>
          </w:p>
        </w:tc>
        <w:tc>
          <w:tcPr>
            <w:tcW w:type="dxa" w:w="396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Describe how plus changes accommodative demand and convergence.</w:t>
            </w:r>
          </w:p>
        </w:tc>
      </w:tr>
      <w:tr>
        <w:trPr>
          <w:cantSplit/>
        </w:trPr>
        <w:tc>
          <w:tcPr>
            <w:tcW w:type="dxa" w:w="9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85bef31d-q2</w:t>
            </w:r>
          </w:p>
        </w:tc>
        <w:tc>
          <w:tcPr>
            <w:tcW w:type="dxa" w:w="21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3. Therapeutic Spectacle Prescribing I bb.pdf</w:t>
            </w:r>
          </w:p>
        </w:tc>
        <w:tc>
          <w:tcPr>
            <w:tcW w:type="dxa" w:w="9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clinical</w:t>
            </w:r>
          </w:p>
        </w:tc>
        <w:tc>
          <w:tcPr>
            <w:tcW w:type="dxa" w:w="396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Apply minimum effective plus prescribing to a new functional testing example.</w:t>
            </w:r>
          </w:p>
        </w:tc>
      </w:tr>
      <w:tr>
        <w:trPr>
          <w:cantSplit/>
        </w:trPr>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85bef31d-q3</w:t>
            </w:r>
          </w:p>
        </w:tc>
        <w:tc>
          <w:tcPr>
            <w:tcW w:type="dxa" w:w="21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3. Therapeutic Spectacle Prescribing I bb.pdf</w:t>
            </w:r>
          </w:p>
        </w:tc>
        <w:tc>
          <w:tcPr>
            <w:tcW w:type="dxa" w:w="9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criticalThinking</w:t>
            </w:r>
          </w:p>
        </w:tc>
        <w:tc>
          <w:tcPr>
            <w:tcW w:type="dxa" w:w="396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Integrate improvement in reading with acceptable binocular control when deciding whether plus is appropriate.</w:t>
            </w:r>
          </w:p>
        </w:tc>
      </w:tr>
      <w:tr>
        <w:trPr>
          <w:cantSplit/>
        </w:trPr>
        <w:tc>
          <w:tcPr>
            <w:tcW w:type="dxa" w:w="9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af3c991e-q1</w:t>
            </w:r>
          </w:p>
        </w:tc>
        <w:tc>
          <w:tcPr>
            <w:tcW w:type="dxa" w:w="21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Cardiovascular, hematologic revised version.pdf</w:t>
            </w:r>
          </w:p>
        </w:tc>
        <w:tc>
          <w:tcPr>
            <w:tcW w:type="dxa" w:w="9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learn</w:t>
            </w:r>
          </w:p>
        </w:tc>
        <w:tc>
          <w:tcPr>
            <w:tcW w:type="dxa" w:w="396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Identify the typical origin and appearance of cholesterol emboli.</w:t>
            </w:r>
          </w:p>
        </w:tc>
      </w:tr>
      <w:tr>
        <w:trPr>
          <w:cantSplit/>
        </w:trPr>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af3c991e-q2</w:t>
            </w:r>
          </w:p>
        </w:tc>
        <w:tc>
          <w:tcPr>
            <w:tcW w:type="dxa" w:w="21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Cardiovascular, hematologic revised version.pdf</w:t>
            </w:r>
          </w:p>
        </w:tc>
        <w:tc>
          <w:tcPr>
            <w:tcW w:type="dxa" w:w="9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clinical</w:t>
            </w:r>
          </w:p>
        </w:tc>
        <w:tc>
          <w:tcPr>
            <w:tcW w:type="dxa" w:w="396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Distinguish calcific and fibrin-platelet emboli using appearance and likely source.</w:t>
            </w:r>
          </w:p>
        </w:tc>
      </w:tr>
      <w:tr>
        <w:trPr>
          <w:cantSplit/>
        </w:trPr>
        <w:tc>
          <w:tcPr>
            <w:tcW w:type="dxa" w:w="9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af3c991e-q3</w:t>
            </w:r>
          </w:p>
        </w:tc>
        <w:tc>
          <w:tcPr>
            <w:tcW w:type="dxa" w:w="21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Cardiovascular, hematologic revised version.pdf</w:t>
            </w:r>
          </w:p>
        </w:tc>
        <w:tc>
          <w:tcPr>
            <w:tcW w:type="dxa" w:w="9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criticalThinking</w:t>
            </w:r>
          </w:p>
        </w:tc>
        <w:tc>
          <w:tcPr>
            <w:tcW w:type="dxa" w:w="396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Integrate embolus appearance, obstruction severity, and likely systemic source to distinguish plausible embolic etiologies.</w:t>
            </w:r>
          </w:p>
        </w:tc>
      </w:tr>
      <w:tr>
        <w:trPr>
          <w:cantSplit/>
        </w:trPr>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dc00ab51-q1</w:t>
            </w:r>
          </w:p>
        </w:tc>
        <w:tc>
          <w:tcPr>
            <w:tcW w:type="dxa" w:w="21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Understanding Health Policy Chapter 6.pdf</w:t>
            </w:r>
          </w:p>
        </w:tc>
        <w:tc>
          <w:tcPr>
            <w:tcW w:type="dxa" w:w="9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learn</w:t>
            </w:r>
          </w:p>
        </w:tc>
        <w:tc>
          <w:tcPr>
            <w:tcW w:type="dxa" w:w="396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Identify the traditional organizational structure of medical care.</w:t>
            </w:r>
          </w:p>
        </w:tc>
      </w:tr>
      <w:tr>
        <w:trPr>
          <w:cantSplit/>
        </w:trPr>
        <w:tc>
          <w:tcPr>
            <w:tcW w:type="dxa" w:w="9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dc00ab51-q2</w:t>
            </w:r>
          </w:p>
        </w:tc>
        <w:tc>
          <w:tcPr>
            <w:tcW w:type="dxa" w:w="21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Understanding Health Policy Chapter 6.pdf</w:t>
            </w:r>
          </w:p>
        </w:tc>
        <w:tc>
          <w:tcPr>
            <w:tcW w:type="dxa" w:w="9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clinical</w:t>
            </w:r>
          </w:p>
        </w:tc>
        <w:tc>
          <w:tcPr>
            <w:tcW w:type="dxa" w:w="396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Apply the collaborative care rationale of multispecialty group practice to a new example.</w:t>
            </w:r>
          </w:p>
        </w:tc>
      </w:tr>
      <w:tr>
        <w:trPr>
          <w:cantSplit/>
        </w:trPr>
        <w:tc>
          <w:tcPr>
            <w:tcW w:type="dxa" w:w="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dc00ab51-q3</w:t>
            </w:r>
          </w:p>
        </w:tc>
        <w:tc>
          <w:tcPr>
            <w:tcW w:type="dxa" w:w="21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Understanding Health Policy Chapter 6.pdf</w:t>
            </w:r>
          </w:p>
        </w:tc>
        <w:tc>
          <w:tcPr>
            <w:tcW w:type="dxa" w:w="9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criticalThinking</w:t>
            </w:r>
          </w:p>
        </w:tc>
        <w:tc>
          <w:tcPr>
            <w:tcW w:type="dxa" w:w="396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Integrate community governance and public health activities to distinguish a community health center from a traditional private group practice.</w:t>
            </w:r>
          </w:p>
        </w:tc>
      </w:tr>
    </w:tbl>
    <w:p>
      <w:pPr>
        <w:pStyle w:val="Heading2"/>
        <w:keepNext/>
        <w:spacing w:after="100" w:before="220"/>
      </w:pPr>
      <w:r>
        <w:t xml:space="preserve">Quality contract</w:t>
      </w:r>
    </w:p>
    <w:p>
      <w:pPr>
        <w:pStyle w:val="ListParagraph"/>
        <w:numPr>
          <w:ilvl w:val="0"/>
          <w:numId w:val="1"/>
        </w:numPr>
        <w:spacing w:after="70" w:line="260"/>
      </w:pPr>
      <w:r>
        <w:rPr>
          <w:rFonts w:ascii="Arial" w:cs="Arial" w:eastAsia="Arial" w:hAnsi="Arial"/>
          <w:color w:val="000000"/>
        </w:rPr>
        <w:t xml:space="preserve">Use only supplied evidence and do not add outside facts, diagnoses, thresholds, or recommendations.</w:t>
      </w:r>
    </w:p>
    <w:p>
      <w:pPr>
        <w:pStyle w:val="ListParagraph"/>
        <w:numPr>
          <w:ilvl w:val="0"/>
          <w:numId w:val="1"/>
        </w:numPr>
        <w:spacing w:after="70" w:line="260"/>
      </w:pPr>
      <w:r>
        <w:rPr>
          <w:rFonts w:ascii="Arial" w:cs="Arial" w:eastAsia="Arial" w:hAnsi="Arial"/>
          <w:color w:val="000000"/>
        </w:rPr>
        <w:t xml:space="preserve">Return four parallel, distinct, plausible options with one defensible best answer.</w:t>
      </w:r>
    </w:p>
    <w:p>
      <w:pPr>
        <w:pStyle w:val="ListParagraph"/>
        <w:numPr>
          <w:ilvl w:val="0"/>
          <w:numId w:val="1"/>
        </w:numPr>
        <w:spacing w:after="70" w:line="260"/>
      </w:pPr>
      <w:r>
        <w:rPr>
          <w:rFonts w:ascii="Arial" w:cs="Arial" w:eastAsia="Arial" w:hAnsi="Arial"/>
          <w:color w:val="000000"/>
        </w:rPr>
        <w:t xml:space="preserve">Provide a correct standalone rationale, exact supporting quotes, a reasoning-skill label, and three distractor explanations.</w:t>
      </w:r>
    </w:p>
    <w:p>
      <w:pPr>
        <w:pStyle w:val="ListParagraph"/>
        <w:numPr>
          <w:ilvl w:val="0"/>
          <w:numId w:val="1"/>
        </w:numPr>
        <w:spacing w:after="70" w:line="260"/>
      </w:pPr>
      <w:r>
        <w:rPr>
          <w:rFonts w:ascii="Arial" w:cs="Arial" w:eastAsia="Arial" w:hAnsi="Arial"/>
          <w:color w:val="000000"/>
        </w:rPr>
        <w:t xml:space="preserve">Match the cognitive level: recall or understanding for learn, evidence application for clinical, and relationship integration for critical thinking.</w:t>
      </w:r>
    </w:p>
    <w:p>
      <w:pPr>
        <w:pStyle w:val="Heading1"/>
        <w:keepNext/>
        <w:spacing w:after="140" w:before="300"/>
      </w:pPr>
      <w:r>
        <w:t xml:space="preserve">Observed failure patterns</w:t>
      </w:r>
    </w:p>
    <w:p>
      <w:pPr>
        <w:spacing w:after="120" w:line="276"/>
      </w:pPr>
      <w:r>
        <w:rPr>
          <w:rFonts w:ascii="Arial" w:cs="Arial" w:eastAsia="Arial" w:hAnsi="Arial"/>
          <w:color w:val="000000"/>
        </w:rPr>
        <w:t xml:space="preserve">The failures clustered around source fidelity and distractor design rather than simple factual mistakes. Models often selected a supported key but weakened the item elsewhere.</w:t>
      </w:r>
    </w:p>
    <w:p>
      <w:pPr>
        <w:pStyle w:val="ListParagraph"/>
        <w:numPr>
          <w:ilvl w:val="0"/>
          <w:numId w:val="1"/>
        </w:numPr>
        <w:spacing w:after="70" w:line="260"/>
      </w:pPr>
      <w:r>
        <w:rPr>
          <w:rFonts w:ascii="Arial" w:cs="Arial" w:eastAsia="Arial" w:hAnsi="Arial"/>
          <w:color w:val="000000"/>
        </w:rPr>
        <w:t xml:space="preserve">Rationales introduced mechanisms or clinical claims that the excerpts did not state.</w:t>
      </w:r>
    </w:p>
    <w:p>
      <w:pPr>
        <w:pStyle w:val="ListParagraph"/>
        <w:numPr>
          <w:ilvl w:val="0"/>
          <w:numId w:val="1"/>
        </w:numPr>
        <w:spacing w:after="70" w:line="260"/>
      </w:pPr>
      <w:r>
        <w:rPr>
          <w:rFonts w:ascii="Arial" w:cs="Arial" w:eastAsia="Arial" w:hAnsi="Arial"/>
          <w:color w:val="000000"/>
        </w:rPr>
        <w:t xml:space="preserve">Distractors added unsupported facts, making them easy to eliminate or impossible to defend from the source.</w:t>
      </w:r>
    </w:p>
    <w:p>
      <w:pPr>
        <w:pStyle w:val="ListParagraph"/>
        <w:numPr>
          <w:ilvl w:val="0"/>
          <w:numId w:val="1"/>
        </w:numPr>
        <w:spacing w:after="70" w:line="260"/>
      </w:pPr>
      <w:r>
        <w:rPr>
          <w:rFonts w:ascii="Arial" w:cs="Arial" w:eastAsia="Arial" w:hAnsi="Arial"/>
          <w:color w:val="000000"/>
        </w:rPr>
        <w:t xml:space="preserve">Some distractors overlapped, used different logical categories, or failed to remain parallel.</w:t>
      </w:r>
    </w:p>
    <w:p>
      <w:pPr>
        <w:pStyle w:val="ListParagraph"/>
        <w:numPr>
          <w:ilvl w:val="0"/>
          <w:numId w:val="1"/>
        </w:numPr>
        <w:spacing w:after="70" w:line="260"/>
      </w:pPr>
      <w:r>
        <w:rPr>
          <w:rFonts w:ascii="Arial" w:cs="Arial" w:eastAsia="Arial" w:hAnsi="Arial"/>
          <w:color w:val="000000"/>
        </w:rPr>
        <w:t xml:space="preserve">Clinical scenarios assumed thresholds such as acceptable binocular control without establishing them in the evidence.</w:t>
      </w:r>
    </w:p>
    <w:p>
      <w:pPr>
        <w:pStyle w:val="ListParagraph"/>
        <w:numPr>
          <w:ilvl w:val="0"/>
          <w:numId w:val="1"/>
        </w:numPr>
        <w:spacing w:after="70" w:line="260"/>
      </w:pPr>
      <w:r>
        <w:rPr>
          <w:rFonts w:ascii="Arial" w:cs="Arial" w:eastAsia="Arial" w:hAnsi="Arial"/>
          <w:color w:val="000000"/>
        </w:rPr>
        <w:t xml:space="preserve">Several outputs violated the JSON or exact-evidence contract, and two GLM cases exceeded the 90-second guard.</w:t>
      </w:r>
    </w:p>
    <w:p>
      <w:pPr>
        <w:spacing w:after="120" w:line="276"/>
      </w:pPr>
      <w:r>
        <w:rPr>
          <w:rFonts w:ascii="Arial" w:cs="Arial" w:eastAsia="Arial" w:hAnsi="Arial"/>
          <w:color w:val="000000"/>
        </w:rPr>
        <w:t xml:space="preserve">These patterns point to a generation-contract problem. A stronger prompt should explicitly forbid explanatory mechanisms unless an evidence quote supports them, require each distractor to map to supplied evidence, and trigger a repair pass when the rationale contains uncited factual claims.</w:t>
      </w:r>
    </w:p>
    <w:p>
      <w:pPr>
        <w:pStyle w:val="Heading1"/>
        <w:keepNext/>
        <w:spacing w:after="140" w:before="300"/>
      </w:pPr>
      <w:r>
        <w:t xml:space="preserve">Spend and timing</w:t>
      </w:r>
    </w:p>
    <w:tbl>
      <w:tblPr>
        <w:tblW w:type="dxa" w:w="7250"/>
        <w:tblBorders>
          <w:top w:val="single" w:color="auto" w:sz="4"/>
          <w:left w:val="single" w:color="auto" w:sz="4"/>
          <w:bottom w:val="single" w:color="auto" w:sz="4"/>
          <w:right w:val="single" w:color="auto" w:sz="4"/>
          <w:insideH w:val="single" w:color="auto" w:sz="4"/>
          <w:insideV w:val="single" w:color="auto" w:sz="4"/>
        </w:tblBorders>
      </w:tblPr>
      <w:tblGrid>
        <w:gridCol w:w="3650"/>
        <w:gridCol w:w="2000"/>
        <w:gridCol w:w="1600"/>
      </w:tblGrid>
      <w:tr>
        <w:trPr>
          <w:cantSplit/>
          <w:tblHeader/>
        </w:trPr>
        <w:tc>
          <w:tcPr>
            <w:tcW w:type="dxa" w:w="365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left"/>
            </w:pPr>
            <w:r>
              <w:rPr>
                <w:rFonts w:ascii="Arial" w:cs="Arial" w:eastAsia="Arial" w:hAnsi="Arial"/>
                <w:b/>
                <w:bCs/>
                <w:color w:val="FFFFFF"/>
                <w:sz w:val="18"/>
                <w:szCs w:val="18"/>
              </w:rPr>
              <w:t xml:space="preserve">Step</w:t>
            </w:r>
          </w:p>
        </w:tc>
        <w:tc>
          <w:tcPr>
            <w:tcW w:type="dxa" w:w="200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center"/>
            </w:pPr>
            <w:r>
              <w:rPr>
                <w:rFonts w:ascii="Arial" w:cs="Arial" w:eastAsia="Arial" w:hAnsi="Arial"/>
                <w:b/>
                <w:bCs/>
                <w:color w:val="FFFFFF"/>
                <w:sz w:val="18"/>
                <w:szCs w:val="18"/>
              </w:rPr>
              <w:t xml:space="preserve">Elapsed time</w:t>
            </w:r>
          </w:p>
        </w:tc>
        <w:tc>
          <w:tcPr>
            <w:tcW w:type="dxa" w:w="160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center"/>
            </w:pPr>
            <w:r>
              <w:rPr>
                <w:rFonts w:ascii="Arial" w:cs="Arial" w:eastAsia="Arial" w:hAnsi="Arial"/>
                <w:b/>
                <w:bCs/>
                <w:color w:val="FFFFFF"/>
                <w:sz w:val="18"/>
                <w:szCs w:val="18"/>
              </w:rPr>
              <w:t xml:space="preserve">Spend</w:t>
            </w:r>
          </w:p>
        </w:tc>
      </w:tr>
      <w:tr>
        <w:trPr>
          <w:cantSplit/>
        </w:trPr>
        <w:tc>
          <w:tcPr>
            <w:tcW w:type="dxa" w:w="36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Five-model final pilot</w:t>
            </w:r>
          </w:p>
        </w:tc>
        <w:tc>
          <w:tcPr>
            <w:tcW w:type="dxa" w:w="20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36.8s</w:t>
            </w:r>
          </w:p>
        </w:tc>
        <w:tc>
          <w:tcPr>
            <w:tcW w:type="dxa" w:w="16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$0.0730</w:t>
            </w:r>
          </w:p>
        </w:tc>
      </w:tr>
      <w:tr>
        <w:trPr>
          <w:cantSplit/>
        </w:trPr>
        <w:tc>
          <w:tcPr>
            <w:tcW w:type="dxa" w:w="36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Full nine-objective comparison</w:t>
            </w:r>
          </w:p>
        </w:tc>
        <w:tc>
          <w:tcPr>
            <w:tcW w:type="dxa" w:w="20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288.2s</w:t>
            </w:r>
          </w:p>
        </w:tc>
        <w:tc>
          <w:tcPr>
            <w:tcW w:type="dxa" w:w="16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$0.6304</w:t>
            </w:r>
          </w:p>
        </w:tc>
      </w:tr>
      <w:tr>
        <w:trPr>
          <w:cantSplit/>
        </w:trPr>
        <w:tc>
          <w:tcPr>
            <w:tcW w:type="dxa" w:w="36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DeepSeek routing sample</w:t>
            </w:r>
          </w:p>
        </w:tc>
        <w:tc>
          <w:tcPr>
            <w:tcW w:type="dxa" w:w="20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76.0s</w:t>
            </w:r>
          </w:p>
        </w:tc>
        <w:tc>
          <w:tcPr>
            <w:tcW w:type="dxa" w:w="16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$0.0051</w:t>
            </w:r>
          </w:p>
        </w:tc>
      </w:tr>
      <w:tr>
        <w:trPr>
          <w:cantSplit/>
        </w:trPr>
        <w:tc>
          <w:tcPr>
            <w:tcW w:type="dxa" w:w="36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Direct benchmark calls</w:t>
            </w:r>
          </w:p>
        </w:tc>
        <w:tc>
          <w:tcPr>
            <w:tcW w:type="dxa" w:w="20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about 6m 41s</w:t>
            </w:r>
          </w:p>
        </w:tc>
        <w:tc>
          <w:tcPr>
            <w:tcW w:type="dxa" w:w="16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$0.7085</w:t>
            </w:r>
          </w:p>
        </w:tc>
      </w:tr>
      <w:tr>
        <w:trPr>
          <w:cantSplit/>
        </w:trPr>
        <w:tc>
          <w:tcPr>
            <w:tcW w:type="dxa" w:w="36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Ori orchestration calls</w:t>
            </w:r>
          </w:p>
        </w:tc>
        <w:tc>
          <w:tcPr>
            <w:tcW w:type="dxa" w:w="20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about 15m 43s across seven turns</w:t>
            </w:r>
          </w:p>
        </w:tc>
        <w:tc>
          <w:tcPr>
            <w:tcW w:type="dxa" w:w="16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$1.9171</w:t>
            </w:r>
          </w:p>
        </w:tc>
      </w:tr>
      <w:tr>
        <w:trPr>
          <w:cantSplit/>
        </w:trPr>
        <w:tc>
          <w:tcPr>
            <w:tcW w:type="dxa" w:w="36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Earlier preliminary pilot</w:t>
            </w:r>
          </w:p>
        </w:tc>
        <w:tc>
          <w:tcPr>
            <w:tcW w:type="dxa" w:w="20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about 65s</w:t>
            </w:r>
          </w:p>
        </w:tc>
        <w:tc>
          <w:tcPr>
            <w:tcW w:type="dxa" w:w="16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$0.1047</w:t>
            </w:r>
          </w:p>
        </w:tc>
      </w:tr>
      <w:tr>
        <w:trPr>
          <w:cantSplit/>
        </w:trPr>
        <w:tc>
          <w:tcPr>
            <w:tcW w:type="dxa" w:w="36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Approximate all-in attributable total</w:t>
            </w:r>
          </w:p>
        </w:tc>
        <w:tc>
          <w:tcPr>
            <w:tcW w:type="dxa" w:w="20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human response pauses excluded</w:t>
            </w:r>
          </w:p>
        </w:tc>
        <w:tc>
          <w:tcPr>
            <w:tcW w:type="dxa" w:w="16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$2.7303</w:t>
            </w:r>
          </w:p>
        </w:tc>
      </w:tr>
    </w:tbl>
    <w:p>
      <w:pPr>
        <w:spacing w:after="120" w:line="276"/>
      </w:pPr>
      <w:r>
        <w:rPr>
          <w:rFonts w:ascii="Arial" w:cs="Arial" w:eastAsia="Arial" w:hAnsi="Arial"/>
          <w:color w:val="000000"/>
        </w:rPr>
        <w:t xml:space="preserve">The all-in total combines Ori turn summaries with separately reported benchmark calls. It is approximate because the final runner report excludes orchestration costs, but the component telemetry supports the $2.73 figure.</w:t>
      </w:r>
    </w:p>
    <w:p>
      <w:pPr>
        <w:pStyle w:val="Heading1"/>
        <w:keepNext/>
        <w:spacing w:after="140" w:before="300"/>
      </w:pPr>
      <w:r>
        <w:t xml:space="preserve">Routing sample</w:t>
      </w:r>
    </w:p>
    <w:p>
      <w:pPr>
        <w:spacing w:after="120" w:line="276"/>
      </w:pPr>
      <w:r>
        <w:rPr>
          <w:rFonts w:ascii="Arial" w:cs="Arial" w:eastAsia="Arial" w:hAnsi="Arial"/>
          <w:color w:val="000000"/>
        </w:rPr>
        <w:t xml:space="preserve">Ori also tested four OpenRouter routes for the conditional DeepSeek fallback on one case. This sample is too small for a quality conclusion, but it demonstrates that routing can materially change latency for the same base model.</w:t>
      </w:r>
    </w:p>
    <w:tbl>
      <w:tblPr>
        <w:tblW w:type="dxa" w:w="725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050"/>
      </w:tblGrid>
      <w:tr>
        <w:trPr>
          <w:cantSplit/>
          <w:tblHeader/>
        </w:trPr>
        <w:tc>
          <w:tcPr>
            <w:tcW w:type="dxa" w:w="330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left"/>
            </w:pPr>
            <w:r>
              <w:rPr>
                <w:rFonts w:ascii="Arial" w:cs="Arial" w:eastAsia="Arial" w:hAnsi="Arial"/>
                <w:b/>
                <w:bCs/>
                <w:color w:val="FFFFFF"/>
                <w:sz w:val="18"/>
                <w:szCs w:val="18"/>
              </w:rPr>
              <w:t xml:space="preserve">DeepSeek route</w:t>
            </w:r>
          </w:p>
        </w:tc>
        <w:tc>
          <w:tcPr>
            <w:tcW w:type="dxa" w:w="190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center"/>
            </w:pPr>
            <w:r>
              <w:rPr>
                <w:rFonts w:ascii="Arial" w:cs="Arial" w:eastAsia="Arial" w:hAnsi="Arial"/>
                <w:b/>
                <w:bCs/>
                <w:color w:val="FFFFFF"/>
                <w:sz w:val="18"/>
                <w:szCs w:val="18"/>
              </w:rPr>
              <w:t xml:space="preserve">Time</w:t>
            </w:r>
          </w:p>
        </w:tc>
        <w:tc>
          <w:tcPr>
            <w:tcW w:type="dxa" w:w="2050"/>
            <w:tcBorders>
              <w:top w:val="single" w:color="D9D9D9" w:sz="1"/>
              <w:left w:val="single" w:color="D9D9D9" w:sz="1"/>
              <w:bottom w:val="single" w:color="D9D9D9" w:sz="1"/>
              <w:right w:val="single" w:color="D9D9D9" w:sz="1"/>
            </w:tcBorders>
            <w:shd w:fill="17365D" w:color="auto" w:val="clear"/>
            <w:tcMar>
              <w:top w:type="dxa" w:w="110"/>
              <w:left w:type="dxa" w:w="120"/>
              <w:bottom w:type="dxa" w:w="110"/>
              <w:right w:type="dxa" w:w="120"/>
            </w:tcMar>
            <w:vAlign w:val="center"/>
          </w:tcPr>
          <w:p>
            <w:pPr>
              <w:spacing w:after="0" w:line="240"/>
              <w:jc w:val="center"/>
            </w:pPr>
            <w:r>
              <w:rPr>
                <w:rFonts w:ascii="Arial" w:cs="Arial" w:eastAsia="Arial" w:hAnsi="Arial"/>
                <w:b/>
                <w:bCs/>
                <w:color w:val="FFFFFF"/>
                <w:sz w:val="18"/>
                <w:szCs w:val="18"/>
              </w:rPr>
              <w:t xml:space="preserve">Cost</w:t>
            </w:r>
          </w:p>
        </w:tc>
      </w:tr>
      <w:tr>
        <w:trPr>
          <w:cantSplit/>
        </w:trPr>
        <w:tc>
          <w:tcPr>
            <w:tcW w:type="dxa" w:w="33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Bare</w:t>
            </w:r>
          </w:p>
        </w:tc>
        <w:tc>
          <w:tcPr>
            <w:tcW w:type="dxa" w:w="1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25.8s</w:t>
            </w:r>
          </w:p>
        </w:tc>
        <w:tc>
          <w:tcPr>
            <w:tcW w:type="dxa" w:w="20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$0.00098</w:t>
            </w:r>
          </w:p>
        </w:tc>
      </w:tr>
      <w:tr>
        <w:trPr>
          <w:cantSplit/>
        </w:trPr>
        <w:tc>
          <w:tcPr>
            <w:tcW w:type="dxa" w:w="33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Nitro</w:t>
            </w:r>
          </w:p>
        </w:tc>
        <w:tc>
          <w:tcPr>
            <w:tcW w:type="dxa" w:w="19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3.9s</w:t>
            </w:r>
          </w:p>
        </w:tc>
        <w:tc>
          <w:tcPr>
            <w:tcW w:type="dxa" w:w="20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$0.00214</w:t>
            </w:r>
          </w:p>
        </w:tc>
      </w:tr>
      <w:tr>
        <w:trPr>
          <w:cantSplit/>
        </w:trPr>
        <w:tc>
          <w:tcPr>
            <w:tcW w:type="dxa" w:w="33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Floor</w:t>
            </w:r>
          </w:p>
        </w:tc>
        <w:tc>
          <w:tcPr>
            <w:tcW w:type="dxa" w:w="190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29.8s</w:t>
            </w:r>
          </w:p>
        </w:tc>
        <w:tc>
          <w:tcPr>
            <w:tcW w:type="dxa" w:w="2050"/>
            <w:tcBorders>
              <w:top w:val="single" w:color="D9D9D9" w:sz="1"/>
              <w:left w:val="single" w:color="D9D9D9" w:sz="1"/>
              <w:bottom w:val="single" w:color="D9D9D9" w:sz="1"/>
              <w:right w:val="single" w:color="D9D9D9" w:sz="1"/>
            </w:tcBorders>
            <w:shd w:fill="FFFFFF"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$0.00103</w:t>
            </w:r>
          </w:p>
        </w:tc>
      </w:tr>
      <w:tr>
        <w:trPr>
          <w:cantSplit/>
        </w:trPr>
        <w:tc>
          <w:tcPr>
            <w:tcW w:type="dxa" w:w="33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left"/>
            </w:pPr>
            <w:r>
              <w:rPr>
                <w:rFonts w:ascii="Arial" w:cs="Arial" w:eastAsia="Arial" w:hAnsi="Arial"/>
                <w:color w:val="000000"/>
                <w:sz w:val="18"/>
                <w:szCs w:val="18"/>
              </w:rPr>
              <w:t xml:space="preserve">Exacto</w:t>
            </w:r>
          </w:p>
        </w:tc>
        <w:tc>
          <w:tcPr>
            <w:tcW w:type="dxa" w:w="190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16.4s</w:t>
            </w:r>
          </w:p>
        </w:tc>
        <w:tc>
          <w:tcPr>
            <w:tcW w:type="dxa" w:w="2050"/>
            <w:tcBorders>
              <w:top w:val="single" w:color="D9D9D9" w:sz="1"/>
              <w:left w:val="single" w:color="D9D9D9" w:sz="1"/>
              <w:bottom w:val="single" w:color="D9D9D9" w:sz="1"/>
              <w:right w:val="single" w:color="D9D9D9" w:sz="1"/>
            </w:tcBorders>
            <w:shd w:fill="EAF2F8" w:color="auto" w:val="clear"/>
            <w:tcMar>
              <w:top w:type="dxa" w:w="110"/>
              <w:left w:type="dxa" w:w="120"/>
              <w:bottom w:type="dxa" w:w="110"/>
              <w:right w:type="dxa" w:w="120"/>
            </w:tcMar>
            <w:vAlign w:val="center"/>
          </w:tcPr>
          <w:p>
            <w:pPr>
              <w:spacing w:after="0" w:line="240"/>
              <w:jc w:val="center"/>
            </w:pPr>
            <w:r>
              <w:rPr>
                <w:rFonts w:ascii="Arial" w:cs="Arial" w:eastAsia="Arial" w:hAnsi="Arial"/>
                <w:color w:val="000000"/>
                <w:sz w:val="18"/>
                <w:szCs w:val="18"/>
              </w:rPr>
              <w:t xml:space="preserve">$0.00096</w:t>
            </w:r>
          </w:p>
        </w:tc>
      </w:tr>
    </w:tbl>
    <w:p>
      <w:pPr>
        <w:pStyle w:val="Heading1"/>
        <w:keepNext/>
        <w:spacing w:after="140" w:before="300"/>
      </w:pPr>
      <w:r>
        <w:t xml:space="preserve">Interpretation and limitations</w:t>
      </w:r>
    </w:p>
    <w:p>
      <w:pPr>
        <w:pStyle w:val="ListParagraph"/>
        <w:numPr>
          <w:ilvl w:val="0"/>
          <w:numId w:val="1"/>
        </w:numPr>
        <w:spacing w:after="70" w:line="260"/>
      </w:pPr>
      <w:r>
        <w:rPr>
          <w:rFonts w:ascii="Arial" w:cs="Arial" w:eastAsia="Arial" w:hAnsi="Arial"/>
          <w:color w:val="000000"/>
        </w:rPr>
        <w:t xml:space="preserve">Terra and Luna share the OpenAI model family. Luna's 6 of 9 result may benefit from judge-style overlap.</w:t>
      </w:r>
    </w:p>
    <w:p>
      <w:pPr>
        <w:pStyle w:val="ListParagraph"/>
        <w:numPr>
          <w:ilvl w:val="0"/>
          <w:numId w:val="1"/>
        </w:numPr>
        <w:spacing w:after="70" w:line="260"/>
      </w:pPr>
      <w:r>
        <w:rPr>
          <w:rFonts w:ascii="Arial" w:cs="Arial" w:eastAsia="Arial" w:hAnsi="Arial"/>
          <w:color w:val="000000"/>
        </w:rPr>
        <w:t xml:space="preserve">Nine cases with one attempt each provide a useful engineering signal, not a statistically settled model ranking.</w:t>
      </w:r>
    </w:p>
    <w:p>
      <w:pPr>
        <w:pStyle w:val="ListParagraph"/>
        <w:numPr>
          <w:ilvl w:val="0"/>
          <w:numId w:val="1"/>
        </w:numPr>
        <w:spacing w:after="70" w:line="260"/>
      </w:pPr>
      <w:r>
        <w:rPr>
          <w:rFonts w:ascii="Arial" w:cs="Arial" w:eastAsia="Arial" w:hAnsi="Arial"/>
          <w:color w:val="000000"/>
        </w:rPr>
        <w:t xml:space="preserve">Concurrent timing includes provider and scheduling effects. It does not isolate raw token generation speed.</w:t>
      </w:r>
    </w:p>
    <w:p>
      <w:pPr>
        <w:pStyle w:val="ListParagraph"/>
        <w:numPr>
          <w:ilvl w:val="0"/>
          <w:numId w:val="1"/>
        </w:numPr>
        <w:spacing w:after="70" w:line="260"/>
      </w:pPr>
      <w:r>
        <w:rPr>
          <w:rFonts w:ascii="Arial" w:cs="Arial" w:eastAsia="Arial" w:hAnsi="Arial"/>
          <w:color w:val="000000"/>
        </w:rPr>
        <w:t xml:space="preserve">The report uses the harness pass decisions as recorded. Nine passing outputs did not retain a numeric judge score, and 36 of 45 outputs had completed judge verdicts.</w:t>
      </w:r>
    </w:p>
    <w:p>
      <w:pPr>
        <w:pStyle w:val="ListParagraph"/>
        <w:numPr>
          <w:ilvl w:val="0"/>
          <w:numId w:val="1"/>
        </w:numPr>
        <w:spacing w:after="70" w:line="260"/>
      </w:pPr>
      <w:r>
        <w:rPr>
          <w:rFonts w:ascii="Arial" w:cs="Arial" w:eastAsia="Arial" w:hAnsi="Arial"/>
          <w:color w:val="000000"/>
        </w:rPr>
        <w:t xml:space="preserve">Ori's local session store retained 33 final response bodies and evicted 12 earlier bodies. OpenRouter confirmed that input and output logging was disabled for those requests, so the missing text could not be recovered without paying to rerun them.</w:t>
      </w:r>
    </w:p>
    <w:p>
      <w:pPr>
        <w:pStyle w:val="Heading1"/>
        <w:keepNext/>
        <w:spacing w:after="140" w:before="300"/>
      </w:pPr>
      <w:r>
        <w:t xml:space="preserve">Recommendation</w:t>
      </w:r>
    </w:p>
    <w:p>
      <w:pPr>
        <w:spacing w:after="120" w:line="276"/>
      </w:pPr>
      <w:r>
        <w:rPr>
          <w:rFonts w:ascii="Arial" w:cs="Arial" w:eastAsia="Arial" w:hAnsi="Arial"/>
          <w:color w:val="000000"/>
        </w:rPr>
        <w:t xml:space="preserve">Keep Luna unchanged for production Question Studio generation. Before reconsidering models, tighten the source-only prompt and repair rules, rerun the same nine objectives, and use a judge outside the OpenAI family for a neutral Luna-versus-Gemini comparison. That sequence addresses the observed quality failure while preserving Luna's clear cost and latency advantage.</w:t>
      </w:r>
    </w:p>
    <w:p>
      <w:r>
        <w:br w:type="page"/>
      </w:r>
    </w:p>
    <w:p>
      <w:pPr>
        <w:pStyle w:val="Heading1"/>
        <w:keepNext/>
        <w:spacing w:after="140" w:before="300"/>
      </w:pPr>
      <w:r>
        <w:t xml:space="preserve">Appendix Individual model responses</w:t>
      </w:r>
    </w:p>
    <w:p>
      <w:pPr>
        <w:spacing w:after="120" w:line="276"/>
      </w:pPr>
      <w:r>
        <w:rPr>
          <w:rFonts w:ascii="Arial" w:cs="Arial" w:eastAsia="Arial" w:hAnsi="Arial"/>
          <w:color w:val="000000"/>
        </w:rPr>
        <w:t xml:space="preserve">The appendix reproduces every locally retained final assistant response in a readable field-by-field format. It does not include model reasoning traces. For the 12 response bodies evicted by Ori, the appendix preserves the available run metadata, pass or fail status, numeric score when logged, and failure explanation. Response numbering follows completion order within each model.</w:t>
      </w:r>
    </w:p>
    <w:p>
      <w:r>
        <w:br w:type="page"/>
      </w:r>
    </w:p>
    <w:p>
      <w:pPr>
        <w:pStyle w:val="Heading1"/>
        <w:keepNext/>
        <w:spacing w:after="140" w:before="300"/>
      </w:pPr>
      <w:r>
        <w:t xml:space="preserve">Luna individual responses</w:t>
      </w:r>
    </w:p>
    <w:p>
      <w:pPr>
        <w:spacing w:after="120" w:line="276"/>
      </w:pPr>
      <w:r>
        <w:rPr>
          <w:rFonts w:ascii="Arial" w:cs="Arial" w:eastAsia="Arial" w:hAnsi="Arial"/>
          <w:color w:val="000000"/>
        </w:rPr>
        <w:t xml:space="preserve">9 responses  6 strict passes  1 response bodies retained</w:t>
      </w:r>
    </w:p>
    <w:p>
      <w:pPr>
        <w:pStyle w:val="Heading3"/>
        <w:keepNext/>
        <w:spacing w:after="100" w:before="220"/>
      </w:pPr>
      <w:r>
        <w:t xml:space="preserve">Response 1</w:t>
      </w:r>
    </w:p>
    <w:p>
      <w:pPr>
        <w:keepNext/>
        <w:spacing w:after="90" w:line="240"/>
      </w:pPr>
      <w:r>
        <w:rPr>
          <w:rFonts w:ascii="Arial" w:cs="Arial" w:eastAsia="Arial" w:hAnsi="Arial"/>
          <w:b/>
          <w:bCs/>
          <w:color w:val="000000"/>
        </w:rPr>
        <w:t xml:space="preserve">Response 1  </w:t>
      </w:r>
      <w:r>
        <w:rPr>
          <w:rFonts w:ascii="Arial" w:cs="Arial" w:eastAsia="Arial" w:hAnsi="Arial"/>
          <w:b/>
          <w:bCs/>
          <w:color w:val="1F6D3D"/>
        </w:rPr>
        <w:t xml:space="preserve">Pass  </w:t>
      </w:r>
      <w:r>
        <w:rPr>
          <w:rFonts w:ascii="Arial" w:cs="Arial" w:eastAsia="Arial" w:hAnsi="Arial"/>
          <w:color w:val="5B6573"/>
        </w:rPr>
        <w:t xml:space="preserve">Case case assignment not retained  </w:t>
      </w:r>
      <w:r>
        <w:rPr>
          <w:rFonts w:ascii="Arial" w:cs="Arial" w:eastAsia="Arial" w:hAnsi="Arial"/>
          <w:color w:val="5B6573"/>
        </w:rPr>
        <w:t xml:space="preserve">Score 0.98  Latency 6.1s  Cost $0.000768</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0.98.</w:t>
      </w:r>
    </w:p>
    <w:p>
      <w:pPr>
        <w:spacing w:after="220"/>
      </w:pPr>
    </w:p>
    <w:p>
      <w:pPr>
        <w:pStyle w:val="Heading3"/>
        <w:keepNext/>
        <w:spacing w:after="100" w:before="220"/>
      </w:pPr>
      <w:r>
        <w:t xml:space="preserve">Response 2</w:t>
      </w:r>
    </w:p>
    <w:p>
      <w:pPr>
        <w:keepNext/>
        <w:spacing w:after="90" w:line="240"/>
      </w:pPr>
      <w:r>
        <w:rPr>
          <w:rFonts w:ascii="Arial" w:cs="Arial" w:eastAsia="Arial" w:hAnsi="Arial"/>
          <w:b/>
          <w:bCs/>
          <w:color w:val="000000"/>
        </w:rPr>
        <w:t xml:space="preserve">Response 2  </w:t>
      </w:r>
      <w:r>
        <w:rPr>
          <w:rFonts w:ascii="Arial" w:cs="Arial" w:eastAsia="Arial" w:hAnsi="Arial"/>
          <w:b/>
          <w:bCs/>
          <w:color w:val="1F6D3D"/>
        </w:rPr>
        <w:t xml:space="preserve">Pass  </w:t>
      </w:r>
      <w:r>
        <w:rPr>
          <w:rFonts w:ascii="Arial" w:cs="Arial" w:eastAsia="Arial" w:hAnsi="Arial"/>
          <w:color w:val="5B6573"/>
        </w:rPr>
        <w:t xml:space="preserve">Case case assignment not retained  </w:t>
      </w:r>
      <w:r>
        <w:rPr>
          <w:rFonts w:ascii="Arial" w:cs="Arial" w:eastAsia="Arial" w:hAnsi="Arial"/>
          <w:color w:val="5B6573"/>
        </w:rPr>
        <w:t xml:space="preserve">Score 0.94  Latency 6.9s  Cost $0.001001</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0.94.</w:t>
      </w:r>
    </w:p>
    <w:p>
      <w:pPr>
        <w:spacing w:after="220"/>
      </w:pPr>
    </w:p>
    <w:p>
      <w:pPr>
        <w:pStyle w:val="Heading3"/>
        <w:keepNext/>
        <w:spacing w:after="100" w:before="220"/>
      </w:pPr>
      <w:r>
        <w:t xml:space="preserve">Response 3</w:t>
      </w:r>
    </w:p>
    <w:p>
      <w:pPr>
        <w:keepNext/>
        <w:spacing w:after="90" w:line="240"/>
      </w:pPr>
      <w:r>
        <w:rPr>
          <w:rFonts w:ascii="Arial" w:cs="Arial" w:eastAsia="Arial" w:hAnsi="Arial"/>
          <w:b/>
          <w:bCs/>
          <w:color w:val="000000"/>
        </w:rPr>
        <w:t xml:space="preserve">Response 3  </w:t>
      </w:r>
      <w:r>
        <w:rPr>
          <w:rFonts w:ascii="Arial" w:cs="Arial" w:eastAsia="Arial" w:hAnsi="Arial"/>
          <w:b/>
          <w:bCs/>
          <w:color w:val="9C2F2F"/>
        </w:rPr>
        <w:t xml:space="preserve">Fail  </w:t>
      </w:r>
      <w:r>
        <w:rPr>
          <w:rFonts w:ascii="Arial" w:cs="Arial" w:eastAsia="Arial" w:hAnsi="Arial"/>
          <w:color w:val="5B6573"/>
        </w:rPr>
        <w:t xml:space="preserve">Case case assignment not retained  </w:t>
      </w:r>
      <w:r>
        <w:rPr>
          <w:rFonts w:ascii="Arial" w:cs="Arial" w:eastAsia="Arial" w:hAnsi="Arial"/>
          <w:color w:val="5B6573"/>
        </w:rPr>
        <w:t xml:space="preserve">Score 0.42  Latency 7.1s  Cost $0.000969</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0.42 is below the minimum 0.7. The judge wrote: The key is supported, but the distractors are not all plausible: two use categorical, unsupported claims that are easily eliminated, and one nonsensically suggests withholding plus unless binocular control worsens. The stem also calls +0.75 DS the smallest effective add without establishing that smaller adds were assessed. These weaknesses fail the required high-quality four-distractor standard.</w:t>
      </w:r>
    </w:p>
    <w:p>
      <w:pPr>
        <w:spacing w:after="220"/>
      </w:pPr>
    </w:p>
    <w:p>
      <w:pPr>
        <w:pStyle w:val="Heading3"/>
        <w:keepNext/>
        <w:spacing w:after="100" w:before="220"/>
      </w:pPr>
      <w:r>
        <w:t xml:space="preserve">Response 4</w:t>
      </w:r>
    </w:p>
    <w:p>
      <w:pPr>
        <w:keepNext/>
        <w:spacing w:after="90" w:line="240"/>
      </w:pPr>
      <w:r>
        <w:rPr>
          <w:rFonts w:ascii="Arial" w:cs="Arial" w:eastAsia="Arial" w:hAnsi="Arial"/>
          <w:b/>
          <w:bCs/>
          <w:color w:val="000000"/>
        </w:rPr>
        <w:t xml:space="preserve">Response 4  </w:t>
      </w:r>
      <w:r>
        <w:rPr>
          <w:rFonts w:ascii="Arial" w:cs="Arial" w:eastAsia="Arial" w:hAnsi="Arial"/>
          <w:b/>
          <w:bCs/>
          <w:color w:val="1F6D3D"/>
        </w:rPr>
        <w:t xml:space="preserve">Pass  </w:t>
      </w:r>
      <w:r>
        <w:rPr>
          <w:rFonts w:ascii="Arial" w:cs="Arial" w:eastAsia="Arial" w:hAnsi="Arial"/>
          <w:color w:val="5B6573"/>
        </w:rPr>
        <w:t xml:space="preserve">Case case assignment not retained  </w:t>
      </w:r>
      <w:r>
        <w:rPr>
          <w:rFonts w:ascii="Arial" w:cs="Arial" w:eastAsia="Arial" w:hAnsi="Arial"/>
          <w:color w:val="5B6573"/>
        </w:rPr>
        <w:t xml:space="preserve">Score 0.94  Latency 5.1s  Cost $0.000939</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0.94.</w:t>
      </w:r>
    </w:p>
    <w:p>
      <w:pPr>
        <w:spacing w:after="220"/>
      </w:pPr>
    </w:p>
    <w:p>
      <w:pPr>
        <w:pStyle w:val="Heading3"/>
        <w:keepNext/>
        <w:spacing w:after="100" w:before="220"/>
      </w:pPr>
      <w:r>
        <w:t xml:space="preserve">Response 5</w:t>
      </w:r>
    </w:p>
    <w:p>
      <w:pPr>
        <w:keepNext/>
        <w:spacing w:after="90" w:line="240"/>
      </w:pPr>
      <w:r>
        <w:rPr>
          <w:rFonts w:ascii="Arial" w:cs="Arial" w:eastAsia="Arial" w:hAnsi="Arial"/>
          <w:b/>
          <w:bCs/>
          <w:color w:val="000000"/>
        </w:rPr>
        <w:t xml:space="preserve">Response 5  </w:t>
      </w:r>
      <w:r>
        <w:rPr>
          <w:rFonts w:ascii="Arial" w:cs="Arial" w:eastAsia="Arial" w:hAnsi="Arial"/>
          <w:b/>
          <w:bCs/>
          <w:color w:val="1F6D3D"/>
        </w:rPr>
        <w:t xml:space="preserve">Pass  </w:t>
      </w:r>
      <w:r>
        <w:rPr>
          <w:rFonts w:ascii="Arial" w:cs="Arial" w:eastAsia="Arial" w:hAnsi="Arial"/>
          <w:color w:val="5B6573"/>
        </w:rPr>
        <w:t xml:space="preserve">Case case assignment not retained  </w:t>
      </w:r>
      <w:r>
        <w:rPr>
          <w:rFonts w:ascii="Arial" w:cs="Arial" w:eastAsia="Arial" w:hAnsi="Arial"/>
          <w:color w:val="5B6573"/>
        </w:rPr>
        <w:t xml:space="preserve">Score 0.95  Latency 5.6s  Cost $0.001099</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0.95.</w:t>
      </w:r>
    </w:p>
    <w:p>
      <w:pPr>
        <w:spacing w:after="220"/>
      </w:pPr>
    </w:p>
    <w:p>
      <w:pPr>
        <w:pStyle w:val="Heading3"/>
        <w:keepNext/>
        <w:spacing w:after="100" w:before="220"/>
      </w:pPr>
      <w:r>
        <w:t xml:space="preserve">Response 6</w:t>
      </w:r>
    </w:p>
    <w:p>
      <w:pPr>
        <w:keepNext/>
        <w:spacing w:after="90" w:line="240"/>
      </w:pPr>
      <w:r>
        <w:rPr>
          <w:rFonts w:ascii="Arial" w:cs="Arial" w:eastAsia="Arial" w:hAnsi="Arial"/>
          <w:b/>
          <w:bCs/>
          <w:color w:val="000000"/>
        </w:rPr>
        <w:t xml:space="preserve">Response 6  </w:t>
      </w:r>
      <w:r>
        <w:rPr>
          <w:rFonts w:ascii="Arial" w:cs="Arial" w:eastAsia="Arial" w:hAnsi="Arial"/>
          <w:b/>
          <w:bCs/>
          <w:color w:val="9C2F2F"/>
        </w:rPr>
        <w:t xml:space="preserve">Fail  </w:t>
      </w:r>
      <w:r>
        <w:rPr>
          <w:rFonts w:ascii="Arial" w:cs="Arial" w:eastAsia="Arial" w:hAnsi="Arial"/>
          <w:color w:val="5B6573"/>
        </w:rPr>
        <w:t xml:space="preserve">Case case assignment not retained  </w:t>
      </w:r>
      <w:r>
        <w:rPr>
          <w:rFonts w:ascii="Arial" w:cs="Arial" w:eastAsia="Arial" w:hAnsi="Arial"/>
          <w:color w:val="5B6573"/>
        </w:rPr>
        <w:t xml:space="preserve">Score 0.45  Latency 6.8s  Cost $0.001043</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0.45 is below the minimum 0.7. The judge wrote: The keyed answer is source-grounded and the scenario integrates appearance, obstruction severity, and source appropriately, but the distractors do not meet the required parallel, non-overlapping design. Two distractors are cholesterol emboli, and the fourth describes a lodging location rather than an etiology, despite the stem asking for etiology. This creates redundant/nonparallel alternatives.</w:t>
      </w:r>
    </w:p>
    <w:p>
      <w:pPr>
        <w:spacing w:after="220"/>
      </w:pPr>
    </w:p>
    <w:p>
      <w:pPr>
        <w:pStyle w:val="Heading3"/>
        <w:keepNext/>
        <w:spacing w:after="100" w:before="220"/>
      </w:pPr>
      <w:r>
        <w:t xml:space="preserve">Response 7</w:t>
      </w:r>
    </w:p>
    <w:p>
      <w:pPr>
        <w:keepNext/>
        <w:spacing w:after="90" w:line="240"/>
      </w:pPr>
      <w:r>
        <w:rPr>
          <w:rFonts w:ascii="Arial" w:cs="Arial" w:eastAsia="Arial" w:hAnsi="Arial"/>
          <w:b/>
          <w:bCs/>
          <w:color w:val="000000"/>
        </w:rPr>
        <w:t xml:space="preserve">Response 7  </w:t>
      </w:r>
      <w:r>
        <w:rPr>
          <w:rFonts w:ascii="Arial" w:cs="Arial" w:eastAsia="Arial" w:hAnsi="Arial"/>
          <w:b/>
          <w:bCs/>
          <w:color w:val="9C2F2F"/>
        </w:rPr>
        <w:t xml:space="preserve">Fail  </w:t>
      </w:r>
      <w:r>
        <w:rPr>
          <w:rFonts w:ascii="Arial" w:cs="Arial" w:eastAsia="Arial" w:hAnsi="Arial"/>
          <w:color w:val="5B6573"/>
        </w:rPr>
        <w:t xml:space="preserve">Case case assignment not retained  </w:t>
      </w:r>
      <w:r>
        <w:rPr>
          <w:rFonts w:ascii="Arial" w:cs="Arial" w:eastAsia="Arial" w:hAnsi="Arial"/>
          <w:color w:val="5B6573"/>
        </w:rPr>
        <w:t xml:space="preserve">Score 0.72  Latency 4.1s  Cost $0.000787</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Its score 0.72 is at or above the minimum 0.7, so the minimum is not what rejected this run. A passing score under a failing verdict usually means the rubric and the score are measuring different things. The judge wrote: The key and first three options are source-grounded and the recall-level format fits the objective, but the fourth option and the rationale introduce unsupported claims about “coordinated, population-wide systems” and treat them as a documented alternative model. Because the assignment requires using only supplied evidence and disallows unsupported claims, the output does not fully satisfy the criteria.</w:t>
      </w:r>
    </w:p>
    <w:p>
      <w:pPr>
        <w:spacing w:after="220"/>
      </w:pPr>
    </w:p>
    <w:p>
      <w:pPr>
        <w:pStyle w:val="Heading3"/>
        <w:keepNext/>
        <w:spacing w:after="100" w:before="220"/>
      </w:pPr>
      <w:r>
        <w:t xml:space="preserve">Response 8</w:t>
      </w:r>
    </w:p>
    <w:p>
      <w:pPr>
        <w:keepNext/>
        <w:spacing w:after="90" w:line="240"/>
      </w:pPr>
      <w:r>
        <w:rPr>
          <w:rFonts w:ascii="Arial" w:cs="Arial" w:eastAsia="Arial" w:hAnsi="Arial"/>
          <w:b/>
          <w:bCs/>
          <w:color w:val="000000"/>
        </w:rPr>
        <w:t xml:space="preserve">Response 8  </w:t>
      </w:r>
      <w:r>
        <w:rPr>
          <w:rFonts w:ascii="Arial" w:cs="Arial" w:eastAsia="Arial" w:hAnsi="Arial"/>
          <w:b/>
          <w:bCs/>
          <w:color w:val="1F6D3D"/>
        </w:rPr>
        <w:t xml:space="preserve">Pass  </w:t>
      </w:r>
      <w:r>
        <w:rPr>
          <w:rFonts w:ascii="Arial" w:cs="Arial" w:eastAsia="Arial" w:hAnsi="Arial"/>
          <w:color w:val="5B6573"/>
        </w:rPr>
        <w:t xml:space="preserve">Case case assignment not retained  </w:t>
      </w:r>
      <w:r>
        <w:rPr>
          <w:rFonts w:ascii="Arial" w:cs="Arial" w:eastAsia="Arial" w:hAnsi="Arial"/>
          <w:color w:val="5B6573"/>
        </w:rPr>
        <w:t xml:space="preserve">Score 0.90  Latency 4.2s  Cost $0.000831</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0.90.</w:t>
      </w:r>
    </w:p>
    <w:p>
      <w:pPr>
        <w:spacing w:after="220"/>
      </w:pPr>
    </w:p>
    <w:p>
      <w:pPr>
        <w:pStyle w:val="Heading3"/>
        <w:keepNext/>
        <w:spacing w:after="100" w:before="220"/>
      </w:pPr>
      <w:r>
        <w:t xml:space="preserve">Response 9</w:t>
      </w:r>
    </w:p>
    <w:p>
      <w:pPr>
        <w:keepNext/>
        <w:spacing w:after="90" w:line="240"/>
      </w:pPr>
      <w:r>
        <w:rPr>
          <w:rFonts w:ascii="Arial" w:cs="Arial" w:eastAsia="Arial" w:hAnsi="Arial"/>
          <w:b/>
          <w:bCs/>
          <w:color w:val="000000"/>
        </w:rPr>
        <w:t xml:space="preserve">Response 9  </w:t>
      </w:r>
      <w:r>
        <w:rPr>
          <w:rFonts w:ascii="Arial" w:cs="Arial" w:eastAsia="Arial" w:hAnsi="Arial"/>
          <w:b/>
          <w:bCs/>
          <w:color w:val="1F6D3D"/>
        </w:rPr>
        <w:t xml:space="preserve">Pass  </w:t>
      </w:r>
      <w:r>
        <w:rPr>
          <w:rFonts w:ascii="Arial" w:cs="Arial" w:eastAsia="Arial" w:hAnsi="Arial"/>
          <w:color w:val="5B6573"/>
        </w:rPr>
        <w:t xml:space="preserve">Case dc00ab51-q3  criticalThinking  </w:t>
      </w:r>
      <w:r>
        <w:rPr>
          <w:rFonts w:ascii="Arial" w:cs="Arial" w:eastAsia="Arial" w:hAnsi="Arial"/>
          <w:color w:val="5B6573"/>
        </w:rPr>
        <w:t xml:space="preserve">Score 0.96  Latency 5.0s  Cost $0.000992</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community governance and public health activities to distinguish a community health center from a traditional private group practice.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Which organizational model best represents a community health center rather than a traditional private group practice?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A center governed by community members that combines comprehensive clinical care with public health activities and trains community members for outreach</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A solo or small group practice in which physicians deliver medical care primarily through fee-for-service arrangements</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A multispecialty clinic that integrates specialists to encourage peer review, continuing education, and shared responsibility for patients</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A large, highly regarded multispecialty practice that expands by adding physicians in surgical and laboratory-oriented specialties</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The defining combination is community governance, responsibility for the community’s health, comprehensive primary and preventive care, public health activities, and community outreach. A fee-for-service solo or small group practice reflects the traditional structure of medical care. A multispecialty clinic may promote collaboration and peer review, but that alone does not establish community governance or an integrated public health mission. A large, reputable multispecialty practice is also distinguished by its size and specialty structure rather than by community-based governance and outreach.</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Integrating organizational governance, clinical services, and public health functions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p6c0: Governance by community members</w:t>
      </w:r>
    </w:p>
    <w:p>
      <w:pPr>
        <w:pStyle w:val="ListParagraph"/>
        <w:numPr>
          <w:ilvl w:val="0"/>
          <w:numId w:val="1"/>
        </w:numPr>
        <w:spacing w:after="70" w:line="260"/>
      </w:pPr>
      <w:r>
        <w:rPr>
          <w:rFonts w:ascii="Arial" w:cs="Arial" w:eastAsia="Arial" w:hAnsi="Arial"/>
          <w:color w:val="000000"/>
        </w:rPr>
        <w:t xml:space="preserve">p6c0: Meld clinical services with public health activities</w:t>
      </w:r>
    </w:p>
    <w:p>
      <w:pPr>
        <w:pStyle w:val="ListParagraph"/>
        <w:numPr>
          <w:ilvl w:val="0"/>
          <w:numId w:val="1"/>
        </w:numPr>
        <w:spacing w:after="70" w:line="260"/>
      </w:pPr>
      <w:r>
        <w:rPr>
          <w:rFonts w:ascii="Arial" w:cs="Arial" w:eastAsia="Arial" w:hAnsi="Arial"/>
          <w:color w:val="000000"/>
        </w:rPr>
        <w:t xml:space="preserve">p6c0: Trained community members as outreach</w:t>
      </w:r>
    </w:p>
    <w:p>
      <w:pPr>
        <w:pStyle w:val="ListParagraph"/>
        <w:numPr>
          <w:ilvl w:val="0"/>
          <w:numId w:val="1"/>
        </w:numPr>
        <w:spacing w:after="70" w:line="260"/>
      </w:pPr>
      <w:r>
        <w:rPr>
          <w:rFonts w:ascii="Arial" w:cs="Arial" w:eastAsia="Arial" w:hAnsi="Arial"/>
          <w:color w:val="000000"/>
        </w:rPr>
        <w:t xml:space="preserve">p2c0: fee-for-service private physicians in solo or small group practices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This describes the traditional private solo or small group practice model organized around fee-for-service medical care.</w:t>
      </w:r>
    </w:p>
    <w:p>
      <w:pPr>
        <w:pStyle w:val="ListParagraph"/>
        <w:numPr>
          <w:ilvl w:val="0"/>
          <w:numId w:val="1"/>
        </w:numPr>
        <w:spacing w:after="70" w:line="260"/>
      </w:pPr>
      <w:r>
        <w:rPr>
          <w:rFonts w:ascii="Arial" w:cs="Arial" w:eastAsia="Arial" w:hAnsi="Arial"/>
          <w:color w:val="000000"/>
        </w:rPr>
        <w:t xml:space="preserve">C. This describes a multispecialty group practice’s collaborative structure but does not include community governance or a public health mission.</w:t>
      </w:r>
    </w:p>
    <w:p>
      <w:pPr>
        <w:pStyle w:val="ListParagraph"/>
        <w:numPr>
          <w:ilvl w:val="0"/>
          <w:numId w:val="1"/>
        </w:numPr>
        <w:spacing w:after="70" w:line="260"/>
      </w:pPr>
      <w:r>
        <w:rPr>
          <w:rFonts w:ascii="Arial" w:cs="Arial" w:eastAsia="Arial" w:hAnsi="Arial"/>
          <w:color w:val="000000"/>
        </w:rPr>
        <w:t xml:space="preserve">D. This describes an expanding multispecialty practice whose distinguishing feature is its size and specialty composition, not community integration.</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0.96.</w:t>
      </w:r>
    </w:p>
    <w:p>
      <w:pPr>
        <w:spacing w:after="220"/>
      </w:pPr>
    </w:p>
    <w:p>
      <w:r>
        <w:br w:type="page"/>
      </w:r>
    </w:p>
    <w:p>
      <w:pPr>
        <w:pStyle w:val="Heading1"/>
        <w:keepNext/>
        <w:spacing w:after="140" w:before="300"/>
      </w:pPr>
      <w:r>
        <w:t xml:space="preserve">Gemini 3.8 Flash individual responses</w:t>
      </w:r>
    </w:p>
    <w:p>
      <w:pPr>
        <w:spacing w:after="120" w:line="276"/>
      </w:pPr>
      <w:r>
        <w:rPr>
          <w:rFonts w:ascii="Arial" w:cs="Arial" w:eastAsia="Arial" w:hAnsi="Arial"/>
          <w:color w:val="000000"/>
        </w:rPr>
        <w:t xml:space="preserve">9 responses  5 strict passes  7 response bodies retained</w:t>
      </w:r>
    </w:p>
    <w:p>
      <w:pPr>
        <w:pStyle w:val="Heading3"/>
        <w:keepNext/>
        <w:spacing w:after="100" w:before="220"/>
      </w:pPr>
      <w:r>
        <w:t xml:space="preserve">Response 1</w:t>
      </w:r>
    </w:p>
    <w:p>
      <w:pPr>
        <w:keepNext/>
        <w:spacing w:after="90" w:line="240"/>
      </w:pPr>
      <w:r>
        <w:rPr>
          <w:rFonts w:ascii="Arial" w:cs="Arial" w:eastAsia="Arial" w:hAnsi="Arial"/>
          <w:b/>
          <w:bCs/>
          <w:color w:val="000000"/>
        </w:rPr>
        <w:t xml:space="preserve">Response 1  </w:t>
      </w:r>
      <w:r>
        <w:rPr>
          <w:rFonts w:ascii="Arial" w:cs="Arial" w:eastAsia="Arial" w:hAnsi="Arial"/>
          <w:b/>
          <w:bCs/>
          <w:color w:val="9C2F2F"/>
        </w:rPr>
        <w:t xml:space="preserve">Fail  </w:t>
      </w:r>
      <w:r>
        <w:rPr>
          <w:rFonts w:ascii="Arial" w:cs="Arial" w:eastAsia="Arial" w:hAnsi="Arial"/>
          <w:color w:val="5B6573"/>
        </w:rPr>
        <w:t xml:space="preserve">Case case assignment not retained  </w:t>
      </w:r>
      <w:r>
        <w:rPr>
          <w:rFonts w:ascii="Arial" w:cs="Arial" w:eastAsia="Arial" w:hAnsi="Arial"/>
          <w:color w:val="5B6573"/>
        </w:rPr>
        <w:t xml:space="preserve">Score 0.45  Latency 15.5s  Cost $0.010370</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0.45 is below the minimum 0.7. The judge wrote: The keyed answer and options are source-grounded and form a clear single-best-answer recall question, but the standalone rationale and distractor reasons add unsupported claims about a direct accommodative-response link and the effects of minus lenses. The assignment required using only supplied evidence, so these outside assertions make the output fail strict source-grounding.</w:t>
      </w:r>
    </w:p>
    <w:p>
      <w:pPr>
        <w:spacing w:after="220"/>
      </w:pPr>
    </w:p>
    <w:p>
      <w:pPr>
        <w:pStyle w:val="Heading3"/>
        <w:keepNext/>
        <w:spacing w:after="100" w:before="220"/>
      </w:pPr>
      <w:r>
        <w:t xml:space="preserve">Response 2</w:t>
      </w:r>
    </w:p>
    <w:p>
      <w:pPr>
        <w:keepNext/>
        <w:spacing w:after="90" w:line="240"/>
      </w:pPr>
      <w:r>
        <w:rPr>
          <w:rFonts w:ascii="Arial" w:cs="Arial" w:eastAsia="Arial" w:hAnsi="Arial"/>
          <w:b/>
          <w:bCs/>
          <w:color w:val="000000"/>
        </w:rPr>
        <w:t xml:space="preserve">Response 2  </w:t>
      </w:r>
      <w:r>
        <w:rPr>
          <w:rFonts w:ascii="Arial" w:cs="Arial" w:eastAsia="Arial" w:hAnsi="Arial"/>
          <w:b/>
          <w:bCs/>
          <w:color w:val="1F6D3D"/>
        </w:rPr>
        <w:t xml:space="preserve">Pass  </w:t>
      </w:r>
      <w:r>
        <w:rPr>
          <w:rFonts w:ascii="Arial" w:cs="Arial" w:eastAsia="Arial" w:hAnsi="Arial"/>
          <w:color w:val="5B6573"/>
        </w:rPr>
        <w:t xml:space="preserve">Case case assignment not retained  </w:t>
      </w:r>
      <w:r>
        <w:rPr>
          <w:rFonts w:ascii="Arial" w:cs="Arial" w:eastAsia="Arial" w:hAnsi="Arial"/>
          <w:color w:val="5B6573"/>
        </w:rPr>
        <w:t xml:space="preserve">Score 0.96  Latency 24.6s  Cost $0.016820</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0.96.</w:t>
      </w:r>
    </w:p>
    <w:p>
      <w:pPr>
        <w:spacing w:after="220"/>
      </w:pPr>
    </w:p>
    <w:p>
      <w:pPr>
        <w:pStyle w:val="Heading3"/>
        <w:keepNext/>
        <w:spacing w:after="100" w:before="220"/>
      </w:pPr>
      <w:r>
        <w:t xml:space="preserve">Response 3</w:t>
      </w:r>
    </w:p>
    <w:p>
      <w:pPr>
        <w:keepNext/>
        <w:spacing w:after="90" w:line="240"/>
      </w:pPr>
      <w:r>
        <w:rPr>
          <w:rFonts w:ascii="Arial" w:cs="Arial" w:eastAsia="Arial" w:hAnsi="Arial"/>
          <w:b/>
          <w:bCs/>
          <w:color w:val="000000"/>
        </w:rPr>
        <w:t xml:space="preserve">Response 3  </w:t>
      </w:r>
      <w:r>
        <w:rPr>
          <w:rFonts w:ascii="Arial" w:cs="Arial" w:eastAsia="Arial" w:hAnsi="Arial"/>
          <w:b/>
          <w:bCs/>
          <w:color w:val="1F6D3D"/>
        </w:rPr>
        <w:t xml:space="preserve">Pass  </w:t>
      </w:r>
      <w:r>
        <w:rPr>
          <w:rFonts w:ascii="Arial" w:cs="Arial" w:eastAsia="Arial" w:hAnsi="Arial"/>
          <w:color w:val="5B6573"/>
        </w:rPr>
        <w:t xml:space="preserve">Case 85bef31d-q2  clinical  </w:t>
      </w:r>
      <w:r>
        <w:rPr>
          <w:rFonts w:ascii="Arial" w:cs="Arial" w:eastAsia="Arial" w:hAnsi="Arial"/>
          <w:color w:val="5B6573"/>
        </w:rPr>
        <w:t xml:space="preserve">Score 0.90  Latency 66.9s  Cost $0.045750</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3. Therapeutic Spectacle Prescribing I bb.pdf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Apply minimum effective plus prescribing to a new functional testing example.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clinician performs near retinoscopy followed by functional probe testing to determine a near prescription for a patient reporting reading difficulties and near symptoms. Functional probe testing yields the following results:
• +0.50 D: Reading fluency and near symptoms show no meaningful improvement, while binocular alignment remains unchanged.
• +1.00 D: Reading fluency improves meaningfully, near symptoms resolve, and binocular control remains acceptable.
• +1.75 D: Reading fluency improves meaningfully, but near exophoria increases from 8 BI to 14 BI, compromising binocular control.
• +2.00 D: Reading fluency and near symptoms show the same meaningful improvement as +1.00 D with acceptable binocular control, but accommodation is relaxed further.
Based on the principle of minimum effective plus prescribing, which lens power is indicated?</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000000"/>
        </w:rPr>
        <w:t xml:space="preserve">A. </w:t>
      </w:r>
      <w:r>
        <w:rPr>
          <w:rFonts w:ascii="Arial" w:cs="Arial" w:eastAsia="Arial" w:hAnsi="Arial"/>
          <w:b w:val="false"/>
          <w:bCs w:val="false"/>
          <w:color w:val="000000"/>
        </w:rPr>
        <w:t xml:space="preserve">+0.50 D</w:t>
      </w:r>
    </w:p>
    <w:p>
      <w:pPr>
        <w:spacing w:after="45" w:line="245"/>
        <w:ind w:left="280" w:hanging="0"/>
      </w:pPr>
      <w:r>
        <w:rPr>
          <w:rFonts w:ascii="Arial" w:cs="Arial" w:eastAsia="Arial" w:hAnsi="Arial"/>
          <w:b/>
          <w:bCs/>
          <w:color w:val="1F6D3D"/>
        </w:rPr>
        <w:t xml:space="preserve">B. </w:t>
      </w:r>
      <w:r>
        <w:rPr>
          <w:rFonts w:ascii="Arial" w:cs="Arial" w:eastAsia="Arial" w:hAnsi="Arial"/>
          <w:b/>
          <w:bCs/>
          <w:color w:val="1F6D3D"/>
        </w:rPr>
        <w:t xml:space="preserve">+1.00 D</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+1.75 D</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+2.00 D</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The principle of minimum effective plus prescribing directs the clinician to prescribe the smallest add that produces a meaningful functional improvement while maintaining acceptable binocular control and retaining some accommodative stimulus. In this case, +1.00 D achieves meaningful improvement in reading fluency and symptom relief without compromising binocular control, making it the appropriate minimum effective prescription.
The +0.50 D lens is incorrect because therapeutic prescribing requires a functional reason; it produced no meaningful improvement in reading fluency or near symptoms.
The +1.75 D lens is incorrect because, despite functional gains in reading, near exophoria increases substantially from 8 BI to 14 BI, compromising binocular control.
The +2.00 D lens is incorrect because it exceeds the minimum add required to achieve comfortable near function. When a lower power such as +1.00 D already produces meaningful functional improvement while retaining accommodative stimulus, prescribing an unnecessarily higher add violates the principle of minimum effective plus.</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Clinical application</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p29c0: Look for meaningful improvement without compromising binocular control</w:t>
      </w:r>
    </w:p>
    <w:p>
      <w:pPr>
        <w:pStyle w:val="ListParagraph"/>
        <w:numPr>
          <w:ilvl w:val="0"/>
          <w:numId w:val="1"/>
        </w:numPr>
        <w:spacing w:after="70" w:line="260"/>
      </w:pPr>
      <w:r>
        <w:rPr>
          <w:rFonts w:ascii="Arial" w:cs="Arial" w:eastAsia="Arial" w:hAnsi="Arial"/>
          <w:color w:val="000000"/>
        </w:rPr>
        <w:t xml:space="preserve">p29c0: using the minimum add that permits comfortable near function while retaining some accommodative stimulus.</w:t>
      </w:r>
    </w:p>
    <w:p>
      <w:pPr>
        <w:pStyle w:val="ListParagraph"/>
        <w:numPr>
          <w:ilvl w:val="0"/>
          <w:numId w:val="1"/>
        </w:numPr>
        <w:spacing w:after="70" w:line="260"/>
      </w:pPr>
      <w:r>
        <w:rPr>
          <w:rFonts w:ascii="Arial" w:cs="Arial" w:eastAsia="Arial" w:hAnsi="Arial"/>
          <w:color w:val="000000"/>
        </w:rPr>
        <w:t xml:space="preserve">p39c0: Prescribe the smallest add that produces a meaningful functional improvement</w:t>
      </w:r>
    </w:p>
    <w:p>
      <w:pPr>
        <w:pStyle w:val="ListParagraph"/>
        <w:numPr>
          <w:ilvl w:val="0"/>
          <w:numId w:val="1"/>
        </w:numPr>
        <w:spacing w:after="70" w:line="260"/>
      </w:pPr>
      <w:r>
        <w:rPr>
          <w:rFonts w:ascii="Arial" w:cs="Arial" w:eastAsia="Arial" w:hAnsi="Arial"/>
          <w:color w:val="000000"/>
        </w:rPr>
        <w:t xml:space="preserve">p33c0: Near exo increases from 8 BI to 14 BI</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A. +0.50 D fails to produce any meaningful functional improvement in reading fluency or near symptom relief.</w:t>
      </w:r>
    </w:p>
    <w:p>
      <w:pPr>
        <w:pStyle w:val="ListParagraph"/>
        <w:numPr>
          <w:ilvl w:val="0"/>
          <w:numId w:val="1"/>
        </w:numPr>
        <w:spacing w:after="70" w:line="260"/>
      </w:pPr>
      <w:r>
        <w:rPr>
          <w:rFonts w:ascii="Arial" w:cs="Arial" w:eastAsia="Arial" w:hAnsi="Arial"/>
          <w:color w:val="000000"/>
        </w:rPr>
        <w:t xml:space="preserve">C. +1.75 D causes near exophoria to increase from 8 BI to 14 BI, compromising binocular control despite improving reading fluency.</w:t>
      </w:r>
    </w:p>
    <w:p>
      <w:pPr>
        <w:pStyle w:val="ListParagraph"/>
        <w:numPr>
          <w:ilvl w:val="0"/>
          <w:numId w:val="1"/>
        </w:numPr>
        <w:spacing w:after="70" w:line="260"/>
      </w:pPr>
      <w:r>
        <w:rPr>
          <w:rFonts w:ascii="Arial" w:cs="Arial" w:eastAsia="Arial" w:hAnsi="Arial"/>
          <w:color w:val="000000"/>
        </w:rPr>
        <w:t xml:space="preserve">D. +2.00 D exceeds the minimum add necessary for comfortable near function when a lower power already achieves the functional goal while retaining accommodative stimulus.</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0.90.</w:t>
      </w:r>
    </w:p>
    <w:p>
      <w:pPr>
        <w:spacing w:after="220"/>
      </w:pPr>
    </w:p>
    <w:p>
      <w:pPr>
        <w:pStyle w:val="Heading3"/>
        <w:keepNext/>
        <w:spacing w:after="100" w:before="220"/>
      </w:pPr>
      <w:r>
        <w:t xml:space="preserve">Response 4</w:t>
      </w:r>
    </w:p>
    <w:p>
      <w:pPr>
        <w:keepNext/>
        <w:spacing w:after="90" w:line="240"/>
      </w:pPr>
      <w:r>
        <w:rPr>
          <w:rFonts w:ascii="Arial" w:cs="Arial" w:eastAsia="Arial" w:hAnsi="Arial"/>
          <w:b/>
          <w:bCs/>
          <w:color w:val="000000"/>
        </w:rPr>
        <w:t xml:space="preserve">Response 4  </w:t>
      </w:r>
      <w:r>
        <w:rPr>
          <w:rFonts w:ascii="Arial" w:cs="Arial" w:eastAsia="Arial" w:hAnsi="Arial"/>
          <w:b/>
          <w:bCs/>
          <w:color w:val="1F6D3D"/>
        </w:rPr>
        <w:t xml:space="preserve">Pass  </w:t>
      </w:r>
      <w:r>
        <w:rPr>
          <w:rFonts w:ascii="Arial" w:cs="Arial" w:eastAsia="Arial" w:hAnsi="Arial"/>
          <w:color w:val="5B6573"/>
        </w:rPr>
        <w:t xml:space="preserve">Case af3c991e-q1  learn  </w:t>
      </w:r>
      <w:r>
        <w:rPr>
          <w:rFonts w:ascii="Arial" w:cs="Arial" w:eastAsia="Arial" w:hAnsi="Arial"/>
          <w:color w:val="5B6573"/>
        </w:rPr>
        <w:t xml:space="preserve">Score 0.98  Latency 7.2s  Cost $0.012950</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Identify the typical origin and appearance of cholesterol emboli.</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Which description accurately characterizes the typical vascular origin and retinal appearance of a cholesterol embolus?</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Arises from carotid artery disease and appears highly reflective, glistening, and yellow-copper</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Arises from valvular cardiac disease and appears large, round or ovoid, and chalk-like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Arises from carotid artery atheromatous plaque and appears dull, elongated, and highly mobile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Arises from valvular cardiac disease and appears highly reflective, glistening, and yellow-copper</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Retinal cholesterol emboli (Hollenhorst plaques) typically originate from carotid artery disease following the ulceration of an atheromatous lesion. Clinically, they are characterized by a highly reflective, glistening, yellow-copper appearance and tend to lodge at arterial bifurcations. In contrast, emboli from valvular cardiac disease are typically calcific and present as large, round or ovoid, chalk-like opacities. Emboli that appear dull, elongated, and highly mobile are fibrin-platelet aggregates rather than cholesterol.</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Concept Identification</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p10c0: From carotid artery disease (ulceration of an atheromatous lesion)</w:t>
      </w:r>
    </w:p>
    <w:p>
      <w:pPr>
        <w:pStyle w:val="ListParagraph"/>
        <w:numPr>
          <w:ilvl w:val="0"/>
          <w:numId w:val="1"/>
        </w:numPr>
        <w:spacing w:after="70" w:line="260"/>
      </w:pPr>
      <w:r>
        <w:rPr>
          <w:rFonts w:ascii="Arial" w:cs="Arial" w:eastAsia="Arial" w:hAnsi="Arial"/>
          <w:color w:val="000000"/>
        </w:rPr>
        <w:t xml:space="preserve">p10c0: Highly reflective, glistening, yellow-copper</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Valvular cardiac disease is the typical source of calcific emboli, which characteristically present with a large, chalk-like appearance rather than a cholesterol composition.</w:t>
      </w:r>
    </w:p>
    <w:p>
      <w:pPr>
        <w:pStyle w:val="ListParagraph"/>
        <w:numPr>
          <w:ilvl w:val="0"/>
          <w:numId w:val="1"/>
        </w:numPr>
        <w:spacing w:after="70" w:line="260"/>
      </w:pPr>
      <w:r>
        <w:rPr>
          <w:rFonts w:ascii="Arial" w:cs="Arial" w:eastAsia="Arial" w:hAnsi="Arial"/>
          <w:color w:val="000000"/>
        </w:rPr>
        <w:t xml:space="preserve">C. A dull, elongated, and highly mobile appearance characterizes a fibrin-platelet embolus rather than a cholesterol embolus.</w:t>
      </w:r>
    </w:p>
    <w:p>
      <w:pPr>
        <w:pStyle w:val="ListParagraph"/>
        <w:numPr>
          <w:ilvl w:val="0"/>
          <w:numId w:val="1"/>
        </w:numPr>
        <w:spacing w:after="70" w:line="260"/>
      </w:pPr>
      <w:r>
        <w:rPr>
          <w:rFonts w:ascii="Arial" w:cs="Arial" w:eastAsia="Arial" w:hAnsi="Arial"/>
          <w:color w:val="000000"/>
        </w:rPr>
        <w:t xml:space="preserve">D. Although the reflective yellow-copper appearance accurately describes cholesterol emboli, their typical origin is carotid artery atheromatous disease rather than valvular cardiac disease.</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0.98.</w:t>
      </w:r>
    </w:p>
    <w:p>
      <w:pPr>
        <w:spacing w:after="220"/>
      </w:pPr>
    </w:p>
    <w:p>
      <w:pPr>
        <w:pStyle w:val="Heading3"/>
        <w:keepNext/>
        <w:spacing w:after="100" w:before="220"/>
      </w:pPr>
      <w:r>
        <w:t xml:space="preserve">Response 5</w:t>
      </w:r>
    </w:p>
    <w:p>
      <w:pPr>
        <w:keepNext/>
        <w:spacing w:after="90" w:line="240"/>
      </w:pPr>
      <w:r>
        <w:rPr>
          <w:rFonts w:ascii="Arial" w:cs="Arial" w:eastAsia="Arial" w:hAnsi="Arial"/>
          <w:b/>
          <w:bCs/>
          <w:color w:val="000000"/>
        </w:rPr>
        <w:t xml:space="preserve">Response 5  </w:t>
      </w:r>
      <w:r>
        <w:rPr>
          <w:rFonts w:ascii="Arial" w:cs="Arial" w:eastAsia="Arial" w:hAnsi="Arial"/>
          <w:b/>
          <w:bCs/>
          <w:color w:val="1F6D3D"/>
        </w:rPr>
        <w:t xml:space="preserve">Pass  </w:t>
      </w:r>
      <w:r>
        <w:rPr>
          <w:rFonts w:ascii="Arial" w:cs="Arial" w:eastAsia="Arial" w:hAnsi="Arial"/>
          <w:color w:val="5B6573"/>
        </w:rPr>
        <w:t xml:space="preserve">Case af3c991e-q3  criticalThinking  </w:t>
      </w:r>
      <w:r>
        <w:rPr>
          <w:rFonts w:ascii="Arial" w:cs="Arial" w:eastAsia="Arial" w:hAnsi="Arial"/>
          <w:color w:val="5B6573"/>
        </w:rPr>
        <w:t xml:space="preserve">Score 0.96  Latency 41.9s  Cost $0.031320</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embolus appearance, obstruction severity, and likely systemic source to distinguish plausible embolic etiologies.</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patient presents with a retinal arterial occlusion. Fundus examination reveals a large, round, chalk-like embolus that causes severe arterial obstruction. Which embolus type and systemic source are most consistent with these findings?</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Calcific embolus originating from valvular cardiac disease</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Cholesterol embolus originating from carotid artery disease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Fibrin-platelet embolus originating from carotid artery disease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Calcific embolus originating from carotid artery disease</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Calcific retinal emboli are characteristically large, round or ovoid, and chalk-like in appearance, and they tend to cause severe arterial obstructions. Cardiac disease is the characteristic origin of calcific emboli, most frequently arising from valvular cardiac disease. In contrast, cholesterol emboli typically appear highly reflective, glistening, and yellow-copper, lodge at bifurcations, and generally do not produce complete obstruction. Fibrin-platelet emboli from atheromatous plaques appear dull, elongated, and highly mobile. Although carotid artery disease is a common source of retinal emboli, it produces cholesterol or fibrin-platelet emboli rather than calcific emboli.</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Integrative clinical reasoning</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p11c0: From valvular cardiac disease</w:t>
      </w:r>
    </w:p>
    <w:p>
      <w:pPr>
        <w:pStyle w:val="ListParagraph"/>
        <w:numPr>
          <w:ilvl w:val="0"/>
          <w:numId w:val="1"/>
        </w:numPr>
        <w:spacing w:after="70" w:line="260"/>
      </w:pPr>
      <w:r>
        <w:rPr>
          <w:rFonts w:ascii="Arial" w:cs="Arial" w:eastAsia="Arial" w:hAnsi="Arial"/>
          <w:color w:val="000000"/>
        </w:rPr>
        <w:t xml:space="preserve">p11c0: Large, round/ovoid</w:t>
      </w:r>
    </w:p>
    <w:p>
      <w:pPr>
        <w:pStyle w:val="ListParagraph"/>
        <w:numPr>
          <w:ilvl w:val="0"/>
          <w:numId w:val="1"/>
        </w:numPr>
        <w:spacing w:after="70" w:line="260"/>
      </w:pPr>
      <w:r>
        <w:rPr>
          <w:rFonts w:ascii="Arial" w:cs="Arial" w:eastAsia="Arial" w:hAnsi="Arial"/>
          <w:color w:val="000000"/>
        </w:rPr>
        <w:t xml:space="preserve">p11c0: Chalk-like appearance</w:t>
      </w:r>
    </w:p>
    <w:p>
      <w:pPr>
        <w:pStyle w:val="ListParagraph"/>
        <w:numPr>
          <w:ilvl w:val="0"/>
          <w:numId w:val="1"/>
        </w:numPr>
        <w:spacing w:after="70" w:line="260"/>
      </w:pPr>
      <w:r>
        <w:rPr>
          <w:rFonts w:ascii="Arial" w:cs="Arial" w:eastAsia="Arial" w:hAnsi="Arial"/>
          <w:color w:val="000000"/>
        </w:rPr>
        <w:t xml:space="preserve">p11c0: Tend to cause more severe obstructions</w:t>
      </w:r>
    </w:p>
    <w:p>
      <w:pPr>
        <w:pStyle w:val="ListParagraph"/>
        <w:numPr>
          <w:ilvl w:val="0"/>
          <w:numId w:val="1"/>
        </w:numPr>
        <w:spacing w:after="70" w:line="260"/>
      </w:pPr>
      <w:r>
        <w:rPr>
          <w:rFonts w:ascii="Arial" w:cs="Arial" w:eastAsia="Arial" w:hAnsi="Arial"/>
          <w:color w:val="000000"/>
        </w:rPr>
        <w:t xml:space="preserve">p10c0: Generally does not produce complete obstruction</w:t>
      </w:r>
    </w:p>
    <w:p>
      <w:pPr>
        <w:pStyle w:val="ListParagraph"/>
        <w:numPr>
          <w:ilvl w:val="0"/>
          <w:numId w:val="1"/>
        </w:numPr>
        <w:spacing w:after="70" w:line="260"/>
      </w:pPr>
      <w:r>
        <w:rPr>
          <w:rFonts w:ascii="Arial" w:cs="Arial" w:eastAsia="Arial" w:hAnsi="Arial"/>
          <w:color w:val="000000"/>
        </w:rPr>
        <w:t xml:space="preserve">p13c0: Cardiac emboli are usually calcific</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Cholesterol emboli from carotid artery disease are typically glistening, highly reflective, and yellow-copper rather than chalk-like, and they generally do not cause complete arterial obstruction.</w:t>
      </w:r>
    </w:p>
    <w:p>
      <w:pPr>
        <w:pStyle w:val="ListParagraph"/>
        <w:numPr>
          <w:ilvl w:val="0"/>
          <w:numId w:val="1"/>
        </w:numPr>
        <w:spacing w:after="70" w:line="260"/>
      </w:pPr>
      <w:r>
        <w:rPr>
          <w:rFonts w:ascii="Arial" w:cs="Arial" w:eastAsia="Arial" w:hAnsi="Arial"/>
          <w:color w:val="000000"/>
        </w:rPr>
        <w:t xml:space="preserve">C. Fibrin-platelet emboli from carotid atheromatous plaques are dull, elongated, and highly mobile rather than large, round, chalk-like lesions causing severe obstruction.</w:t>
      </w:r>
    </w:p>
    <w:p>
      <w:pPr>
        <w:pStyle w:val="ListParagraph"/>
        <w:numPr>
          <w:ilvl w:val="0"/>
          <w:numId w:val="1"/>
        </w:numPr>
        <w:spacing w:after="70" w:line="260"/>
      </w:pPr>
      <w:r>
        <w:rPr>
          <w:rFonts w:ascii="Arial" w:cs="Arial" w:eastAsia="Arial" w:hAnsi="Arial"/>
          <w:color w:val="000000"/>
        </w:rPr>
        <w:t xml:space="preserve">D. Although the embolus is calcific in morphology and severity, calcific retinal emboli typically originate from cardiac valvular disease rather than carotid artery disease.</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0.96.</w:t>
      </w:r>
    </w:p>
    <w:p>
      <w:pPr>
        <w:spacing w:after="220"/>
      </w:pPr>
    </w:p>
    <w:p>
      <w:pPr>
        <w:pStyle w:val="Heading3"/>
        <w:keepNext/>
        <w:spacing w:after="100" w:before="220"/>
      </w:pPr>
      <w:r>
        <w:t xml:space="preserve">Response 6</w:t>
      </w:r>
    </w:p>
    <w:p>
      <w:pPr>
        <w:keepNext/>
        <w:spacing w:after="90" w:line="240"/>
      </w:pPr>
      <w:r>
        <w:rPr>
          <w:rFonts w:ascii="Arial" w:cs="Arial" w:eastAsia="Arial" w:hAnsi="Arial"/>
          <w:b/>
          <w:bCs/>
          <w:color w:val="000000"/>
        </w:rPr>
        <w:t xml:space="preserve">Response 6  </w:t>
      </w:r>
      <w:r>
        <w:rPr>
          <w:rFonts w:ascii="Arial" w:cs="Arial" w:eastAsia="Arial" w:hAnsi="Arial"/>
          <w:b/>
          <w:bCs/>
          <w:color w:val="9C2F2F"/>
        </w:rPr>
        <w:t xml:space="preserve">Fail  </w:t>
      </w:r>
      <w:r>
        <w:rPr>
          <w:rFonts w:ascii="Arial" w:cs="Arial" w:eastAsia="Arial" w:hAnsi="Arial"/>
          <w:color w:val="5B6573"/>
        </w:rPr>
        <w:t xml:space="preserve">Case af3c991e-q2  clinical  </w:t>
      </w:r>
      <w:r>
        <w:rPr>
          <w:rFonts w:ascii="Arial" w:cs="Arial" w:eastAsia="Arial" w:hAnsi="Arial"/>
          <w:color w:val="5B6573"/>
        </w:rPr>
        <w:t xml:space="preserve">Score 0.68  Latency 49.6s  Cost $0.034250</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Distinguish calcific and fibrin-platelet emboli using appearance and likely source.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patient undergoes funduscopic evaluation following a sudden retinal arterial occlusion. When evaluating whether the obstruction is caused by a calcific embolus or a fibrin-platelet embolus, which features correctly distinguish their typical physical appearance and likely anatomical origin?</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Calcific emboli are typically large, round or ovoid, and chalk-like, originating from valvular cardiac disease; fibrin-platelet emboli are dull and elongated, originating from carotid atheromatous plaque.</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Calcific emboli are typically dull and elongated, originating from valvular cardiac disease; fibrin-platelet emboli are large, round or ovoid, and chalk-like, originating from carotid atheromatous plaque.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Calcific emboli are typically large, round or ovoid, and chalk-like, originating from carotid atheromatous plaque; fibrin-platelet emboli are dull and elongated, originating from valvular cardiac disease.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Calcific emboli are typically dull and elongated, originating from carotid atheromatous plaque; fibrin-platelet emboli are large, round or ovoid, and chalk-like, originating from valvular cardiac disease.</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Calcific emboli are characteristically large, round or ovoid, and chalk-like in appearance, arising primarily from valvular cardiac disease. In contrast, fibrin-platelet emboli are composed predominantly of platelet aggregates derived from atheromatous plaques (most commonly located in the carotid artery) and appear dull, elongated, and highly mobile. Misconceptions arise from transposing either the visual morphology or the anatomical origins of these two embolus types. A dull and elongated shape corresponds to platelet aggregation rather than calcified cardiac valves, whereas a chalk-like, round or ovoid configuration indicates calcified valvular origin rather than carotid atheroma.</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Comparative analysis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p11c0: Calcific
- From valvular cardiac disease
- Large, round/ovoid
- Chalk-like appearance</w:t>
      </w:r>
    </w:p>
    <w:p>
      <w:pPr>
        <w:pStyle w:val="ListParagraph"/>
        <w:numPr>
          <w:ilvl w:val="0"/>
          <w:numId w:val="1"/>
        </w:numPr>
        <w:spacing w:after="70" w:line="260"/>
      </w:pPr>
      <w:r>
        <w:rPr>
          <w:rFonts w:ascii="Arial" w:cs="Arial" w:eastAsia="Arial" w:hAnsi="Arial"/>
          <w:color w:val="000000"/>
        </w:rPr>
        <w:t xml:space="preserve">p11c0: Fibrin-platelet
- Composed predominantly of platelet aggregates from atheromatous plaque (usually located in the carotid)
- Dull and elongated</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This choice incorrectly swaps the morphological appearances of the two embolus types, attributing the dull, elongated appearance to a calcific embolus and the chalk-like, round or ovoid appearance to a fibrin-platelet embolus.</w:t>
      </w:r>
    </w:p>
    <w:p>
      <w:pPr>
        <w:pStyle w:val="ListParagraph"/>
        <w:numPr>
          <w:ilvl w:val="0"/>
          <w:numId w:val="1"/>
        </w:numPr>
        <w:spacing w:after="70" w:line="260"/>
      </w:pPr>
      <w:r>
        <w:rPr>
          <w:rFonts w:ascii="Arial" w:cs="Arial" w:eastAsia="Arial" w:hAnsi="Arial"/>
          <w:color w:val="000000"/>
        </w:rPr>
        <w:t xml:space="preserve">C. This choice incorrectly swaps the anatomical origins of the two emboli, attributing carotid atheromatous plaque to calcific emboli and valvular cardiac disease to fibrin-platelet emboli.</w:t>
      </w:r>
    </w:p>
    <w:p>
      <w:pPr>
        <w:pStyle w:val="ListParagraph"/>
        <w:numPr>
          <w:ilvl w:val="0"/>
          <w:numId w:val="1"/>
        </w:numPr>
        <w:spacing w:after="70" w:line="260"/>
      </w:pPr>
      <w:r>
        <w:rPr>
          <w:rFonts w:ascii="Arial" w:cs="Arial" w:eastAsia="Arial" w:hAnsi="Arial"/>
          <w:color w:val="000000"/>
        </w:rPr>
        <w:t xml:space="preserve">D. This choice reverses both the physical appearances and the anatomical origins of calcific and fibrin-platelet emboli.</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0.68 is below the minimum 0.7. The judge wrote: The content, key, evidence, and rationale are source-grounded and unambiguous, with parallel non-overlapping options. However, despite being labeled clinical, the stem only asks for recalled comparative facts and provides no patient-specific findings requiring application of the evidence to a scenario; the retinal occlusion framing is non-discriminating.</w:t>
      </w:r>
    </w:p>
    <w:p>
      <w:pPr>
        <w:spacing w:after="220"/>
      </w:pPr>
    </w:p>
    <w:p>
      <w:pPr>
        <w:pStyle w:val="Heading3"/>
        <w:keepNext/>
        <w:spacing w:after="100" w:before="220"/>
      </w:pPr>
      <w:r>
        <w:t xml:space="preserve">Response 7</w:t>
      </w:r>
    </w:p>
    <w:p>
      <w:pPr>
        <w:keepNext/>
        <w:spacing w:after="90" w:line="240"/>
      </w:pPr>
      <w:r>
        <w:rPr>
          <w:rFonts w:ascii="Arial" w:cs="Arial" w:eastAsia="Arial" w:hAnsi="Arial"/>
          <w:b/>
          <w:bCs/>
          <w:color w:val="000000"/>
        </w:rPr>
        <w:t xml:space="preserve">Response 7  </w:t>
      </w:r>
      <w:r>
        <w:rPr>
          <w:rFonts w:ascii="Arial" w:cs="Arial" w:eastAsia="Arial" w:hAnsi="Arial"/>
          <w:b/>
          <w:bCs/>
          <w:color w:val="9C2F2F"/>
        </w:rPr>
        <w:t xml:space="preserve">Fail  </w:t>
      </w:r>
      <w:r>
        <w:rPr>
          <w:rFonts w:ascii="Arial" w:cs="Arial" w:eastAsia="Arial" w:hAnsi="Arial"/>
          <w:color w:val="5B6573"/>
        </w:rPr>
        <w:t xml:space="preserve">Case dc00ab51-q2  clinical  </w:t>
      </w:r>
      <w:r>
        <w:rPr>
          <w:rFonts w:ascii="Arial" w:cs="Arial" w:eastAsia="Arial" w:hAnsi="Arial"/>
          <w:color w:val="5B6573"/>
        </w:rPr>
        <w:t xml:space="preserve">Score 0.72  Latency 20.6s  Cost $0.015050</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Apply the collaborative care rationale of multispecialty group practice to a new example.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medical group brings multiple physician specialists together into a unified clinic facility to co-manage patients with complex conditions. Which expected outcome best reflects the collaborative care rationale for adopting this multispecialty group practice model?</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Improving the quality of care through formal and informal peer review and continuing education as colleagues share patient responsibility</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Preserving an intimate patient-physician relationship with single-physician accountability typical of solo practice settings</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Directing preventative clinical initiatives through a governing board composed of local community members</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Maintaining independent clinical workflows supported by traditional fee-for-service reimbursement</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Multispecialty group practice formally integrates diverse specialists into a single clinic structure to foster a collaborative style of care. Under this structure, colleagues work together and share responsibility for patient welfare, which is expected to enhance care quality by expanding opportunities for both formal and informal peer review as well as continuous medical education. In contrast, maintaining intimate patient-physician bonds and clear single-physician accountability is a feature of solo or small group practices that critics warned large group practices would jeopardize. Governance by community members is a defining feature of community health centers rather than multispecialty group practices. Independent clinical operations funded through fee-for-service reimbursement represent the traditional structure of medical care rather than an integrated collaborative model.</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Application</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p5c0: By formally integrating specialists into a single clinic structure, group practice attempted to promote a collaborative style of care.</w:t>
      </w:r>
    </w:p>
    <w:p>
      <w:pPr>
        <w:pStyle w:val="ListParagraph"/>
        <w:numPr>
          <w:ilvl w:val="0"/>
          <w:numId w:val="1"/>
        </w:numPr>
        <w:spacing w:after="70" w:line="260"/>
      </w:pPr>
      <w:r>
        <w:rPr>
          <w:rFonts w:ascii="Arial" w:cs="Arial" w:eastAsia="Arial" w:hAnsi="Arial"/>
          <w:color w:val="000000"/>
        </w:rPr>
        <w:t xml:space="preserve">p5c0: Enhancement of quality of care was expected from the greater opportunity for formal and informal peer review and continuing education when colleagues worked together and shared responsibility for the care of patients.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Reflects the attributes of solo or small group settings, which critics cautioned would be compromised rather than fostered in large group practices.</w:t>
      </w:r>
    </w:p>
    <w:p>
      <w:pPr>
        <w:pStyle w:val="ListParagraph"/>
        <w:numPr>
          <w:ilvl w:val="0"/>
          <w:numId w:val="1"/>
        </w:numPr>
        <w:spacing w:after="70" w:line="260"/>
      </w:pPr>
      <w:r>
        <w:rPr>
          <w:rFonts w:ascii="Arial" w:cs="Arial" w:eastAsia="Arial" w:hAnsi="Arial"/>
          <w:color w:val="000000"/>
        </w:rPr>
        <w:t xml:space="preserve">C. Describes the organizational and governance structure of community health centers rather than multispecialty group practices.</w:t>
      </w:r>
    </w:p>
    <w:p>
      <w:pPr>
        <w:pStyle w:val="ListParagraph"/>
        <w:numPr>
          <w:ilvl w:val="0"/>
          <w:numId w:val="1"/>
        </w:numPr>
        <w:spacing w:after="70" w:line="260"/>
      </w:pPr>
      <w:r>
        <w:rPr>
          <w:rFonts w:ascii="Arial" w:cs="Arial" w:eastAsia="Arial" w:hAnsi="Arial"/>
          <w:color w:val="000000"/>
        </w:rPr>
        <w:t xml:space="preserve">D. Pertains to the traditional fee-for-service solo medical care structure rather than an integrated group practice model.</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Its score 0.72 is at or above the minimum 0.7, so the minimum is not what rejected this run. A passing score under a failing verdict usually means the rubric and the score are measuring different things. The judge wrote: The correct answer is clearly supported and the scenario fits application, but the fourth distractor and rationale add the unsupported claim of "independent clinical workflows." The evidence establishes fee-for-service solo/small-group delivery, not that such workflows were independent. This violates the requirement to use only supplied evidence.</w:t>
      </w:r>
    </w:p>
    <w:p>
      <w:pPr>
        <w:spacing w:after="220"/>
      </w:pPr>
    </w:p>
    <w:p>
      <w:pPr>
        <w:pStyle w:val="Heading3"/>
        <w:keepNext/>
        <w:spacing w:after="100" w:before="220"/>
      </w:pPr>
      <w:r>
        <w:t xml:space="preserve">Response 8</w:t>
      </w:r>
    </w:p>
    <w:p>
      <w:pPr>
        <w:keepNext/>
        <w:spacing w:after="90" w:line="240"/>
      </w:pPr>
      <w:r>
        <w:rPr>
          <w:rFonts w:ascii="Arial" w:cs="Arial" w:eastAsia="Arial" w:hAnsi="Arial"/>
          <w:b/>
          <w:bCs/>
          <w:color w:val="000000"/>
        </w:rPr>
        <w:t xml:space="preserve">Response 8  </w:t>
      </w:r>
      <w:r>
        <w:rPr>
          <w:rFonts w:ascii="Arial" w:cs="Arial" w:eastAsia="Arial" w:hAnsi="Arial"/>
          <w:b/>
          <w:bCs/>
          <w:color w:val="9C2F2F"/>
        </w:rPr>
        <w:t xml:space="preserve">Fail  </w:t>
      </w:r>
      <w:r>
        <w:rPr>
          <w:rFonts w:ascii="Arial" w:cs="Arial" w:eastAsia="Arial" w:hAnsi="Arial"/>
          <w:color w:val="5B6573"/>
        </w:rPr>
        <w:t xml:space="preserve">Case dc00ab51-q3  criticalThinking  </w:t>
      </w:r>
      <w:r>
        <w:rPr>
          <w:rFonts w:ascii="Arial" w:cs="Arial" w:eastAsia="Arial" w:hAnsi="Arial"/>
          <w:color w:val="5B6573"/>
        </w:rPr>
        <w:t xml:space="preserve">Score 0.28  Latency 25.2s  Cost $0.018020</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community governance and public health activities to distinguish a community health center from a traditional private group practice.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How does a community health center differ in its governance and approach to care delivery from a traditional private group practice?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It institutes governance by community members and melds clinical services with public health activities.</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It relies on governance by integrated medical specialists and restricts services to collaborative clinic-based care.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It operates under governance by private hospital trustees and focuses exclusively on laboratory-oriented specialty services.</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It maintains governance by fee-for-service physician owners and separates clinical treatment from community outreach.</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Community health centers are defined by having governance by community members and a mandate to take responsibility for the overall health of the community by melding clinical services with public health activities, preventative care, and community outreach. In contrast, traditional private medical practices are led by fee-for-service physicians or formally integrated medical specialists whose organization focuses on collaborative clinical consultations rather than citizen governance or public health integration. Thinking that community health centers are governed by specialist physicians or private hospital trustees confuses them with multispecialty group clinics and private hospital institutions, which emphasize specialty services and physician peer review rather than community-led public health.</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Comparative analysis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p6c0: Governance by community members</w:t>
      </w:r>
    </w:p>
    <w:p>
      <w:pPr>
        <w:pStyle w:val="ListParagraph"/>
        <w:numPr>
          <w:ilvl w:val="0"/>
          <w:numId w:val="1"/>
        </w:numPr>
        <w:spacing w:after="70" w:line="260"/>
      </w:pPr>
      <w:r>
        <w:rPr>
          <w:rFonts w:ascii="Arial" w:cs="Arial" w:eastAsia="Arial" w:hAnsi="Arial"/>
          <w:color w:val="000000"/>
        </w:rPr>
        <w:t xml:space="preserve">p6c0: Meld clinical services with public health activities</w:t>
      </w:r>
    </w:p>
    <w:p>
      <w:pPr>
        <w:pStyle w:val="ListParagraph"/>
        <w:numPr>
          <w:ilvl w:val="0"/>
          <w:numId w:val="1"/>
        </w:numPr>
        <w:spacing w:after="70" w:line="260"/>
      </w:pPr>
      <w:r>
        <w:rPr>
          <w:rFonts w:ascii="Arial" w:cs="Arial" w:eastAsia="Arial" w:hAnsi="Arial"/>
          <w:color w:val="000000"/>
        </w:rPr>
        <w:t xml:space="preserve">p2c0: fee-for-service private physicians in solo or small group practices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Integrated specialists promoting collaborative peer care characterizes multispecialty group practices, not community-governed centers melding public health activities.</w:t>
      </w:r>
    </w:p>
    <w:p>
      <w:pPr>
        <w:pStyle w:val="ListParagraph"/>
        <w:numPr>
          <w:ilvl w:val="0"/>
          <w:numId w:val="1"/>
        </w:numPr>
        <w:spacing w:after="70" w:line="260"/>
      </w:pPr>
      <w:r>
        <w:rPr>
          <w:rFonts w:ascii="Arial" w:cs="Arial" w:eastAsia="Arial" w:hAnsi="Arial"/>
          <w:color w:val="000000"/>
        </w:rPr>
        <w:t xml:space="preserve">C. Oversight by private hospital boards and a focus on laboratory-oriented specialty services reflects private hospital systems rather than community health centers.</w:t>
      </w:r>
    </w:p>
    <w:p>
      <w:pPr>
        <w:pStyle w:val="ListParagraph"/>
        <w:numPr>
          <w:ilvl w:val="0"/>
          <w:numId w:val="1"/>
        </w:numPr>
        <w:spacing w:after="70" w:line="260"/>
      </w:pPr>
      <w:r>
        <w:rPr>
          <w:rFonts w:ascii="Arial" w:cs="Arial" w:eastAsia="Arial" w:hAnsi="Arial"/>
          <w:color w:val="000000"/>
        </w:rPr>
        <w:t xml:space="preserve">D. Governance by fee-for-service physician owners who focus solely on clinical treatments reflects traditional private medical practices that lack community governance and integrated public health activities.</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0.28 is below the minimum 0.7. The judge wrote: Although the keyed option correctly combines community-member governance with public-health integration, multiple distractors and the rationale add unsupported claims (for example, specialist or trustee governance, exclusive specialty services, physician ownership, and restricting/separating services). These distractors are also not consistently plausible or source-grounded, so the question does not meet the required source-only and quality standards.</w:t>
      </w:r>
    </w:p>
    <w:p>
      <w:pPr>
        <w:spacing w:after="220"/>
      </w:pPr>
    </w:p>
    <w:p>
      <w:pPr>
        <w:pStyle w:val="Heading3"/>
        <w:keepNext/>
        <w:spacing w:after="100" w:before="220"/>
      </w:pPr>
      <w:r>
        <w:t xml:space="preserve">Response 9</w:t>
      </w:r>
    </w:p>
    <w:p>
      <w:pPr>
        <w:keepNext/>
        <w:spacing w:after="90" w:line="240"/>
      </w:pPr>
      <w:r>
        <w:rPr>
          <w:rFonts w:ascii="Arial" w:cs="Arial" w:eastAsia="Arial" w:hAnsi="Arial"/>
          <w:b/>
          <w:bCs/>
          <w:color w:val="000000"/>
        </w:rPr>
        <w:t xml:space="preserve">Response 9  </w:t>
      </w:r>
      <w:r>
        <w:rPr>
          <w:rFonts w:ascii="Arial" w:cs="Arial" w:eastAsia="Arial" w:hAnsi="Arial"/>
          <w:b/>
          <w:bCs/>
          <w:color w:val="1F6D3D"/>
        </w:rPr>
        <w:t xml:space="preserve">Pass  </w:t>
      </w:r>
      <w:r>
        <w:rPr>
          <w:rFonts w:ascii="Arial" w:cs="Arial" w:eastAsia="Arial" w:hAnsi="Arial"/>
          <w:color w:val="5B6573"/>
        </w:rPr>
        <w:t xml:space="preserve">Case dc00ab51-q1  learn  </w:t>
      </w:r>
      <w:r>
        <w:rPr>
          <w:rFonts w:ascii="Arial" w:cs="Arial" w:eastAsia="Arial" w:hAnsi="Arial"/>
          <w:color w:val="5B6573"/>
        </w:rPr>
        <w:t xml:space="preserve">Score not logged  Latency 27.4s  Cost $0.039280</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Identify the traditional organizational structure of medical care.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Historically, what was the traditional organizational structure of medical care delivery?</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Fee-for-service private physicians practicing solo or in small groups</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Multispecialty group practices formally integrating clinical specialists</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Community health centers governed by multidisciplinary boards</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Public hospital systems directly employing outpatient primary care physicians</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Traditionally, medical care was predominantly delivered by fee-for-service private physicians operating in solo or small group practices, alongside private nonprofit hospitals. Alternative organizational models emerged to address different needs: multispecialty group practices integrated various specialists into a single clinic structure to foster collaborative care, and community health centers were established to combine primary care with public health activities under community governance. Outpatient care was not traditionally organized around public hospital systems directly employing physicians.</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Recall and distinguish the traditional organizational model of medical care from alternative organizational structures.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p2c0: Most medical care was delivered by fee-for-service private physicians in solo or small group practices.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Multispecialty group clinics were established as integrated models to promote collaboration and peer review among specialists, rather than representing the traditional baseline structure of care.</w:t>
      </w:r>
    </w:p>
    <w:p>
      <w:pPr>
        <w:pStyle w:val="ListParagraph"/>
        <w:numPr>
          <w:ilvl w:val="0"/>
          <w:numId w:val="1"/>
        </w:numPr>
        <w:spacing w:after="70" w:line="260"/>
      </w:pPr>
      <w:r>
        <w:rPr>
          <w:rFonts w:ascii="Arial" w:cs="Arial" w:eastAsia="Arial" w:hAnsi="Arial"/>
          <w:color w:val="000000"/>
        </w:rPr>
        <w:t xml:space="preserve">C. Community health centers were created to merge comprehensive primary care with community governance and public health outreach, not as the traditional structure.</w:t>
      </w:r>
    </w:p>
    <w:p>
      <w:pPr>
        <w:pStyle w:val="ListParagraph"/>
        <w:numPr>
          <w:ilvl w:val="0"/>
          <w:numId w:val="1"/>
        </w:numPr>
        <w:spacing w:after="70" w:line="260"/>
      </w:pPr>
      <w:r>
        <w:rPr>
          <w:rFonts w:ascii="Arial" w:cs="Arial" w:eastAsia="Arial" w:hAnsi="Arial"/>
          <w:color w:val="000000"/>
        </w:rPr>
        <w:t xml:space="preserve">D. Public hospital networks employing outpatient practitioners misidentifies the traditional model, which was characterized by private nonprofit hospitals and private independent practitioners.</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the run log did not retain a numeric judge score.</w:t>
      </w:r>
    </w:p>
    <w:p>
      <w:pPr>
        <w:spacing w:after="220"/>
      </w:pPr>
    </w:p>
    <w:p>
      <w:r>
        <w:br w:type="page"/>
      </w:r>
    </w:p>
    <w:p>
      <w:pPr>
        <w:pStyle w:val="Heading1"/>
        <w:keepNext/>
        <w:spacing w:after="140" w:before="300"/>
      </w:pPr>
      <w:r>
        <w:t xml:space="preserve">DeepSeek V4.1 Flash individual responses</w:t>
      </w:r>
    </w:p>
    <w:p>
      <w:pPr>
        <w:spacing w:after="120" w:line="276"/>
      </w:pPr>
      <w:r>
        <w:rPr>
          <w:rFonts w:ascii="Arial" w:cs="Arial" w:eastAsia="Arial" w:hAnsi="Arial"/>
          <w:color w:val="000000"/>
        </w:rPr>
        <w:t xml:space="preserve">9 responses  3 strict passes  8 response bodies retained</w:t>
      </w:r>
    </w:p>
    <w:p>
      <w:pPr>
        <w:pStyle w:val="Heading3"/>
        <w:keepNext/>
        <w:spacing w:after="100" w:before="220"/>
      </w:pPr>
      <w:r>
        <w:t xml:space="preserve">Response 1</w:t>
      </w:r>
    </w:p>
    <w:p>
      <w:pPr>
        <w:keepNext/>
        <w:spacing w:after="90" w:line="240"/>
      </w:pPr>
      <w:r>
        <w:rPr>
          <w:rFonts w:ascii="Arial" w:cs="Arial" w:eastAsia="Arial" w:hAnsi="Arial"/>
          <w:b/>
          <w:bCs/>
          <w:color w:val="000000"/>
        </w:rPr>
        <w:t xml:space="preserve">Response 1  </w:t>
      </w:r>
      <w:r>
        <w:rPr>
          <w:rFonts w:ascii="Arial" w:cs="Arial" w:eastAsia="Arial" w:hAnsi="Arial"/>
          <w:b/>
          <w:bCs/>
          <w:color w:val="1F6D3D"/>
        </w:rPr>
        <w:t xml:space="preserve">Pass  </w:t>
      </w:r>
      <w:r>
        <w:rPr>
          <w:rFonts w:ascii="Arial" w:cs="Arial" w:eastAsia="Arial" w:hAnsi="Arial"/>
          <w:color w:val="5B6573"/>
        </w:rPr>
        <w:t xml:space="preserve">Case case assignment not retained  </w:t>
      </w:r>
      <w:r>
        <w:rPr>
          <w:rFonts w:ascii="Arial" w:cs="Arial" w:eastAsia="Arial" w:hAnsi="Arial"/>
          <w:color w:val="5B6573"/>
        </w:rPr>
        <w:t xml:space="preserve">Score not logged  Latency 19.5s  Cost $0.000311</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the run log did not retain a numeric judge score.</w:t>
      </w:r>
    </w:p>
    <w:p>
      <w:pPr>
        <w:spacing w:after="220"/>
      </w:pPr>
    </w:p>
    <w:p>
      <w:pPr>
        <w:pStyle w:val="Heading3"/>
        <w:keepNext/>
        <w:spacing w:after="100" w:before="220"/>
      </w:pPr>
      <w:r>
        <w:t xml:space="preserve">Response 2</w:t>
      </w:r>
    </w:p>
    <w:p>
      <w:pPr>
        <w:keepNext/>
        <w:spacing w:after="90" w:line="240"/>
      </w:pPr>
      <w:r>
        <w:rPr>
          <w:rFonts w:ascii="Arial" w:cs="Arial" w:eastAsia="Arial" w:hAnsi="Arial"/>
          <w:b/>
          <w:bCs/>
          <w:color w:val="000000"/>
        </w:rPr>
        <w:t xml:space="preserve">Response 2  </w:t>
      </w:r>
      <w:r>
        <w:rPr>
          <w:rFonts w:ascii="Arial" w:cs="Arial" w:eastAsia="Arial" w:hAnsi="Arial"/>
          <w:b/>
          <w:bCs/>
          <w:color w:val="9C2F2F"/>
        </w:rPr>
        <w:t xml:space="preserve">Fail  </w:t>
      </w:r>
      <w:r>
        <w:rPr>
          <w:rFonts w:ascii="Arial" w:cs="Arial" w:eastAsia="Arial" w:hAnsi="Arial"/>
          <w:color w:val="5B6573"/>
        </w:rPr>
        <w:t xml:space="preserve">Case 85bef31d-q2  clinical  </w:t>
      </w:r>
      <w:r>
        <w:rPr>
          <w:rFonts w:ascii="Arial" w:cs="Arial" w:eastAsia="Arial" w:hAnsi="Arial"/>
          <w:color w:val="5B6573"/>
        </w:rPr>
        <w:t xml:space="preserve">Score 0.32  Latency 45.6s  Cost $0.001276</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3. Therapeutic Spectacle Prescribing I bb.pdf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Apply minimum effective plus prescribing to a new functional testing example.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9-year-old reports blur and fatigue with near reading. Book retinoscopy measures +1.25 DS. A trial of +1.25 DS improves reading fluency, but the near phoria shifts from 6 BI to 16 BI. Retesting with +0.50 DS still improves reading fluency and leaves the near phoria at 8 BI. Which prescribing approach is most consistent with minimum effective plus?</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Prescribe +0.50 DS, the smallest add that produces a meaningful functional improvement while keeping binocular control acceptable</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Prescribe +1.25 DS because it gave the greatest improvement in reading fluency</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Prescribe +2.00 DS because a larger add is expected to be more effective for near function</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Do not prescribe any plus, since improving reading fluency does not justify a therapeutic add</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Minimum effective plus means selecting the smallest add that yields a meaningful functional improvement while preserving acceptable binocular control. Here +0.50 DS improves reading fluency and keeps the near phoria within acceptable limits, whereas +1.25 DS produces a near exo shift that signals compromised binocular control — the functional gain does not justify destabilizing the near posture. The correct concept is titrating to the minimum effective add and confirming with functional probe testing. Prescribing the largest effective add ignores the binocular cost; pursuing an even larger add contradicts evidence that a smaller add can outperform a larger one for certain accommodative-insufficiency outcomes; and withholding plus entirely ignores the documented functional improvement that justifies therapeutic prescribing.</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Applying minimum effective plus by titrating to the smallest add that produces a meaningful functional improvement while confirming binocular control with functional probe testing.</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p39c0: Prescribe the smallest add that produces a meaningful functional improvement</w:t>
      </w:r>
    </w:p>
    <w:p>
      <w:pPr>
        <w:pStyle w:val="ListParagraph"/>
        <w:numPr>
          <w:ilvl w:val="0"/>
          <w:numId w:val="1"/>
        </w:numPr>
        <w:spacing w:after="70" w:line="260"/>
      </w:pPr>
      <w:r>
        <w:rPr>
          <w:rFonts w:ascii="Arial" w:cs="Arial" w:eastAsia="Arial" w:hAnsi="Arial"/>
          <w:color w:val="000000"/>
        </w:rPr>
        <w:t xml:space="preserve">p39c0: Maintain acceptable binocular control</w:t>
      </w:r>
    </w:p>
    <w:p>
      <w:pPr>
        <w:pStyle w:val="ListParagraph"/>
        <w:numPr>
          <w:ilvl w:val="0"/>
          <w:numId w:val="1"/>
        </w:numPr>
        <w:spacing w:after="70" w:line="260"/>
      </w:pPr>
      <w:r>
        <w:rPr>
          <w:rFonts w:ascii="Arial" w:cs="Arial" w:eastAsia="Arial" w:hAnsi="Arial"/>
          <w:color w:val="000000"/>
        </w:rPr>
        <w:t xml:space="preserve">p33c0: Near exo increases from 8 BI to 14 BI</w:t>
      </w:r>
    </w:p>
    <w:p>
      <w:pPr>
        <w:pStyle w:val="ListParagraph"/>
        <w:numPr>
          <w:ilvl w:val="0"/>
          <w:numId w:val="1"/>
        </w:numPr>
        <w:spacing w:after="70" w:line="260"/>
      </w:pPr>
      <w:r>
        <w:rPr>
          <w:rFonts w:ascii="Arial" w:cs="Arial" w:eastAsia="Arial" w:hAnsi="Arial"/>
          <w:color w:val="000000"/>
        </w:rPr>
        <w:t xml:space="preserve">p29c0: the minimum add that permits comfortable near function while retaining some accommodative stimulus</w:t>
      </w:r>
    </w:p>
    <w:p>
      <w:pPr>
        <w:pStyle w:val="ListParagraph"/>
        <w:numPr>
          <w:ilvl w:val="0"/>
          <w:numId w:val="1"/>
        </w:numPr>
        <w:spacing w:after="70" w:line="260"/>
      </w:pPr>
      <w:r>
        <w:rPr>
          <w:rFonts w:ascii="Arial" w:cs="Arial" w:eastAsia="Arial" w:hAnsi="Arial"/>
          <w:color w:val="000000"/>
        </w:rPr>
        <w:t xml:space="preserve">p32c0: Binocular control remains acceptable</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Selects the add with the greatest fluency gain but overlooks the near exo shift that indicates compromised binocular control, violating the requirement to maintain acceptable binocular control.</w:t>
      </w:r>
    </w:p>
    <w:p>
      <w:pPr>
        <w:pStyle w:val="ListParagraph"/>
        <w:numPr>
          <w:ilvl w:val="0"/>
          <w:numId w:val="1"/>
        </w:numPr>
        <w:spacing w:after="70" w:line="260"/>
      </w:pPr>
      <w:r>
        <w:rPr>
          <w:rFonts w:ascii="Arial" w:cs="Arial" w:eastAsia="Arial" w:hAnsi="Arial"/>
          <w:color w:val="000000"/>
        </w:rPr>
        <w:t xml:space="preserve">C. Assumes a larger add is inherently more effective, ignoring evidence that a smaller add performed better than +2.00 D for certain accommodative-insufficiency outcomes.</w:t>
      </w:r>
    </w:p>
    <w:p>
      <w:pPr>
        <w:pStyle w:val="ListParagraph"/>
        <w:numPr>
          <w:ilvl w:val="0"/>
          <w:numId w:val="1"/>
        </w:numPr>
        <w:spacing w:after="70" w:line="260"/>
      </w:pPr>
      <w:r>
        <w:rPr>
          <w:rFonts w:ascii="Arial" w:cs="Arial" w:eastAsia="Arial" w:hAnsi="Arial"/>
          <w:color w:val="000000"/>
        </w:rPr>
        <w:t xml:space="preserve">D. Rejects plus altogether despite a documented functional improvement, ignoring that therapeutic prescribing requires a functional reason, which the fluency gain supplies.</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0.32 is below the minimum 0.7. The judge wrote: The scenario does not establish that a near phoria of 8 BI is acceptable or that +1.25 DS produced the greatest fluency improvement; those claims make the key and rationale depend on unsupported assumptions. Option 2 also asserts an unprovided "greatest improvement," reducing distractor plausibility. Thus the question lacks a clearly source-grounded, uniquely defensible best answer.</w:t>
      </w:r>
    </w:p>
    <w:p>
      <w:pPr>
        <w:spacing w:after="220"/>
      </w:pPr>
    </w:p>
    <w:p>
      <w:pPr>
        <w:pStyle w:val="Heading3"/>
        <w:keepNext/>
        <w:spacing w:after="100" w:before="220"/>
      </w:pPr>
      <w:r>
        <w:t xml:space="preserve">Response 3</w:t>
      </w:r>
    </w:p>
    <w:p>
      <w:pPr>
        <w:keepNext/>
        <w:spacing w:after="90" w:line="240"/>
      </w:pPr>
      <w:r>
        <w:rPr>
          <w:rFonts w:ascii="Arial" w:cs="Arial" w:eastAsia="Arial" w:hAnsi="Arial"/>
          <w:b/>
          <w:bCs/>
          <w:color w:val="000000"/>
        </w:rPr>
        <w:t xml:space="preserve">Response 3  </w:t>
      </w:r>
      <w:r>
        <w:rPr>
          <w:rFonts w:ascii="Arial" w:cs="Arial" w:eastAsia="Arial" w:hAnsi="Arial"/>
          <w:b/>
          <w:bCs/>
          <w:color w:val="9C2F2F"/>
        </w:rPr>
        <w:t xml:space="preserve">Fail  </w:t>
      </w:r>
      <w:r>
        <w:rPr>
          <w:rFonts w:ascii="Arial" w:cs="Arial" w:eastAsia="Arial" w:hAnsi="Arial"/>
          <w:color w:val="5B6573"/>
        </w:rPr>
        <w:t xml:space="preserve">Case 85bef31d-q3  criticalThinking  </w:t>
      </w:r>
      <w:r>
        <w:rPr>
          <w:rFonts w:ascii="Arial" w:cs="Arial" w:eastAsia="Arial" w:hAnsi="Arial"/>
          <w:color w:val="5B6573"/>
        </w:rPr>
        <w:t xml:space="preserve">Score 0.45  Latency 84.6s  Cost $0.001513</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3. Therapeutic Spectacle Prescribing I bb.pdf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improvement in reading with acceptable binocular control when deciding whether plus is appropriate.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symptomatic near-vision patient is trial-framed with +0.75 DS after book retinoscopy, and reading fluency clearly improves with the add in place. Which additional finding is most important before deciding to prescribe it?</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Near binocular control remains acceptable while the reading improvement is present</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The add is increased until reading performance can no longer be improved further</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The add is large enough to eliminate the patient's accommodative response at near</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The patient reports that print appears noticeably larger with the add in place</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A functional reading gain is necessary but not sufficient to justify a near add. Because plus lowers accommodative demand and accommodative convergence, it also drives the phoric position toward divergence/exo, so the clinician must confirm that binocular control stays acceptable while reading improves. The defensible decision is the smallest add that yields a meaningful functional improvement while preserving binocular control; if the reading gain comes at the cost of a large exo shift, the add is not appropriate as framed. The common misconception is that any reading improvement justifies prescribing, or that a larger add (or one that removes accommodation entirely) is better; excessive plus can degrade binocular control even as fluency improves. Another misconception is that perceived magnification is the therapeutic target rather than a side effect of plus.</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Integrating a functional reading benefit against the risk of degrading binocular control to select the minimum effective add.</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p32c0: +0.75 improves reading fluency</w:t>
      </w:r>
    </w:p>
    <w:p>
      <w:pPr>
        <w:pStyle w:val="ListParagraph"/>
        <w:numPr>
          <w:ilvl w:val="0"/>
          <w:numId w:val="1"/>
        </w:numPr>
        <w:spacing w:after="70" w:line="260"/>
      </w:pPr>
      <w:r>
        <w:rPr>
          <w:rFonts w:ascii="Arial" w:cs="Arial" w:eastAsia="Arial" w:hAnsi="Arial"/>
          <w:color w:val="000000"/>
        </w:rPr>
        <w:t xml:space="preserve">p32c0: Binocular control remains acceptable</w:t>
      </w:r>
    </w:p>
    <w:p>
      <w:pPr>
        <w:pStyle w:val="ListParagraph"/>
        <w:numPr>
          <w:ilvl w:val="0"/>
          <w:numId w:val="1"/>
        </w:numPr>
        <w:spacing w:after="70" w:line="260"/>
      </w:pPr>
      <w:r>
        <w:rPr>
          <w:rFonts w:ascii="Arial" w:cs="Arial" w:eastAsia="Arial" w:hAnsi="Arial"/>
          <w:color w:val="000000"/>
        </w:rPr>
        <w:t xml:space="preserve">p33c0: Near exo increases from 8 BI to 14 BI</w:t>
      </w:r>
    </w:p>
    <w:p>
      <w:pPr>
        <w:pStyle w:val="ListParagraph"/>
        <w:numPr>
          <w:ilvl w:val="0"/>
          <w:numId w:val="1"/>
        </w:numPr>
        <w:spacing w:after="70" w:line="260"/>
      </w:pPr>
      <w:r>
        <w:rPr>
          <w:rFonts w:ascii="Arial" w:cs="Arial" w:eastAsia="Arial" w:hAnsi="Arial"/>
          <w:color w:val="000000"/>
        </w:rPr>
        <w:t xml:space="preserve">p39c0: Prescribe the smallest add that produces a meaningful functional improvement</w:t>
      </w:r>
    </w:p>
    <w:p>
      <w:pPr>
        <w:pStyle w:val="ListParagraph"/>
        <w:numPr>
          <w:ilvl w:val="0"/>
          <w:numId w:val="1"/>
        </w:numPr>
        <w:spacing w:after="70" w:line="260"/>
      </w:pPr>
      <w:r>
        <w:rPr>
          <w:rFonts w:ascii="Arial" w:cs="Arial" w:eastAsia="Arial" w:hAnsi="Arial"/>
          <w:color w:val="000000"/>
        </w:rPr>
        <w:t xml:space="preserve">p39c0: Maintain acceptable binocular control</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Pushing the add upward until no further reading gain occurs favors the largest rather than the smallest effective add, losing the retained accommodative stimulus and risking greater exo deviation.</w:t>
      </w:r>
    </w:p>
    <w:p>
      <w:pPr>
        <w:pStyle w:val="ListParagraph"/>
        <w:numPr>
          <w:ilvl w:val="0"/>
          <w:numId w:val="1"/>
        </w:numPr>
        <w:spacing w:after="70" w:line="260"/>
      </w:pPr>
      <w:r>
        <w:rPr>
          <w:rFonts w:ascii="Arial" w:cs="Arial" w:eastAsia="Arial" w:hAnsi="Arial"/>
          <w:color w:val="000000"/>
        </w:rPr>
        <w:t xml:space="preserve">C. Eliminating the accommodative response at near over-relaxes accommodation and convergence beyond what the minimum add requires, which can compromise binocular control rather than support prescribing.</w:t>
      </w:r>
    </w:p>
    <w:p>
      <w:pPr>
        <w:pStyle w:val="ListParagraph"/>
        <w:numPr>
          <w:ilvl w:val="0"/>
          <w:numId w:val="1"/>
        </w:numPr>
        <w:spacing w:after="70" w:line="260"/>
      </w:pPr>
      <w:r>
        <w:rPr>
          <w:rFonts w:ascii="Arial" w:cs="Arial" w:eastAsia="Arial" w:hAnsi="Arial"/>
          <w:color w:val="000000"/>
        </w:rPr>
        <w:t xml:space="preserve">D. Perceived magnification is a predictable effect of plus on visual space, not the functional criterion that justifies the add, and it does not address whether binocular control is preserved.</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0.45 is below the minimum 0.7. The judge wrote: The key and core clinical integration are source-grounded and appropriate for critical thinking, but the rationale and distractor explanations add unsupported claims (for example, eliminating/“over-relaxing” accommodation and perceived magnification as a side effect rather than a target). The accommodation-elimination option is also a comparatively artificial, weakly source-grounded distractor, so all four options are not clearly plausible under the supplied evidence alone.</w:t>
      </w:r>
    </w:p>
    <w:p>
      <w:pPr>
        <w:spacing w:after="220"/>
      </w:pPr>
    </w:p>
    <w:p>
      <w:pPr>
        <w:pStyle w:val="Heading3"/>
        <w:keepNext/>
        <w:spacing w:after="100" w:before="220"/>
      </w:pPr>
      <w:r>
        <w:t xml:space="preserve">Response 4</w:t>
      </w:r>
    </w:p>
    <w:p>
      <w:pPr>
        <w:keepNext/>
        <w:spacing w:after="90" w:line="240"/>
      </w:pPr>
      <w:r>
        <w:rPr>
          <w:rFonts w:ascii="Arial" w:cs="Arial" w:eastAsia="Arial" w:hAnsi="Arial"/>
          <w:b/>
          <w:bCs/>
          <w:color w:val="000000"/>
        </w:rPr>
        <w:t xml:space="preserve">Response 4  </w:t>
      </w:r>
      <w:r>
        <w:rPr>
          <w:rFonts w:ascii="Arial" w:cs="Arial" w:eastAsia="Arial" w:hAnsi="Arial"/>
          <w:b/>
          <w:bCs/>
          <w:color w:val="9C2F2F"/>
        </w:rPr>
        <w:t xml:space="preserve">Fail  </w:t>
      </w:r>
      <w:r>
        <w:rPr>
          <w:rFonts w:ascii="Arial" w:cs="Arial" w:eastAsia="Arial" w:hAnsi="Arial"/>
          <w:color w:val="5B6573"/>
        </w:rPr>
        <w:t xml:space="preserve">Case af3c991e-q2  clinical  </w:t>
      </w:r>
      <w:r>
        <w:rPr>
          <w:rFonts w:ascii="Arial" w:cs="Arial" w:eastAsia="Arial" w:hAnsi="Arial"/>
          <w:color w:val="5B6573"/>
        </w:rPr>
        <w:t xml:space="preserve">Score 0.68  Latency 43.5s  Cost $0.001243</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Distinguish calcific and fibrin-platelet emboli using appearance and likely source.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retinal arterial embolus is observed to be dull, elongated, and highly mobile within the vessel. Based on this appearance, the embolus is composed predominantly of which material, and what is its most likely source?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000000"/>
        </w:rPr>
        <w:t xml:space="preserve">A. </w:t>
      </w:r>
      <w:r>
        <w:rPr>
          <w:rFonts w:ascii="Arial" w:cs="Arial" w:eastAsia="Arial" w:hAnsi="Arial"/>
          <w:b w:val="false"/>
          <w:bCs w:val="false"/>
          <w:color w:val="000000"/>
        </w:rPr>
        <w:t xml:space="preserve">Calcific material from valvular cardiac disease</w:t>
      </w:r>
    </w:p>
    <w:p>
      <w:pPr>
        <w:spacing w:after="45" w:line="245"/>
        <w:ind w:left="280" w:hanging="0"/>
      </w:pPr>
      <w:r>
        <w:rPr>
          <w:rFonts w:ascii="Arial" w:cs="Arial" w:eastAsia="Arial" w:hAnsi="Arial"/>
          <w:b/>
          <w:bCs/>
          <w:color w:val="1F6D3D"/>
        </w:rPr>
        <w:t xml:space="preserve">B. </w:t>
      </w:r>
      <w:r>
        <w:rPr>
          <w:rFonts w:ascii="Arial" w:cs="Arial" w:eastAsia="Arial" w:hAnsi="Arial"/>
          <w:b/>
          <w:bCs/>
          <w:color w:val="1F6D3D"/>
        </w:rPr>
        <w:t xml:space="preserve">Platelet aggregates from an atheromatous plaque in the carotid artery</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Cholesterol crystals from an ulcerated atheromatous carotid lesion</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Calcific material from a carotid artery dissection</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A fibrin-platelet embolus is composed predominantly of platelet aggregates that arise from an atheromatous plaque, usually located in the carotid artery. Its characteristic appearance is dull and elongated, and it is highly mobile, which matches the description in the scenario. Calcific emboli instead come from valvular cardiac disease, appear large, round or ovoid with a chalk-like quality, and tend to cause more severe obstructions, so they do not fit the dull, elongated, mobile appearance. Cholesterol (Hollenhorst) emboli originate from carotid atheromatous disease as well, but they are highly reflective, glistening, and yellow-copper rather than dull and elongated, making that option an appearance mismatch. Attributing a calcific composition to a carotid dissection also conflicts with calcific emboli being linked to valvular cardiac disease.</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Distinguishing embolus subtypes by appearance and source</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p11c0: Composed predominantly of platelet aggregates from atheromatous plaque (usually located in the carotid)</w:t>
      </w:r>
    </w:p>
    <w:p>
      <w:pPr>
        <w:pStyle w:val="ListParagraph"/>
        <w:numPr>
          <w:ilvl w:val="0"/>
          <w:numId w:val="1"/>
        </w:numPr>
        <w:spacing w:after="70" w:line="260"/>
      </w:pPr>
      <w:r>
        <w:rPr>
          <w:rFonts w:ascii="Arial" w:cs="Arial" w:eastAsia="Arial" w:hAnsi="Arial"/>
          <w:color w:val="000000"/>
        </w:rPr>
        <w:t xml:space="preserve">p11c0: Dull and elongated</w:t>
      </w:r>
    </w:p>
    <w:p>
      <w:pPr>
        <w:pStyle w:val="ListParagraph"/>
        <w:numPr>
          <w:ilvl w:val="0"/>
          <w:numId w:val="1"/>
        </w:numPr>
        <w:spacing w:after="70" w:line="260"/>
      </w:pPr>
      <w:r>
        <w:rPr>
          <w:rFonts w:ascii="Arial" w:cs="Arial" w:eastAsia="Arial" w:hAnsi="Arial"/>
          <w:color w:val="000000"/>
        </w:rPr>
        <w:t xml:space="preserve">p11c0: Highly mobile</w:t>
      </w:r>
    </w:p>
    <w:p>
      <w:pPr>
        <w:pStyle w:val="ListParagraph"/>
        <w:numPr>
          <w:ilvl w:val="0"/>
          <w:numId w:val="1"/>
        </w:numPr>
        <w:spacing w:after="70" w:line="260"/>
      </w:pPr>
      <w:r>
        <w:rPr>
          <w:rFonts w:ascii="Arial" w:cs="Arial" w:eastAsia="Arial" w:hAnsi="Arial"/>
          <w:color w:val="000000"/>
        </w:rPr>
        <w:t xml:space="preserve">p11c0: From valvular cardiac disease</w:t>
      </w:r>
    </w:p>
    <w:p>
      <w:pPr>
        <w:pStyle w:val="ListParagraph"/>
        <w:numPr>
          <w:ilvl w:val="0"/>
          <w:numId w:val="1"/>
        </w:numPr>
        <w:spacing w:after="70" w:line="260"/>
      </w:pPr>
      <w:r>
        <w:rPr>
          <w:rFonts w:ascii="Arial" w:cs="Arial" w:eastAsia="Arial" w:hAnsi="Arial"/>
          <w:color w:val="000000"/>
        </w:rPr>
        <w:t xml:space="preserve">p11c0: Large, round/ovoid</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A. Describes a calcific embolus, which arises from valvular cardiac disease and appears large and round/ovoid, not dull and elongated.</w:t>
      </w:r>
    </w:p>
    <w:p>
      <w:pPr>
        <w:pStyle w:val="ListParagraph"/>
        <w:numPr>
          <w:ilvl w:val="0"/>
          <w:numId w:val="1"/>
        </w:numPr>
        <w:spacing w:after="70" w:line="260"/>
      </w:pPr>
      <w:r>
        <w:rPr>
          <w:rFonts w:ascii="Arial" w:cs="Arial" w:eastAsia="Arial" w:hAnsi="Arial"/>
          <w:color w:val="000000"/>
        </w:rPr>
        <w:t xml:space="preserve">C. Describes a cholesterol (Hollenhorst) embolus, which shares a carotid source but is highly reflective, glistening, and yellow-copper rather than dull and elongated.</w:t>
      </w:r>
    </w:p>
    <w:p>
      <w:pPr>
        <w:pStyle w:val="ListParagraph"/>
        <w:numPr>
          <w:ilvl w:val="0"/>
          <w:numId w:val="1"/>
        </w:numPr>
        <w:spacing w:after="70" w:line="260"/>
      </w:pPr>
      <w:r>
        <w:rPr>
          <w:rFonts w:ascii="Arial" w:cs="Arial" w:eastAsia="Arial" w:hAnsi="Arial"/>
          <w:color w:val="000000"/>
        </w:rPr>
        <w:t xml:space="preserve">D. Mismatches a calcific composition with a carotid dissection source, whereas calcific emboli are associated with valvular cardiac disease.</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0.68 is below the minimum 0.7. The judge wrote: The keyed answer is well supported and the clinical appearance-to-source task fits the objective, but the distractor set is not fully source-grounded or equally plausible: it introduces unsupported “cholesterol crystals” and an invented calcific/carotid-dissection pairing. The rationale also makes cholesterol-appearance claims without supplying corresponding supporting evidence quotes.</w:t>
      </w:r>
    </w:p>
    <w:p>
      <w:pPr>
        <w:spacing w:after="220"/>
      </w:pPr>
    </w:p>
    <w:p>
      <w:pPr>
        <w:pStyle w:val="Heading3"/>
        <w:keepNext/>
        <w:spacing w:after="100" w:before="220"/>
      </w:pPr>
      <w:r>
        <w:t xml:space="preserve">Response 5</w:t>
      </w:r>
    </w:p>
    <w:p>
      <w:pPr>
        <w:keepNext/>
        <w:spacing w:after="90" w:line="240"/>
      </w:pPr>
      <w:r>
        <w:rPr>
          <w:rFonts w:ascii="Arial" w:cs="Arial" w:eastAsia="Arial" w:hAnsi="Arial"/>
          <w:b/>
          <w:bCs/>
          <w:color w:val="000000"/>
        </w:rPr>
        <w:t xml:space="preserve">Response 5  </w:t>
      </w:r>
      <w:r>
        <w:rPr>
          <w:rFonts w:ascii="Arial" w:cs="Arial" w:eastAsia="Arial" w:hAnsi="Arial"/>
          <w:b/>
          <w:bCs/>
          <w:color w:val="9C2F2F"/>
        </w:rPr>
        <w:t xml:space="preserve">Fail  </w:t>
      </w:r>
      <w:r>
        <w:rPr>
          <w:rFonts w:ascii="Arial" w:cs="Arial" w:eastAsia="Arial" w:hAnsi="Arial"/>
          <w:color w:val="5B6573"/>
        </w:rPr>
        <w:t xml:space="preserve">Case af3c991e-q3  criticalThinking  </w:t>
      </w:r>
      <w:r>
        <w:rPr>
          <w:rFonts w:ascii="Arial" w:cs="Arial" w:eastAsia="Arial" w:hAnsi="Arial"/>
          <w:color w:val="5B6573"/>
        </w:rPr>
        <w:t xml:space="preserve">Score 0.55  Latency 68.9s  Cost $0.001571</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embolus appearance, obstruction severity, and likely systemic source to distinguish plausible embolic etiologies.</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patient is found to have a retinal arterial occlusion. On funduscopy the obstructing material is highly reflective and glistening with a yellow-copper color, it rests at an arterial bifurcation, and the vessel is not completely obstructed. Which embolus type, most likely source, and behavior best fit these findings?</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A cholesterol embolus from carotid artery disease, which tends to lodge at bifurcations and generally does not produce complete obstruction</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A calcific embolus from valvular heart disease, which is large and chalk-like and tends to cause more severe obstructions</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A fibrin-platelet embolus from a carotid atheromatous plaque, which is dull and elongated and highly mobile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A calcific embolus from carotid artery dissection, which is highly reflective and chalk-like and usually produces complete obstruction</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The combination of a highly reflective, glistening, yellow-copper embolus lodging at a bifurcation and failing to fully obstruct the vessel is characteristic of a cholesterol (Hollenhorst) embolus, which originates most often from carotid artery disease and accounts for the majority of retinal emboli. Carotid atheromatous disease is also the most common cause of a central or branch retinal artery occlusion. The key errors are mixing appearance with source: calcific emboli are chalk-like, large, and more severely obstructing and arise from valvular cardiac disease rather than from a reflective cholesterol-type plaque; fibrin-platelet emboli arise from carotid plaque but are dull, elongated, and highly mobile, not glistening yellow-copper; and attributing a calcium appearance to carotid dissection, or complete obstruction to this picture, conflicts with the incomplete obstruction described.</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Integrating embolus appearance, obstruction severity, and likely systemic source to identify the underlying embolic etiology</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p10c0: Highly reflective, glistening, yellow-copper</w:t>
      </w:r>
    </w:p>
    <w:p>
      <w:pPr>
        <w:pStyle w:val="ListParagraph"/>
        <w:numPr>
          <w:ilvl w:val="0"/>
          <w:numId w:val="1"/>
        </w:numPr>
        <w:spacing w:after="70" w:line="260"/>
      </w:pPr>
      <w:r>
        <w:rPr>
          <w:rFonts w:ascii="Arial" w:cs="Arial" w:eastAsia="Arial" w:hAnsi="Arial"/>
          <w:color w:val="000000"/>
        </w:rPr>
        <w:t xml:space="preserve">p10c0: Tends to lodge at bifurcations</w:t>
      </w:r>
    </w:p>
    <w:p>
      <w:pPr>
        <w:pStyle w:val="ListParagraph"/>
        <w:numPr>
          <w:ilvl w:val="0"/>
          <w:numId w:val="1"/>
        </w:numPr>
        <w:spacing w:after="70" w:line="260"/>
      </w:pPr>
      <w:r>
        <w:rPr>
          <w:rFonts w:ascii="Arial" w:cs="Arial" w:eastAsia="Arial" w:hAnsi="Arial"/>
          <w:color w:val="000000"/>
        </w:rPr>
        <w:t xml:space="preserve">p10c0: Generally does not produce complete obstruction</w:t>
      </w:r>
    </w:p>
    <w:p>
      <w:pPr>
        <w:pStyle w:val="ListParagraph"/>
        <w:numPr>
          <w:ilvl w:val="0"/>
          <w:numId w:val="1"/>
        </w:numPr>
        <w:spacing w:after="70" w:line="260"/>
      </w:pPr>
      <w:r>
        <w:rPr>
          <w:rFonts w:ascii="Arial" w:cs="Arial" w:eastAsia="Arial" w:hAnsi="Arial"/>
          <w:color w:val="000000"/>
        </w:rPr>
        <w:t xml:space="preserve">p12c0: Most common cause of a CRAO/BRAO</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Calcific emboli are associated with valvular cardiac disease and are large, chalk-like, and prone to more severe obstruction, which contradicts the reflective yellow-copper appearance and incomplete obstruction described.</w:t>
      </w:r>
    </w:p>
    <w:p>
      <w:pPr>
        <w:pStyle w:val="ListParagraph"/>
        <w:numPr>
          <w:ilvl w:val="0"/>
          <w:numId w:val="1"/>
        </w:numPr>
        <w:spacing w:after="70" w:line="260"/>
      </w:pPr>
      <w:r>
        <w:rPr>
          <w:rFonts w:ascii="Arial" w:cs="Arial" w:eastAsia="Arial" w:hAnsi="Arial"/>
          <w:color w:val="000000"/>
        </w:rPr>
        <w:t xml:space="preserve">C. Fibrin-platelet emboli do arise from carotid atheromatous plaque, but they are dull and elongated and highly mobile, so they do not match the glistening yellow-copper appearance.</w:t>
      </w:r>
    </w:p>
    <w:p>
      <w:pPr>
        <w:pStyle w:val="ListParagraph"/>
        <w:numPr>
          <w:ilvl w:val="0"/>
          <w:numId w:val="1"/>
        </w:numPr>
        <w:spacing w:after="70" w:line="260"/>
      </w:pPr>
      <w:r>
        <w:rPr>
          <w:rFonts w:ascii="Arial" w:cs="Arial" w:eastAsia="Arial" w:hAnsi="Arial"/>
          <w:color w:val="000000"/>
        </w:rPr>
        <w:t xml:space="preserve">D. Attributing a chalk-like, complete-obstructing embolus to carotid dissection misassigns both the appearance and the source, since the described embolus is reflective and non-obstructing and carotid disease is linked to cholesterol-type emboli.</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0.55 is below the minimum 0.7. The judge wrote: The keyed answer is well supported and the question appropriately integrates appearance, lodging site, obstruction severity, and source. However, the fourth distractor introduces unsupported claims that calcific emboli arise from carotid dissection and “usually” completely obstruct vessels; the supplied evidence does not establish either relationship. This makes that option a comparatively contrived, weak distractor and violates the requirement to use only supplied evidence.</w:t>
      </w:r>
    </w:p>
    <w:p>
      <w:pPr>
        <w:spacing w:after="220"/>
      </w:pPr>
    </w:p>
    <w:p>
      <w:pPr>
        <w:pStyle w:val="Heading3"/>
        <w:keepNext/>
        <w:spacing w:after="100" w:before="220"/>
      </w:pPr>
      <w:r>
        <w:t xml:space="preserve">Response 6</w:t>
      </w:r>
    </w:p>
    <w:p>
      <w:pPr>
        <w:keepNext/>
        <w:spacing w:after="90" w:line="240"/>
      </w:pPr>
      <w:r>
        <w:rPr>
          <w:rFonts w:ascii="Arial" w:cs="Arial" w:eastAsia="Arial" w:hAnsi="Arial"/>
          <w:b/>
          <w:bCs/>
          <w:color w:val="000000"/>
        </w:rPr>
        <w:t xml:space="preserve">Response 6  </w:t>
      </w:r>
      <w:r>
        <w:rPr>
          <w:rFonts w:ascii="Arial" w:cs="Arial" w:eastAsia="Arial" w:hAnsi="Arial"/>
          <w:b/>
          <w:bCs/>
          <w:color w:val="1F6D3D"/>
        </w:rPr>
        <w:t xml:space="preserve">Pass  </w:t>
      </w:r>
      <w:r>
        <w:rPr>
          <w:rFonts w:ascii="Arial" w:cs="Arial" w:eastAsia="Arial" w:hAnsi="Arial"/>
          <w:color w:val="5B6573"/>
        </w:rPr>
        <w:t xml:space="preserve">Case af3c991e-q1  learn  </w:t>
      </w:r>
      <w:r>
        <w:rPr>
          <w:rFonts w:ascii="Arial" w:cs="Arial" w:eastAsia="Arial" w:hAnsi="Arial"/>
          <w:color w:val="5B6573"/>
        </w:rPr>
        <w:t xml:space="preserve">Score not logged  Latency 71.3s  Cost $0.001629</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Identify the typical origin and appearance of cholesterol emboli.</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Which of the following best describes the typical origin and appearance of cholesterol emboli in the retinal circulation?</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They arise from carotid artery disease at the site of an ulcerated atheromatous plaque and appear highly reflective, glistening, and yellow-copper, often lodging at bifurcations.</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They arise from valvular cardiac disease and appear large, round or ovoid, and chalk-like, tending to cause severe obstruction.</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They arise from an atheromatous plaque in the carotid and appear dull and elongated, with high mobility.</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They arise from cardiac disease and appear highly reflective, glistening, and yellow-copper, lodging at bifurcations.</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Cholesterol emboli account for about 75% of retinal emboli and characteristically originate from carotid artery disease when an atheromatous lesion ulcerates. They are described as highly reflective, glistening, and yellow-copper in color, and they tend to lodge at arterial bifurcations, generally without producing complete obstruction. The other options describe different embolic types or mismatched features: calcific emboli come from valvular cardiac disease, are large and round or ovoid with a chalk-like appearance, and tend to cause more severe obstructions; fibrin-platelet emboli are composed of platelet aggregates from a carotid atheromatous plaque, appear dull and elongated, and are highly mobile. The final option attaches the correct cholesterol appearance to the wrong source, since the typical cholesterol embolus originates from carotid rather than cardiac disease.</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Recall and discrimination of clinical features distinguishing embolic types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p10c0: 75% of retinal emboli</w:t>
      </w:r>
    </w:p>
    <w:p>
      <w:pPr>
        <w:pStyle w:val="ListParagraph"/>
        <w:numPr>
          <w:ilvl w:val="0"/>
          <w:numId w:val="1"/>
        </w:numPr>
        <w:spacing w:after="70" w:line="260"/>
      </w:pPr>
      <w:r>
        <w:rPr>
          <w:rFonts w:ascii="Arial" w:cs="Arial" w:eastAsia="Arial" w:hAnsi="Arial"/>
          <w:color w:val="000000"/>
        </w:rPr>
        <w:t xml:space="preserve">p10c0: From carotid artery disease (ulceration of an atheromatous lesion)</w:t>
      </w:r>
    </w:p>
    <w:p>
      <w:pPr>
        <w:pStyle w:val="ListParagraph"/>
        <w:numPr>
          <w:ilvl w:val="0"/>
          <w:numId w:val="1"/>
        </w:numPr>
        <w:spacing w:after="70" w:line="260"/>
      </w:pPr>
      <w:r>
        <w:rPr>
          <w:rFonts w:ascii="Arial" w:cs="Arial" w:eastAsia="Arial" w:hAnsi="Arial"/>
          <w:color w:val="000000"/>
        </w:rPr>
        <w:t xml:space="preserve">p10c0: Highly reflective, glistening, yellow-copper</w:t>
      </w:r>
    </w:p>
    <w:p>
      <w:pPr>
        <w:pStyle w:val="ListParagraph"/>
        <w:numPr>
          <w:ilvl w:val="0"/>
          <w:numId w:val="1"/>
        </w:numPr>
        <w:spacing w:after="70" w:line="260"/>
      </w:pPr>
      <w:r>
        <w:rPr>
          <w:rFonts w:ascii="Arial" w:cs="Arial" w:eastAsia="Arial" w:hAnsi="Arial"/>
          <w:color w:val="000000"/>
        </w:rPr>
        <w:t xml:space="preserve">p10c0: Tends to lodge at bifurcations</w:t>
      </w:r>
    </w:p>
    <w:p>
      <w:pPr>
        <w:pStyle w:val="ListParagraph"/>
        <w:numPr>
          <w:ilvl w:val="0"/>
          <w:numId w:val="1"/>
        </w:numPr>
        <w:spacing w:after="70" w:line="260"/>
      </w:pPr>
      <w:r>
        <w:rPr>
          <w:rFonts w:ascii="Arial" w:cs="Arial" w:eastAsia="Arial" w:hAnsi="Arial"/>
          <w:color w:val="000000"/>
        </w:rPr>
        <w:t xml:space="preserve">p11c0: From valvular cardiac disease... Large, round/ovoid... Chalk-like appearance</w:t>
      </w:r>
    </w:p>
    <w:p>
      <w:pPr>
        <w:pStyle w:val="ListParagraph"/>
        <w:numPr>
          <w:ilvl w:val="0"/>
          <w:numId w:val="1"/>
        </w:numPr>
        <w:spacing w:after="70" w:line="260"/>
      </w:pPr>
      <w:r>
        <w:rPr>
          <w:rFonts w:ascii="Arial" w:cs="Arial" w:eastAsia="Arial" w:hAnsi="Arial"/>
          <w:color w:val="000000"/>
        </w:rPr>
        <w:t xml:space="preserve">p11c0: Composed predominantly of platelet aggregates... Dull and elongated... Highly mobile</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This describes calcific emboli, which arise from valvular cardiac disease and are large, round or ovoid, and chalk-like, rather than cholesterol emboli.</w:t>
      </w:r>
    </w:p>
    <w:p>
      <w:pPr>
        <w:pStyle w:val="ListParagraph"/>
        <w:numPr>
          <w:ilvl w:val="0"/>
          <w:numId w:val="1"/>
        </w:numPr>
        <w:spacing w:after="70" w:line="260"/>
      </w:pPr>
      <w:r>
        <w:rPr>
          <w:rFonts w:ascii="Arial" w:cs="Arial" w:eastAsia="Arial" w:hAnsi="Arial"/>
          <w:color w:val="000000"/>
        </w:rPr>
        <w:t xml:space="preserve">C. This describes fibrin-platelet emboli, which are dull, elongated, and highly mobile platelet aggregates, not the glistening yellow-copper cholesterol embolus.</w:t>
      </w:r>
    </w:p>
    <w:p>
      <w:pPr>
        <w:pStyle w:val="ListParagraph"/>
        <w:numPr>
          <w:ilvl w:val="0"/>
          <w:numId w:val="1"/>
        </w:numPr>
        <w:spacing w:after="70" w:line="260"/>
      </w:pPr>
      <w:r>
        <w:rPr>
          <w:rFonts w:ascii="Arial" w:cs="Arial" w:eastAsia="Arial" w:hAnsi="Arial"/>
          <w:color w:val="000000"/>
        </w:rPr>
        <w:t xml:space="preserve">D. This correctly lists the cholesterol appearance but assigns the wrong source; cholesterol emboli typically originate from carotid artery disease, not cardiac disease.</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the run log did not retain a numeric judge score.</w:t>
      </w:r>
    </w:p>
    <w:p>
      <w:pPr>
        <w:spacing w:after="220"/>
      </w:pPr>
    </w:p>
    <w:p>
      <w:pPr>
        <w:pStyle w:val="Heading3"/>
        <w:keepNext/>
        <w:spacing w:after="100" w:before="220"/>
      </w:pPr>
      <w:r>
        <w:t xml:space="preserve">Response 7</w:t>
      </w:r>
    </w:p>
    <w:p>
      <w:pPr>
        <w:keepNext/>
        <w:spacing w:after="90" w:line="240"/>
      </w:pPr>
      <w:r>
        <w:rPr>
          <w:rFonts w:ascii="Arial" w:cs="Arial" w:eastAsia="Arial" w:hAnsi="Arial"/>
          <w:b/>
          <w:bCs/>
          <w:color w:val="000000"/>
        </w:rPr>
        <w:t xml:space="preserve">Response 7  </w:t>
      </w:r>
      <w:r>
        <w:rPr>
          <w:rFonts w:ascii="Arial" w:cs="Arial" w:eastAsia="Arial" w:hAnsi="Arial"/>
          <w:b/>
          <w:bCs/>
          <w:color w:val="9C2F2F"/>
        </w:rPr>
        <w:t xml:space="preserve">Fail  </w:t>
      </w:r>
      <w:r>
        <w:rPr>
          <w:rFonts w:ascii="Arial" w:cs="Arial" w:eastAsia="Arial" w:hAnsi="Arial"/>
          <w:color w:val="5B6573"/>
        </w:rPr>
        <w:t xml:space="preserve">Case dc00ab51-q1  learn  </w:t>
      </w:r>
      <w:r>
        <w:rPr>
          <w:rFonts w:ascii="Arial" w:cs="Arial" w:eastAsia="Arial" w:hAnsi="Arial"/>
          <w:color w:val="5B6573"/>
        </w:rPr>
        <w:t xml:space="preserve">Score 0.35  Latency 30.8s  Cost $0.001093</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Identify the traditional organizational structure of medical care.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Which description best characterizes the traditional organizational structure of medical care?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Most care was delivered by fee-for-service private physicians working in solo or small group practices, with most hospitals operating as private nonprofit institutions.</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Most care was delivered through multispecialty group practices that formally integrated specialists into a single clinic structure.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Most care was delivered through community health centers governed by community members and combining clinical services with public health activities.</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Most care was delivered through large integrated systems in which hospitals employed physicians and were accountable for a defined population.</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The traditional structure of medical care is defined by independent, fee-for-service private physicians practicing alone or in small groups, alongside a hospital sector composed largely of private nonprofit institutions. This decentralized, physician-centered arrangement is the baseline against which later organizational models were contrasted. Multispecialty group practice is a distinct later model that formally integrated specialists into one clinic structure to promote collaboration and peer review, so it does not describe the traditional arrangement. Community health centers likewise represent a different model built around community governance, multidisciplinary teams, and the melding of clinical services with public health activities. Integrated systems in which hospitals employ physicians and bear responsibility for a defined population describe a still different, more consolidated form of organization rather than the traditional one.</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Identifying the defining organizational features of a concept and distinguishing it from related but different models.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p2c0: Most medical care was delivered by fee-for-service private physicians in solo or small group practices.</w:t>
      </w:r>
    </w:p>
    <w:p>
      <w:pPr>
        <w:pStyle w:val="ListParagraph"/>
        <w:numPr>
          <w:ilvl w:val="0"/>
          <w:numId w:val="1"/>
        </w:numPr>
        <w:spacing w:after="70" w:line="260"/>
      </w:pPr>
      <w:r>
        <w:rPr>
          <w:rFonts w:ascii="Arial" w:cs="Arial" w:eastAsia="Arial" w:hAnsi="Arial"/>
          <w:color w:val="000000"/>
        </w:rPr>
        <w:t xml:space="preserve">p2c0: Most hospitals were private nonprofit institutions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This describes multispecialty group practice, a model that formally integrated specialists into a single clinic structure to promote collaboration, not the traditional arrangement.</w:t>
      </w:r>
    </w:p>
    <w:p>
      <w:pPr>
        <w:pStyle w:val="ListParagraph"/>
        <w:numPr>
          <w:ilvl w:val="0"/>
          <w:numId w:val="1"/>
        </w:numPr>
        <w:spacing w:after="70" w:line="260"/>
      </w:pPr>
      <w:r>
        <w:rPr>
          <w:rFonts w:ascii="Arial" w:cs="Arial" w:eastAsia="Arial" w:hAnsi="Arial"/>
          <w:color w:val="000000"/>
        </w:rPr>
        <w:t xml:space="preserve">C. This describes community health centers, which are defined by community governance and the combination of clinical and public health activities rather than the traditional structure.</w:t>
      </w:r>
    </w:p>
    <w:p>
      <w:pPr>
        <w:pStyle w:val="ListParagraph"/>
        <w:numPr>
          <w:ilvl w:val="0"/>
          <w:numId w:val="1"/>
        </w:numPr>
        <w:spacing w:after="70" w:line="260"/>
      </w:pPr>
      <w:r>
        <w:rPr>
          <w:rFonts w:ascii="Arial" w:cs="Arial" w:eastAsia="Arial" w:hAnsi="Arial"/>
          <w:color w:val="000000"/>
        </w:rPr>
        <w:t xml:space="preserve">D. This describes a consolidated integrated system with hospital-employed physicians and population accountability, which is not the traditional physician-centered structure.</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0.35 is below the minimum 0.7. The judge wrote: The correct answer is well grounded, but the fourth distractor and its explanation introduce unsupported claims about hospital-employed physicians, defined-population accountability, and integrated systems. The rationale also calls alternative models “later” and labels the traditional model “decentralized,” neither supported by the supplied evidence. Because the assignment requires using only supplied evidence and disallows unsupported claims, the output fails.</w:t>
      </w:r>
    </w:p>
    <w:p>
      <w:pPr>
        <w:spacing w:after="220"/>
      </w:pPr>
    </w:p>
    <w:p>
      <w:pPr>
        <w:pStyle w:val="Heading3"/>
        <w:keepNext/>
        <w:spacing w:after="100" w:before="220"/>
      </w:pPr>
      <w:r>
        <w:t xml:space="preserve">Response 8</w:t>
      </w:r>
    </w:p>
    <w:p>
      <w:pPr>
        <w:keepNext/>
        <w:spacing w:after="90" w:line="240"/>
      </w:pPr>
      <w:r>
        <w:rPr>
          <w:rFonts w:ascii="Arial" w:cs="Arial" w:eastAsia="Arial" w:hAnsi="Arial"/>
          <w:b/>
          <w:bCs/>
          <w:color w:val="000000"/>
        </w:rPr>
        <w:t xml:space="preserve">Response 8  </w:t>
      </w:r>
      <w:r>
        <w:rPr>
          <w:rFonts w:ascii="Arial" w:cs="Arial" w:eastAsia="Arial" w:hAnsi="Arial"/>
          <w:b/>
          <w:bCs/>
          <w:color w:val="1F6D3D"/>
        </w:rPr>
        <w:t xml:space="preserve">Pass  </w:t>
      </w:r>
      <w:r>
        <w:rPr>
          <w:rFonts w:ascii="Arial" w:cs="Arial" w:eastAsia="Arial" w:hAnsi="Arial"/>
          <w:color w:val="5B6573"/>
        </w:rPr>
        <w:t xml:space="preserve">Case dc00ab51-q3  criticalThinking  </w:t>
      </w:r>
      <w:r>
        <w:rPr>
          <w:rFonts w:ascii="Arial" w:cs="Arial" w:eastAsia="Arial" w:hAnsi="Arial"/>
          <w:color w:val="5B6573"/>
        </w:rPr>
        <w:t xml:space="preserve">Score 0.95  Latency 30.9s  Cost $0.001117</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community governance and public health activities to distinguish a community health center from a traditional private group practice.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nonprofit clinic is deciding how to structure itself so that it qualifies as a community health center rather than operating like a traditional private group practice. Which design choice best captures the distinguishing features of a community health center?</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000000"/>
        </w:rPr>
        <w:t xml:space="preserve">A. </w:t>
      </w:r>
      <w:r>
        <w:rPr>
          <w:rFonts w:ascii="Arial" w:cs="Arial" w:eastAsia="Arial" w:hAnsi="Arial"/>
          <w:b w:val="false"/>
          <w:bCs w:val="false"/>
          <w:color w:val="000000"/>
        </w:rPr>
        <w:t xml:space="preserve">Recruiting a broad panel of specialists into a single shared clinic so that colleagues can formally review one another's care and pursue continuing education together</w:t>
      </w:r>
    </w:p>
    <w:p>
      <w:pPr>
        <w:spacing w:after="45" w:line="245"/>
        <w:ind w:left="280" w:hanging="0"/>
      </w:pPr>
      <w:r>
        <w:rPr>
          <w:rFonts w:ascii="Arial" w:cs="Arial" w:eastAsia="Arial" w:hAnsi="Arial"/>
          <w:b/>
          <w:bCs/>
          <w:color w:val="1F6D3D"/>
        </w:rPr>
        <w:t xml:space="preserve">B. </w:t>
      </w:r>
      <w:r>
        <w:rPr>
          <w:rFonts w:ascii="Arial" w:cs="Arial" w:eastAsia="Arial" w:hAnsi="Arial"/>
          <w:b/>
          <w:bCs/>
          <w:color w:val="1F6D3D"/>
        </w:rPr>
        <w:t xml:space="preserve">Giving community members a governing role and combining comprehensive clinical care with public health activities such as outreach by trained community members</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Converting the practice to fee-for-service billing delivered by physicians in solo or small group arrangements accountable for each patient's welfare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Preserving an intimate patient-physician relationship by keeping the practice small enough that a single physician remains clearly accountable for each patient</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The defining features of a community health center are responsibility for the health of the community, governance by community members, and the melding of comprehensive clinical services with public health activities, including the use of trained community members for outreach and multidisciplinary teams. Option 2 states this combination directly, joining community governance with integrated public health work. Option 1 describes multispecialty group practice, whose rationale is collaborative peer review and continuing education among specialists, not community governance or public health integration. Option 3 describes the traditional fee-for-service private practice structure, which is the model being contrasted, not the community health center. Option 4 reflects the critics' concern that large structures threaten the intimate patient-physician relationship and single-physician accountability, which is an argument for small private practice rather than a feature of a community health center.</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Differentiating organizational models by governance and scope of responsibility</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p6c0: Governance by community members</w:t>
      </w:r>
    </w:p>
    <w:p>
      <w:pPr>
        <w:pStyle w:val="ListParagraph"/>
        <w:numPr>
          <w:ilvl w:val="0"/>
          <w:numId w:val="1"/>
        </w:numPr>
        <w:spacing w:after="70" w:line="260"/>
      </w:pPr>
      <w:r>
        <w:rPr>
          <w:rFonts w:ascii="Arial" w:cs="Arial" w:eastAsia="Arial" w:hAnsi="Arial"/>
          <w:color w:val="000000"/>
        </w:rPr>
        <w:t xml:space="preserve">p6c0: Meld clinical services with public health activities</w:t>
      </w:r>
    </w:p>
    <w:p>
      <w:pPr>
        <w:pStyle w:val="ListParagraph"/>
        <w:numPr>
          <w:ilvl w:val="0"/>
          <w:numId w:val="1"/>
        </w:numPr>
        <w:spacing w:after="70" w:line="260"/>
      </w:pPr>
      <w:r>
        <w:rPr>
          <w:rFonts w:ascii="Arial" w:cs="Arial" w:eastAsia="Arial" w:hAnsi="Arial"/>
          <w:color w:val="000000"/>
        </w:rPr>
        <w:t xml:space="preserve">p6c0: Combining Comprehensive and public health</w:t>
      </w:r>
    </w:p>
    <w:p>
      <w:pPr>
        <w:pStyle w:val="ListParagraph"/>
        <w:numPr>
          <w:ilvl w:val="0"/>
          <w:numId w:val="1"/>
        </w:numPr>
        <w:spacing w:after="70" w:line="260"/>
      </w:pPr>
      <w:r>
        <w:rPr>
          <w:rFonts w:ascii="Arial" w:cs="Arial" w:eastAsia="Arial" w:hAnsi="Arial"/>
          <w:color w:val="000000"/>
        </w:rPr>
        <w:t xml:space="preserve">p5c0: group practice attempted to promote a collaborative style of care</w:t>
      </w:r>
    </w:p>
    <w:p>
      <w:pPr>
        <w:pStyle w:val="ListParagraph"/>
        <w:numPr>
          <w:ilvl w:val="0"/>
          <w:numId w:val="1"/>
        </w:numPr>
        <w:spacing w:after="70" w:line="260"/>
      </w:pPr>
      <w:r>
        <w:rPr>
          <w:rFonts w:ascii="Arial" w:cs="Arial" w:eastAsia="Arial" w:hAnsi="Arial"/>
          <w:color w:val="000000"/>
        </w:rPr>
        <w:t xml:space="preserve">p2c0: Most medical care was delivered by fee-for-service private physicians in solo or small group practices.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A. Describes multispecialty group practice, whose defining aim is collaborative specialist care and peer review, not community governance or public health integration.</w:t>
      </w:r>
    </w:p>
    <w:p>
      <w:pPr>
        <w:pStyle w:val="ListParagraph"/>
        <w:numPr>
          <w:ilvl w:val="0"/>
          <w:numId w:val="1"/>
        </w:numPr>
        <w:spacing w:after="70" w:line="260"/>
      </w:pPr>
      <w:r>
        <w:rPr>
          <w:rFonts w:ascii="Arial" w:cs="Arial" w:eastAsia="Arial" w:hAnsi="Arial"/>
          <w:color w:val="000000"/>
        </w:rPr>
        <w:t xml:space="preserve">C. Describes the traditional fee-for-service private practice structure that the community health center is being distinguished from.</w:t>
      </w:r>
    </w:p>
    <w:p>
      <w:pPr>
        <w:pStyle w:val="ListParagraph"/>
        <w:numPr>
          <w:ilvl w:val="0"/>
          <w:numId w:val="1"/>
        </w:numPr>
        <w:spacing w:after="70" w:line="260"/>
      </w:pPr>
      <w:r>
        <w:rPr>
          <w:rFonts w:ascii="Arial" w:cs="Arial" w:eastAsia="Arial" w:hAnsi="Arial"/>
          <w:color w:val="000000"/>
        </w:rPr>
        <w:t xml:space="preserve">D. Restates the critics' defense of small private practice and single-physician accountability, which is the opposite of the community health center model.</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0.95.</w:t>
      </w:r>
    </w:p>
    <w:p>
      <w:pPr>
        <w:spacing w:after="220"/>
      </w:pPr>
    </w:p>
    <w:p>
      <w:pPr>
        <w:pStyle w:val="Heading3"/>
        <w:keepNext/>
        <w:spacing w:after="100" w:before="220"/>
      </w:pPr>
      <w:r>
        <w:t xml:space="preserve">Response 9</w:t>
      </w:r>
    </w:p>
    <w:p>
      <w:pPr>
        <w:keepNext/>
        <w:spacing w:after="90" w:line="240"/>
      </w:pPr>
      <w:r>
        <w:rPr>
          <w:rFonts w:ascii="Arial" w:cs="Arial" w:eastAsia="Arial" w:hAnsi="Arial"/>
          <w:b/>
          <w:bCs/>
          <w:color w:val="000000"/>
        </w:rPr>
        <w:t xml:space="preserve">Response 9  </w:t>
      </w:r>
      <w:r>
        <w:rPr>
          <w:rFonts w:ascii="Arial" w:cs="Arial" w:eastAsia="Arial" w:hAnsi="Arial"/>
          <w:b/>
          <w:bCs/>
          <w:color w:val="9C2F2F"/>
        </w:rPr>
        <w:t xml:space="preserve">Fail  </w:t>
      </w:r>
      <w:r>
        <w:rPr>
          <w:rFonts w:ascii="Arial" w:cs="Arial" w:eastAsia="Arial" w:hAnsi="Arial"/>
          <w:color w:val="5B6573"/>
        </w:rPr>
        <w:t xml:space="preserve">Case dc00ab51-q2  clinical  </w:t>
      </w:r>
      <w:r>
        <w:rPr>
          <w:rFonts w:ascii="Arial" w:cs="Arial" w:eastAsia="Arial" w:hAnsi="Arial"/>
          <w:color w:val="5B6573"/>
        </w:rPr>
        <w:t xml:space="preserve">Score 0.68  Latency 49.2s  Cost $0.001358</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Apply the collaborative care rationale of multispecialty group practice to a new example.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regional health system is reorganizing care for patients with complex chronic illness. Its proposal consolidates primary care physicians and several specialists into one clinic structure, where the clinicians share responsibility for a common patient panel and hold regular joint case conferences. Which outcome is the strongest expected benefit of this arrangement, judged by the rationale historically used to justify multispecialty group practice?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A greater opportunity for formal and informal peer review and continuing education among colleagues who work together and share responsibility for patients</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A clearer line of accountability so that a single physician is responsible for each patient's welfare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Lower costs for laboratory and surgical services achieved through economies of scale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Faster growth in the number of physicians and support staff than a solo or small group setting allows</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Multispecialty group practice was justified on the theory that formally integrating specialists into a single clinic structure promotes a collaborative style of care, and that quality would improve because colleagues working together and sharing responsibility gain more chances for formal and informal peer review and continuing education. The correct option restates that explicit rationale applied to the new reorganization. Option 2 inverts a criticism rather than a benefit: critics worried that large practice structures would jeopardize the intimate patient-physician relationship by leaving no single physician clearly accountable, so clearer individual accountability is not the expected gain of consolidation. Option 3 invokes economies of scale, a financial claim that the rationale does not make; the rationale is about collaboration and quality, not service pricing. Option 4 reflects a descriptive historical detail about how one famous practice grew, not the reasoning offered for why integration improves care, and growth in headcount is not itself the quality mechanism.</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Applying a historical organizational rationale to a novel example</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p5c0: By formally integrating specialists into a single clinic structure, group practice attempted to promote a collaborative style of care. Enhancement of quality of care was expected from the greater opportunity for formal and informal peer review and continuing education when colleagues worked together and shared responsibility for the care of patients.</w:t>
      </w:r>
    </w:p>
    <w:p>
      <w:pPr>
        <w:pStyle w:val="ListParagraph"/>
        <w:numPr>
          <w:ilvl w:val="0"/>
          <w:numId w:val="1"/>
        </w:numPr>
        <w:spacing w:after="70" w:line="260"/>
      </w:pPr>
      <w:r>
        <w:rPr>
          <w:rFonts w:ascii="Arial" w:cs="Arial" w:eastAsia="Arial" w:hAnsi="Arial"/>
          <w:color w:val="000000"/>
        </w:rPr>
        <w:t xml:space="preserve">p5c0: Critics of group practice warned that large practice structures would jeopardize the intimate patient–physician relationship possible in a solo or small group setting, arguing that large groups would subject patients to an impersonal style of care with no single physician clearly accountable for the patient’s welfare.</w:t>
      </w:r>
    </w:p>
    <w:p>
      <w:pPr>
        <w:pStyle w:val="ListParagraph"/>
        <w:numPr>
          <w:ilvl w:val="0"/>
          <w:numId w:val="1"/>
        </w:numPr>
        <w:spacing w:after="70" w:line="260"/>
      </w:pPr>
      <w:r>
        <w:rPr>
          <w:rFonts w:ascii="Arial" w:cs="Arial" w:eastAsia="Arial" w:hAnsi="Arial"/>
          <w:color w:val="000000"/>
        </w:rPr>
        <w:t xml:space="preserve">p4c0: By 1929, the Mayo Clinic had more than 375 physicians and 900 support staff and eventually opened its own hospitals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States the critics' concern as if it were a benefit: large groups were warned to undermine the intimate patient-physician relationship with no single physician clearly accountable, so this is an objection, not the expected gain of integration.</w:t>
      </w:r>
    </w:p>
    <w:p>
      <w:pPr>
        <w:pStyle w:val="ListParagraph"/>
        <w:numPr>
          <w:ilvl w:val="0"/>
          <w:numId w:val="1"/>
        </w:numPr>
        <w:spacing w:after="70" w:line="260"/>
      </w:pPr>
      <w:r>
        <w:rPr>
          <w:rFonts w:ascii="Arial" w:cs="Arial" w:eastAsia="Arial" w:hAnsi="Arial"/>
          <w:color w:val="000000"/>
        </w:rPr>
        <w:t xml:space="preserve">C. Introduces an economies-of-scale cost claim that the collaborative-care rationale never makes; the justification is about peer review, continuing education, and shared responsibility, not service pricing.</w:t>
      </w:r>
    </w:p>
    <w:p>
      <w:pPr>
        <w:pStyle w:val="ListParagraph"/>
        <w:numPr>
          <w:ilvl w:val="0"/>
          <w:numId w:val="1"/>
        </w:numPr>
        <w:spacing w:after="70" w:line="260"/>
      </w:pPr>
      <w:r>
        <w:rPr>
          <w:rFonts w:ascii="Arial" w:cs="Arial" w:eastAsia="Arial" w:hAnsi="Arial"/>
          <w:color w:val="000000"/>
        </w:rPr>
        <w:t xml:space="preserve">D. Cites a descriptive detail about the growth of one notable practice rather than the stated mechanism by which integration is expected to improve quality; headcount growth is not the quality rationale.</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0.68 is below the minimum 0.7. The judge wrote: The key and clinical application are source-grounded, but the evidence field violates the required use of exact short supporting quotes by reproducing long full passages. In addition, the headcount-growth distractor is comparatively weak and unsupported as an expected outcome, reducing distractor plausibility.</w:t>
      </w:r>
    </w:p>
    <w:p>
      <w:pPr>
        <w:spacing w:after="220"/>
      </w:pPr>
    </w:p>
    <w:p>
      <w:r>
        <w:br w:type="page"/>
      </w:r>
    </w:p>
    <w:p>
      <w:pPr>
        <w:pStyle w:val="Heading1"/>
        <w:keepNext/>
        <w:spacing w:after="140" w:before="300"/>
      </w:pPr>
      <w:r>
        <w:t xml:space="preserve">GLM 5.3 Flash individual responses</w:t>
      </w:r>
    </w:p>
    <w:p>
      <w:pPr>
        <w:spacing w:after="120" w:line="276"/>
      </w:pPr>
      <w:r>
        <w:rPr>
          <w:rFonts w:ascii="Arial" w:cs="Arial" w:eastAsia="Arial" w:hAnsi="Arial"/>
          <w:color w:val="000000"/>
        </w:rPr>
        <w:t xml:space="preserve">9 responses  3 strict passes  9 response bodies retained</w:t>
      </w:r>
    </w:p>
    <w:p>
      <w:pPr>
        <w:pStyle w:val="Heading3"/>
        <w:keepNext/>
        <w:spacing w:after="100" w:before="220"/>
      </w:pPr>
      <w:r>
        <w:t xml:space="preserve">Response 1</w:t>
      </w:r>
    </w:p>
    <w:p>
      <w:pPr>
        <w:keepNext/>
        <w:spacing w:after="90" w:line="240"/>
      </w:pPr>
      <w:r>
        <w:rPr>
          <w:rFonts w:ascii="Arial" w:cs="Arial" w:eastAsia="Arial" w:hAnsi="Arial"/>
          <w:b/>
          <w:bCs/>
          <w:color w:val="000000"/>
        </w:rPr>
        <w:t xml:space="preserve">Response 1  </w:t>
      </w:r>
      <w:r>
        <w:rPr>
          <w:rFonts w:ascii="Arial" w:cs="Arial" w:eastAsia="Arial" w:hAnsi="Arial"/>
          <w:b/>
          <w:bCs/>
          <w:color w:val="9C2F2F"/>
        </w:rPr>
        <w:t xml:space="preserve">Fail  </w:t>
      </w:r>
      <w:r>
        <w:rPr>
          <w:rFonts w:ascii="Arial" w:cs="Arial" w:eastAsia="Arial" w:hAnsi="Arial"/>
          <w:color w:val="5B6573"/>
        </w:rPr>
        <w:t xml:space="preserve">Case 85bef31d-q1  learn  </w:t>
      </w:r>
      <w:r>
        <w:rPr>
          <w:rFonts w:ascii="Arial" w:cs="Arial" w:eastAsia="Arial" w:hAnsi="Arial"/>
          <w:color w:val="5B6573"/>
        </w:rPr>
        <w:t xml:space="preserve">Score 0.55  Latency 35.5s  Cost $0.001670</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3. Therapeutic Spectacle Prescribing I bb.pdf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Describe how plus changes accommodative demand and convergence.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Plus lenses are added to a patient's near correction to reduce accommodative effort at reading distance. What effect does adding plus have on accommodative demand and accommodative convergence?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It decreases both accommodative demand and accommodative convergence.</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It increases both accommodative demand and accommodative convergence.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It decreases accommodative demand but increases accommodative convergence.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It increases accommodative demand but decreases accommodative convergence.</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Added plus power does part of the near focusing work, so the eye must supply less of its own accommodation: accommodative demand goes down. Because accommodative convergence is the convergence driven by accommodative effort, lowering accommodative demand also lowers accommodative convergence, and the near phoric position correspondingly tends to drift toward exophoria. That same mechanism explains the caution case in which adding +0.75 improved reading but increased near exophoria from 8 BI to 14 BI, threatening binocular control; the prescribing goal is the minimum plus that gives meaningful functional improvement without losing that control. A common misconception is treating plus like minus: minus lenses increase accommodative demand and therefore drive more accommodative convergence. A second misconception is that the two effects can move in opposite directions; since accommodative convergence is driven by accommodation, they move together.</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Causal mechanistic reasoning about linked visual functions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p27c0: Accommodative demand? - ↓ decrease</w:t>
      </w:r>
    </w:p>
    <w:p>
      <w:pPr>
        <w:pStyle w:val="ListParagraph"/>
        <w:numPr>
          <w:ilvl w:val="0"/>
          <w:numId w:val="1"/>
        </w:numPr>
        <w:spacing w:after="70" w:line="260"/>
      </w:pPr>
      <w:r>
        <w:rPr>
          <w:rFonts w:ascii="Arial" w:cs="Arial" w:eastAsia="Arial" w:hAnsi="Arial"/>
          <w:color w:val="000000"/>
        </w:rPr>
        <w:t xml:space="preserve">p27c0: Accommodative convergence? - ↓ decrease</w:t>
      </w:r>
    </w:p>
    <w:p>
      <w:pPr>
        <w:pStyle w:val="ListParagraph"/>
        <w:numPr>
          <w:ilvl w:val="0"/>
          <w:numId w:val="1"/>
        </w:numPr>
        <w:spacing w:after="70" w:line="260"/>
      </w:pPr>
      <w:r>
        <w:rPr>
          <w:rFonts w:ascii="Arial" w:cs="Arial" w:eastAsia="Arial" w:hAnsi="Arial"/>
          <w:color w:val="000000"/>
        </w:rPr>
        <w:t xml:space="preserve">p26c0: Plus can influence accommodative convergence</w:t>
      </w:r>
    </w:p>
    <w:p>
      <w:pPr>
        <w:pStyle w:val="ListParagraph"/>
        <w:numPr>
          <w:ilvl w:val="0"/>
          <w:numId w:val="1"/>
        </w:numPr>
        <w:spacing w:after="70" w:line="260"/>
      </w:pPr>
      <w:r>
        <w:rPr>
          <w:rFonts w:ascii="Arial" w:cs="Arial" w:eastAsia="Arial" w:hAnsi="Arial"/>
          <w:color w:val="000000"/>
        </w:rPr>
        <w:t xml:space="preserve">p33c0: Near exo increases from 8 BI to 14 BI</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Reverses both effects; increasing accommodative demand and accommodative convergence describes minus, not plus, lens behavior.</w:t>
      </w:r>
    </w:p>
    <w:p>
      <w:pPr>
        <w:pStyle w:val="ListParagraph"/>
        <w:numPr>
          <w:ilvl w:val="0"/>
          <w:numId w:val="1"/>
        </w:numPr>
        <w:spacing w:after="70" w:line="260"/>
      </w:pPr>
      <w:r>
        <w:rPr>
          <w:rFonts w:ascii="Arial" w:cs="Arial" w:eastAsia="Arial" w:hAnsi="Arial"/>
          <w:color w:val="000000"/>
        </w:rPr>
        <w:t xml:space="preserve">C. Contradicts the accommodation-convergence link: if accommodative demand decreases, the accommodative drive to convergence decreases too, so convergence cannot increase.</w:t>
      </w:r>
    </w:p>
    <w:p>
      <w:pPr>
        <w:pStyle w:val="ListParagraph"/>
        <w:numPr>
          <w:ilvl w:val="0"/>
          <w:numId w:val="1"/>
        </w:numPr>
        <w:spacing w:after="70" w:line="260"/>
      </w:pPr>
      <w:r>
        <w:rPr>
          <w:rFonts w:ascii="Arial" w:cs="Arial" w:eastAsia="Arial" w:hAnsi="Arial"/>
          <w:color w:val="000000"/>
        </w:rPr>
        <w:t xml:space="preserve">D. Reverses the demand effect and is internally inconsistent: plus reduces rather than increases accommodative demand, and reduced accommodative demand reduces rather than spares convergence.</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0.55 is below the minimum 0.7. The judge wrote: The core question and keyed answer are directly supported and appropriately fit a learn objective, with parallel non-overlapping options. However, the standalone rationale and distractor reasons introduce unsupported outside claims: that accommodative convergence is driven by accommodative effort, that minus lenses produce the reverse effects, and that the listed effects necessarily share that mechanism. The supplied evidence states the two plus effects but does not establish those added causal or minus-lens claims.</w:t>
      </w:r>
    </w:p>
    <w:p>
      <w:pPr>
        <w:spacing w:after="220"/>
      </w:pPr>
    </w:p>
    <w:p>
      <w:pPr>
        <w:pStyle w:val="Heading3"/>
        <w:keepNext/>
        <w:spacing w:after="100" w:before="220"/>
      </w:pPr>
      <w:r>
        <w:t xml:space="preserve">Response 2</w:t>
      </w:r>
    </w:p>
    <w:p>
      <w:pPr>
        <w:keepNext/>
        <w:spacing w:after="90" w:line="240"/>
      </w:pPr>
      <w:r>
        <w:rPr>
          <w:rFonts w:ascii="Arial" w:cs="Arial" w:eastAsia="Arial" w:hAnsi="Arial"/>
          <w:b/>
          <w:bCs/>
          <w:color w:val="000000"/>
        </w:rPr>
        <w:t xml:space="preserve">Response 2  </w:t>
      </w:r>
      <w:r>
        <w:rPr>
          <w:rFonts w:ascii="Arial" w:cs="Arial" w:eastAsia="Arial" w:hAnsi="Arial"/>
          <w:b/>
          <w:bCs/>
          <w:color w:val="9C2F2F"/>
        </w:rPr>
        <w:t xml:space="preserve">Fail  </w:t>
      </w:r>
      <w:r>
        <w:rPr>
          <w:rFonts w:ascii="Arial" w:cs="Arial" w:eastAsia="Arial" w:hAnsi="Arial"/>
          <w:color w:val="5B6573"/>
        </w:rPr>
        <w:t xml:space="preserve">Case 85bef31d-q2  clinical  </w:t>
      </w:r>
      <w:r>
        <w:rPr>
          <w:rFonts w:ascii="Arial" w:cs="Arial" w:eastAsia="Arial" w:hAnsi="Arial"/>
          <w:color w:val="5B6573"/>
        </w:rPr>
        <w:t xml:space="preserve">Score 0.45  Latency 57.5s  Cost $0.003315</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3. Therapeutic Spectacle Prescribing I bb.pdf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Apply minimum effective plus prescribing to a new functional testing example.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9-year-old with homework-related near symptoms undergoes lens probing during book retinoscopy. With +0.50 DS, reading fluency is unchanged and symptoms persist. With +1.00 DS, reading fluency improves noticeably, near symptoms ease, and the near phoria shifts only from 6 to 7 prism diopters base-in while binocular control stays stable. With +2.00 DS, reading is clear, but near exo increases from 6 to 13 prism diopters base-in and the child briefly loses fusion at near. Which prescription best applies the minimum effective plus approach?</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000000"/>
        </w:rPr>
        <w:t xml:space="preserve">A. </w:t>
      </w:r>
      <w:r>
        <w:rPr>
          <w:rFonts w:ascii="Arial" w:cs="Arial" w:eastAsia="Arial" w:hAnsi="Arial"/>
          <w:b w:val="false"/>
          <w:bCs w:val="false"/>
          <w:color w:val="000000"/>
        </w:rPr>
        <w:t xml:space="preserve">Prescribe +0.50 DS, because it is the smallest power tried and the least likely to disturb binocular control</w:t>
      </w:r>
    </w:p>
    <w:p>
      <w:pPr>
        <w:spacing w:after="45" w:line="245"/>
        <w:ind w:left="280" w:hanging="0"/>
      </w:pPr>
      <w:r>
        <w:rPr>
          <w:rFonts w:ascii="Arial" w:cs="Arial" w:eastAsia="Arial" w:hAnsi="Arial"/>
          <w:b/>
          <w:bCs/>
          <w:color w:val="1F6D3D"/>
        </w:rPr>
        <w:t xml:space="preserve">B. </w:t>
      </w:r>
      <w:r>
        <w:rPr>
          <w:rFonts w:ascii="Arial" w:cs="Arial" w:eastAsia="Arial" w:hAnsi="Arial"/>
          <w:b/>
          <w:bCs/>
          <w:color w:val="1F6D3D"/>
        </w:rPr>
        <w:t xml:space="preserve">Prescribe +1.00 DS, because it is the smallest add that produces meaningful functional improvement while binocular control remains acceptable</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Prescribe +2.00 DS, because it provides the clearest, most complete relief of the reading difficulty and near symptoms</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Withhold plus, because every plus add removes accommodative stimulus and the goal is to preserve it</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Minimum effective plus means sending home the smallest add that produces a meaningful functional improvement on probe testing while binocular control remains acceptable and some accommodative stimulus is retained. Here +1.00 DS is the first power that actually changes function: reading fluency improves, symptoms ease, and the near phoria shifts only trivially with stable control, so it meets both the effectiveness and the safety requirements. +0.50 DS fails the effectiveness requirement — being the smallest power tried is irrelevant when it produces no meaningful improvement. +2.00 DS fails the safety requirement: the marked exo shift and lost fusion show the add is compromising binocular control, the same warning pattern that vetoes an add even when reading improves, and an add that large also erases the accommodative stimulus the minimum-add approach deliberately preserves. Withholding plus ignores the demonstrated functional benefit, and a demonstrated functional benefit is exactly what justifies therapeutic plus.</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Constraint-satisfaction prescribing: select the smallest intervention that satisfies both an effectiveness criterion and a safety boundary</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p29c0: minimum add that permits comfortable near function while retaining some accommodative stimulus</w:t>
      </w:r>
    </w:p>
    <w:p>
      <w:pPr>
        <w:pStyle w:val="ListParagraph"/>
        <w:numPr>
          <w:ilvl w:val="0"/>
          <w:numId w:val="1"/>
        </w:numPr>
        <w:spacing w:after="70" w:line="260"/>
      </w:pPr>
      <w:r>
        <w:rPr>
          <w:rFonts w:ascii="Arial" w:cs="Arial" w:eastAsia="Arial" w:hAnsi="Arial"/>
          <w:color w:val="000000"/>
        </w:rPr>
        <w:t xml:space="preserve">p39c0: Prescribe the smallest add that produces a meaningful functional improvement</w:t>
      </w:r>
    </w:p>
    <w:p>
      <w:pPr>
        <w:pStyle w:val="ListParagraph"/>
        <w:numPr>
          <w:ilvl w:val="0"/>
          <w:numId w:val="1"/>
        </w:numPr>
        <w:spacing w:after="70" w:line="260"/>
      </w:pPr>
      <w:r>
        <w:rPr>
          <w:rFonts w:ascii="Arial" w:cs="Arial" w:eastAsia="Arial" w:hAnsi="Arial"/>
          <w:color w:val="000000"/>
        </w:rPr>
        <w:t xml:space="preserve">p33c0: Near exo increases from 8 BI to 14 BI</w:t>
      </w:r>
    </w:p>
    <w:p>
      <w:pPr>
        <w:pStyle w:val="ListParagraph"/>
        <w:numPr>
          <w:ilvl w:val="0"/>
          <w:numId w:val="1"/>
        </w:numPr>
        <w:spacing w:after="70" w:line="260"/>
      </w:pPr>
      <w:r>
        <w:rPr>
          <w:rFonts w:ascii="Arial" w:cs="Arial" w:eastAsia="Arial" w:hAnsi="Arial"/>
          <w:color w:val="000000"/>
        </w:rPr>
        <w:t xml:space="preserve">p26c0: Therapeutic prescribing requires a functional reason!</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A. Mistakes minimum for smallest power tried: +0.50 DS leaves reading fluency and symptoms unchanged, so it is not effective, and the principle requires meaningful functional improvement rather than simply the least plus.</w:t>
      </w:r>
    </w:p>
    <w:p>
      <w:pPr>
        <w:pStyle w:val="ListParagraph"/>
        <w:numPr>
          <w:ilvl w:val="0"/>
          <w:numId w:val="1"/>
        </w:numPr>
        <w:spacing w:after="70" w:line="260"/>
      </w:pPr>
      <w:r>
        <w:rPr>
          <w:rFonts w:ascii="Arial" w:cs="Arial" w:eastAsia="Arial" w:hAnsi="Arial"/>
          <w:color w:val="000000"/>
        </w:rPr>
        <w:t xml:space="preserve">C. Prioritizes maximal clarity over binocular safety: the large exo shift and lost fusion show +2.00 DS compromises binocular control, which disqualifies it despite better reading, and an add that large also removes the accommodative stimulus the minimum-add approach preserves.</w:t>
      </w:r>
    </w:p>
    <w:p>
      <w:pPr>
        <w:pStyle w:val="ListParagraph"/>
        <w:numPr>
          <w:ilvl w:val="0"/>
          <w:numId w:val="1"/>
        </w:numPr>
        <w:spacing w:after="70" w:line="260"/>
      </w:pPr>
      <w:r>
        <w:rPr>
          <w:rFonts w:ascii="Arial" w:cs="Arial" w:eastAsia="Arial" w:hAnsi="Arial"/>
          <w:color w:val="000000"/>
        </w:rPr>
        <w:t xml:space="preserve">D. Overgeneralizes preserving accommodative stimulus into refusing plus altogether, ignoring that functional testing demonstrated a real benefit, which is exactly the functional reason that justifies therapeutic plus.</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0.45 is below the minimum 0.7. The judge wrote: The clinical scenario and key generally fit the minimum-effective-plus principle, but the rationale makes unsupported and overly absolute claims that +2.00 DS “erases” accommodative stimulus and that +1.00 DS demonstrably retains it. The supplied evidence says minimum add should retain some stimulus, not that these specific powers establish or eliminate it. The +2.00 option also claims complete symptom relief not stated in the stem. These unsupported assertions prevent a fully source-grounded standalone rationale.</w:t>
      </w:r>
    </w:p>
    <w:p>
      <w:pPr>
        <w:spacing w:after="220"/>
      </w:pPr>
    </w:p>
    <w:p>
      <w:pPr>
        <w:pStyle w:val="Heading3"/>
        <w:keepNext/>
        <w:spacing w:after="100" w:before="220"/>
      </w:pPr>
      <w:r>
        <w:t xml:space="preserve">Response 3</w:t>
      </w:r>
    </w:p>
    <w:p>
      <w:pPr>
        <w:keepNext/>
        <w:spacing w:after="90" w:line="240"/>
      </w:pPr>
      <w:r>
        <w:rPr>
          <w:rFonts w:ascii="Arial" w:cs="Arial" w:eastAsia="Arial" w:hAnsi="Arial"/>
          <w:b/>
          <w:bCs/>
          <w:color w:val="000000"/>
        </w:rPr>
        <w:t xml:space="preserve">Response 3  </w:t>
      </w:r>
      <w:r>
        <w:rPr>
          <w:rFonts w:ascii="Arial" w:cs="Arial" w:eastAsia="Arial" w:hAnsi="Arial"/>
          <w:b/>
          <w:bCs/>
          <w:color w:val="1F6D3D"/>
        </w:rPr>
        <w:t xml:space="preserve">Pass  </w:t>
      </w:r>
      <w:r>
        <w:rPr>
          <w:rFonts w:ascii="Arial" w:cs="Arial" w:eastAsia="Arial" w:hAnsi="Arial"/>
          <w:color w:val="5B6573"/>
        </w:rPr>
        <w:t xml:space="preserve">Case 85bef31d-q3  criticalThinking  </w:t>
      </w:r>
      <w:r>
        <w:rPr>
          <w:rFonts w:ascii="Arial" w:cs="Arial" w:eastAsia="Arial" w:hAnsi="Arial"/>
          <w:color w:val="5B6573"/>
        </w:rPr>
        <w:t xml:space="preserve">Score not logged  Latency 62.0s  Cost $0.003022</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3. Therapeutic Spectacle Prescribing I bb.pdf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improvement in reading with acceptable binocular control when deciding whether plus is appropriate.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trial of +0.75 DS, selected from near (book) retinoscopy, improves a patient's reading fluency and relieves the near symptoms that prompted the visit. Before sending the patient home with this plus prescription, which finding must also be confirmed?</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Binocular control remains acceptable while the patient wears the plus</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The +0.75 fully neutralizes the near retinoscopy finding</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A higher add produces an even greater gain in reading fluency</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The plus reduces accommodative demand, as any plus power does</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Prescribing plus therapeutically requires integrating two findings, not just one: a meaningful functional gain (better reading fluency, fewer near symptoms) and preserved binocular control. Plus reduces accommodative convergence and tends to shift the near phoric position toward exophoria, so a reading benefit that arrives with a marked exo drift means the prescription is trading binocular control for fluency; the trial supports prescribing only when control stays acceptable despite the reading improvement. The other findings do not justify the prescription. Fully neutralizing the retinoscopy finding is a refractive endpoint, whereas therapeutic plus needs a functional reason rather than complete optical correction. Selecting the add that yields the largest gain contradicts the minimum-effective-plus approach, which favors the smallest add that permits comfortable near function while retaining some accommodative stimulus; a lower add can even outperform a stronger one for some accommodative-insufficiency outcomes. Finally, reduced accommodative demand is an automatic effect of any plus lens, so it cannot distinguish a prescription that helps this patient from one that does not.</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Integrating multiple decision criteria (benefit and risk) to judge when evidence is sufficient to act</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p32c0: Binocular control remains acceptable</w:t>
      </w:r>
    </w:p>
    <w:p>
      <w:pPr>
        <w:pStyle w:val="ListParagraph"/>
        <w:numPr>
          <w:ilvl w:val="0"/>
          <w:numId w:val="1"/>
        </w:numPr>
        <w:spacing w:after="70" w:line="260"/>
      </w:pPr>
      <w:r>
        <w:rPr>
          <w:rFonts w:ascii="Arial" w:cs="Arial" w:eastAsia="Arial" w:hAnsi="Arial"/>
          <w:color w:val="000000"/>
        </w:rPr>
        <w:t xml:space="preserve">p33c0: Near exo increases from 8 BI to 14 BI</w:t>
      </w:r>
    </w:p>
    <w:p>
      <w:pPr>
        <w:pStyle w:val="ListParagraph"/>
        <w:numPr>
          <w:ilvl w:val="0"/>
          <w:numId w:val="1"/>
        </w:numPr>
        <w:spacing w:after="70" w:line="260"/>
      </w:pPr>
      <w:r>
        <w:rPr>
          <w:rFonts w:ascii="Arial" w:cs="Arial" w:eastAsia="Arial" w:hAnsi="Arial"/>
          <w:color w:val="000000"/>
        </w:rPr>
        <w:t xml:space="preserve">p29c0: Look for meaningful improvement without compromising binocular control</w:t>
      </w:r>
    </w:p>
    <w:p>
      <w:pPr>
        <w:pStyle w:val="ListParagraph"/>
        <w:numPr>
          <w:ilvl w:val="0"/>
          <w:numId w:val="1"/>
        </w:numPr>
        <w:spacing w:after="70" w:line="260"/>
      </w:pPr>
      <w:r>
        <w:rPr>
          <w:rFonts w:ascii="Arial" w:cs="Arial" w:eastAsia="Arial" w:hAnsi="Arial"/>
          <w:color w:val="000000"/>
        </w:rPr>
        <w:t xml:space="preserve">p29c0: +1.00 D performed better than +2.00 D</w:t>
      </w:r>
    </w:p>
    <w:p>
      <w:pPr>
        <w:pStyle w:val="ListParagraph"/>
        <w:numPr>
          <w:ilvl w:val="0"/>
          <w:numId w:val="1"/>
        </w:numPr>
        <w:spacing w:after="70" w:line="260"/>
      </w:pPr>
      <w:r>
        <w:rPr>
          <w:rFonts w:ascii="Arial" w:cs="Arial" w:eastAsia="Arial" w:hAnsi="Arial"/>
          <w:color w:val="000000"/>
        </w:rPr>
        <w:t xml:space="preserve">p26c0: Therapeutic prescribing requires a functional reason!</w:t>
      </w:r>
    </w:p>
    <w:p>
      <w:pPr>
        <w:pStyle w:val="ListParagraph"/>
        <w:numPr>
          <w:ilvl w:val="0"/>
          <w:numId w:val="1"/>
        </w:numPr>
        <w:spacing w:after="70" w:line="260"/>
      </w:pPr>
      <w:r>
        <w:rPr>
          <w:rFonts w:ascii="Arial" w:cs="Arial" w:eastAsia="Arial" w:hAnsi="Arial"/>
          <w:color w:val="000000"/>
        </w:rPr>
        <w:t xml:space="preserve">p39c0: Prescribe the smallest add that produces a meaningful functional improvement</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Treats full neutralization of the near retinoscopy finding as the goal, but therapeutic plus requires a functional reason rather than a purely refractive endpoint.</w:t>
      </w:r>
    </w:p>
    <w:p>
      <w:pPr>
        <w:pStyle w:val="ListParagraph"/>
        <w:numPr>
          <w:ilvl w:val="0"/>
          <w:numId w:val="1"/>
        </w:numPr>
        <w:spacing w:after="70" w:line="260"/>
      </w:pPr>
      <w:r>
        <w:rPr>
          <w:rFonts w:ascii="Arial" w:cs="Arial" w:eastAsia="Arial" w:hAnsi="Arial"/>
          <w:color w:val="000000"/>
        </w:rPr>
        <w:t xml:space="preserve">C. Chases the largest reading gain, contradicting the minimum-effective-plus principle of using the smallest add that allows comfortable near function while retaining some accommodative stimulus.</w:t>
      </w:r>
    </w:p>
    <w:p>
      <w:pPr>
        <w:pStyle w:val="ListParagraph"/>
        <w:numPr>
          <w:ilvl w:val="0"/>
          <w:numId w:val="1"/>
        </w:numPr>
        <w:spacing w:after="70" w:line="260"/>
      </w:pPr>
      <w:r>
        <w:rPr>
          <w:rFonts w:ascii="Arial" w:cs="Arial" w:eastAsia="Arial" w:hAnsi="Arial"/>
          <w:color w:val="000000"/>
        </w:rPr>
        <w:t xml:space="preserve">D. Mistakes an automatic effect of plus (reduced accommodative demand) for evidence of benefit; it occurs with any plus power and does not confirm meaningful improvement or preserved binocular control.</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the run log did not retain a numeric judge score.</w:t>
      </w:r>
    </w:p>
    <w:p>
      <w:pPr>
        <w:spacing w:after="220"/>
      </w:pPr>
    </w:p>
    <w:p>
      <w:pPr>
        <w:pStyle w:val="Heading3"/>
        <w:keepNext/>
        <w:spacing w:after="100" w:before="220"/>
      </w:pPr>
      <w:r>
        <w:t xml:space="preserve">Response 4</w:t>
      </w:r>
    </w:p>
    <w:p>
      <w:pPr>
        <w:keepNext/>
        <w:spacing w:after="90" w:line="240"/>
      </w:pPr>
      <w:r>
        <w:rPr>
          <w:rFonts w:ascii="Arial" w:cs="Arial" w:eastAsia="Arial" w:hAnsi="Arial"/>
          <w:b/>
          <w:bCs/>
          <w:color w:val="000000"/>
        </w:rPr>
        <w:t xml:space="preserve">Response 4  </w:t>
      </w:r>
      <w:r>
        <w:rPr>
          <w:rFonts w:ascii="Arial" w:cs="Arial" w:eastAsia="Arial" w:hAnsi="Arial"/>
          <w:b/>
          <w:bCs/>
          <w:color w:val="9C2F2F"/>
        </w:rPr>
        <w:t xml:space="preserve">Fail  </w:t>
      </w:r>
      <w:r>
        <w:rPr>
          <w:rFonts w:ascii="Arial" w:cs="Arial" w:eastAsia="Arial" w:hAnsi="Arial"/>
          <w:color w:val="5B6573"/>
        </w:rPr>
        <w:t xml:space="preserve">Case af3c991e-q1  learn  </w:t>
      </w:r>
      <w:r>
        <w:rPr>
          <w:rFonts w:ascii="Arial" w:cs="Arial" w:eastAsia="Arial" w:hAnsi="Arial"/>
          <w:color w:val="5B6573"/>
        </w:rPr>
        <w:t xml:space="preserve">Score 0.62  Latency 29.1s  Cost $0.002190</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Identify the typical origin and appearance of cholesterol emboli.</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patient with transient monocular vision loss is found to have a retinal arterial embolus on funduscopic examination. Which combination of origin and appearance identifies a cholesterol (Hollenhorst) embolus?</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Origin: carotid artery disease from ulceration of an atheromatous lesion; appearance: highly reflective, glistening, yellow-copper</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Origin: valvular cardiac disease; appearance: large, round-to-ovoid, chalk-like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Origin: platelet aggregates from an atheromatous carotid plaque; appearance: dull, elongated, and highly mobile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Origin: valvular cardiac disease; appearance: highly reflective, glistening, yellow-copper</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Cholesterol (Hollenhorst) emboli arise from carotid artery disease, specifically ulceration of an atheromatous lesion, and characteristically appear highly reflective, glistening, and yellow-copper. They tend to lodge at vascular bifurcations and generally do not produce complete obstruction. Calcific emboli, by contrast, come from valvular cardiac disease and are large, round/ovoid, and chalk-like, tending to cause more severe obstructions. Fibrin-platelet emboli are platelet aggregates from atheromatous plaque (usually in the carotid) that look dull and elongated and are highly mobile. Because fibrin-platelet emboli share a carotid origin with cholesterol emboli, the glistening yellow-copper appearance is the key discriminating feature. The final distractor pairs the correct cholesterol appearance with the wrong cardiac origin: cardiac sources typically yield calcific emboli with a chalk-like look rather than a reflective yellow-copper one.</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attribute-matching: pairing each embolus type with its correct origin and morphological appearance</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p10c0: From carotid artery disease (ulceration of an atheromatous lesion)</w:t>
      </w:r>
    </w:p>
    <w:p>
      <w:pPr>
        <w:pStyle w:val="ListParagraph"/>
        <w:numPr>
          <w:ilvl w:val="0"/>
          <w:numId w:val="1"/>
        </w:numPr>
        <w:spacing w:after="70" w:line="260"/>
      </w:pPr>
      <w:r>
        <w:rPr>
          <w:rFonts w:ascii="Arial" w:cs="Arial" w:eastAsia="Arial" w:hAnsi="Arial"/>
          <w:color w:val="000000"/>
        </w:rPr>
        <w:t xml:space="preserve">p10c0: Highly reflective, glistening, yellow-copper</w:t>
      </w:r>
    </w:p>
    <w:p>
      <w:pPr>
        <w:pStyle w:val="ListParagraph"/>
        <w:numPr>
          <w:ilvl w:val="0"/>
          <w:numId w:val="1"/>
        </w:numPr>
        <w:spacing w:after="70" w:line="260"/>
      </w:pPr>
      <w:r>
        <w:rPr>
          <w:rFonts w:ascii="Arial" w:cs="Arial" w:eastAsia="Arial" w:hAnsi="Arial"/>
          <w:color w:val="000000"/>
        </w:rPr>
        <w:t xml:space="preserve">p11c0: From valvular cardiac disease</w:t>
      </w:r>
    </w:p>
    <w:p>
      <w:pPr>
        <w:pStyle w:val="ListParagraph"/>
        <w:numPr>
          <w:ilvl w:val="0"/>
          <w:numId w:val="1"/>
        </w:numPr>
        <w:spacing w:after="70" w:line="260"/>
      </w:pPr>
      <w:r>
        <w:rPr>
          <w:rFonts w:ascii="Arial" w:cs="Arial" w:eastAsia="Arial" w:hAnsi="Arial"/>
          <w:color w:val="000000"/>
        </w:rPr>
        <w:t xml:space="preserve">p11c0: Dull and elongated</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This describes calcific emboli: they arise from valvular cardiac disease and are large, round/ovoid, and chalk-like, tending to cause more severe obstructions — not the carotid origin and glistening yellow-copper look of cholesterol emboli.</w:t>
      </w:r>
    </w:p>
    <w:p>
      <w:pPr>
        <w:pStyle w:val="ListParagraph"/>
        <w:numPr>
          <w:ilvl w:val="0"/>
          <w:numId w:val="1"/>
        </w:numPr>
        <w:spacing w:after="70" w:line="260"/>
      </w:pPr>
      <w:r>
        <w:rPr>
          <w:rFonts w:ascii="Arial" w:cs="Arial" w:eastAsia="Arial" w:hAnsi="Arial"/>
          <w:color w:val="000000"/>
        </w:rPr>
        <w:t xml:space="preserve">C. This describes fibrin-platelet emboli: although they also derive from carotid atheromatous plaque, their composition is platelet aggregates and they are dull, elongated, and highly mobile rather than reflective and yellow-copper.</w:t>
      </w:r>
    </w:p>
    <w:p>
      <w:pPr>
        <w:pStyle w:val="ListParagraph"/>
        <w:numPr>
          <w:ilvl w:val="0"/>
          <w:numId w:val="1"/>
        </w:numPr>
        <w:spacing w:after="70" w:line="260"/>
      </w:pPr>
      <w:r>
        <w:rPr>
          <w:rFonts w:ascii="Arial" w:cs="Arial" w:eastAsia="Arial" w:hAnsi="Arial"/>
          <w:color w:val="000000"/>
        </w:rPr>
        <w:t xml:space="preserve">D. This mixes the correct cholesterol appearance with the wrong origin: cardiac sources typically produce calcific emboli, which are large, round/ovoid, and chalk-like, not highly reflective and glistening.</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0.62 is below the minimum 0.7. The judge wrote: The core matching question, key, distractors, and rationale are well supported by the supplied evidence, with one defensible answer. However, the student-facing stem adds an unsupported clinical presentation (transient monocular vision loss) and examination context not provided in the evidence, despite the instruction to use only supplied evidence; under the stated strict standard, this prevents a pass.</w:t>
      </w:r>
    </w:p>
    <w:p>
      <w:pPr>
        <w:spacing w:after="220"/>
      </w:pPr>
    </w:p>
    <w:p>
      <w:pPr>
        <w:pStyle w:val="Heading3"/>
        <w:keepNext/>
        <w:spacing w:after="100" w:before="220"/>
      </w:pPr>
      <w:r>
        <w:t xml:space="preserve">Response 5</w:t>
      </w:r>
    </w:p>
    <w:p>
      <w:pPr>
        <w:keepNext/>
        <w:spacing w:after="90" w:line="240"/>
      </w:pPr>
      <w:r>
        <w:rPr>
          <w:rFonts w:ascii="Arial" w:cs="Arial" w:eastAsia="Arial" w:hAnsi="Arial"/>
          <w:b/>
          <w:bCs/>
          <w:color w:val="000000"/>
        </w:rPr>
        <w:t xml:space="preserve">Response 5  </w:t>
      </w:r>
      <w:r>
        <w:rPr>
          <w:rFonts w:ascii="Arial" w:cs="Arial" w:eastAsia="Arial" w:hAnsi="Arial"/>
          <w:b/>
          <w:bCs/>
          <w:color w:val="1F6D3D"/>
        </w:rPr>
        <w:t xml:space="preserve">Pass  </w:t>
      </w:r>
      <w:r>
        <w:rPr>
          <w:rFonts w:ascii="Arial" w:cs="Arial" w:eastAsia="Arial" w:hAnsi="Arial"/>
          <w:color w:val="5B6573"/>
        </w:rPr>
        <w:t xml:space="preserve">Case af3c991e-q2  clinical  </w:t>
      </w:r>
      <w:r>
        <w:rPr>
          <w:rFonts w:ascii="Arial" w:cs="Arial" w:eastAsia="Arial" w:hAnsi="Arial"/>
          <w:color w:val="5B6573"/>
        </w:rPr>
        <w:t xml:space="preserve">Score 0.96  Latency 38.6s  Cost $0.002609</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Distinguish calcific and fibrin-platelet emboli using appearance and likely source.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patient with a retinal arterial occlusion is found on fundus examination to have a large, round, chalk-like particle wedged within the arteriole, producing a severe obstruction. Which type of embolus and most likely source does this appearance indicate?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Calcific embolus from valvular cardiac disease</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Fibrin-platelet embolus from a carotid atheromatous plaque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Cholesterol (Hollenhorst) embolus from an ulcerated carotid atheromatous lesion</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Fibrin-platelet embolus from valvular cardiac disease</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A large, round-to-ovoid, chalk-like embolus that causes a severe obstruction is calcific, and calcific emboli come from valvular cardiac disease; cardiac emboli are usually calcific, most frequently arising from valvular disease such as a calcified valve. By contrast, fibrin-platelet emboli are composed predominantly of platelet aggregates from atheromatous plaque, usually located in the carotid, and they look dull and elongated rather than large and chalk-like, and they are highly mobile. Cholesterol emboli, which also arise from carotid atheromatous disease, are highly reflective and glistening with a yellow-copper appearance, tend to lodge at bifurcations, and generally do not produce complete obstruction, which conflicts with the severe obstruction described here.</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Differential diagnosis by matching embolus morphology to its likely source</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p11c0: Large, round/ovoid</w:t>
      </w:r>
    </w:p>
    <w:p>
      <w:pPr>
        <w:pStyle w:val="ListParagraph"/>
        <w:numPr>
          <w:ilvl w:val="0"/>
          <w:numId w:val="1"/>
        </w:numPr>
        <w:spacing w:after="70" w:line="260"/>
      </w:pPr>
      <w:r>
        <w:rPr>
          <w:rFonts w:ascii="Arial" w:cs="Arial" w:eastAsia="Arial" w:hAnsi="Arial"/>
          <w:color w:val="000000"/>
        </w:rPr>
        <w:t xml:space="preserve">p11c0: Chalk-like appearance</w:t>
      </w:r>
    </w:p>
    <w:p>
      <w:pPr>
        <w:pStyle w:val="ListParagraph"/>
        <w:numPr>
          <w:ilvl w:val="0"/>
          <w:numId w:val="1"/>
        </w:numPr>
        <w:spacing w:after="70" w:line="260"/>
      </w:pPr>
      <w:r>
        <w:rPr>
          <w:rFonts w:ascii="Arial" w:cs="Arial" w:eastAsia="Arial" w:hAnsi="Arial"/>
          <w:color w:val="000000"/>
        </w:rPr>
        <w:t xml:space="preserve">p11c0: Tend to cause more severe obstructions</w:t>
      </w:r>
    </w:p>
    <w:p>
      <w:pPr>
        <w:pStyle w:val="ListParagraph"/>
        <w:numPr>
          <w:ilvl w:val="0"/>
          <w:numId w:val="1"/>
        </w:numPr>
        <w:spacing w:after="70" w:line="260"/>
      </w:pPr>
      <w:r>
        <w:rPr>
          <w:rFonts w:ascii="Arial" w:cs="Arial" w:eastAsia="Arial" w:hAnsi="Arial"/>
          <w:color w:val="000000"/>
        </w:rPr>
        <w:t xml:space="preserve">p11c0: From valvular cardiac disease</w:t>
      </w:r>
    </w:p>
    <w:p>
      <w:pPr>
        <w:pStyle w:val="ListParagraph"/>
        <w:numPr>
          <w:ilvl w:val="0"/>
          <w:numId w:val="1"/>
        </w:numPr>
        <w:spacing w:after="70" w:line="260"/>
      </w:pPr>
      <w:r>
        <w:rPr>
          <w:rFonts w:ascii="Arial" w:cs="Arial" w:eastAsia="Arial" w:hAnsi="Arial"/>
          <w:color w:val="000000"/>
        </w:rPr>
        <w:t xml:space="preserve">p11c0: Dull and elongated</w:t>
      </w:r>
    </w:p>
    <w:p>
      <w:pPr>
        <w:pStyle w:val="ListParagraph"/>
        <w:numPr>
          <w:ilvl w:val="0"/>
          <w:numId w:val="1"/>
        </w:numPr>
        <w:spacing w:after="70" w:line="260"/>
      </w:pPr>
      <w:r>
        <w:rPr>
          <w:rFonts w:ascii="Arial" w:cs="Arial" w:eastAsia="Arial" w:hAnsi="Arial"/>
          <w:color w:val="000000"/>
        </w:rPr>
        <w:t xml:space="preserve">p11c0: Composed predominantly of platelet aggregates from atheromatous plaque (usually located in the carotid)</w:t>
      </w:r>
    </w:p>
    <w:p>
      <w:pPr>
        <w:pStyle w:val="ListParagraph"/>
        <w:numPr>
          <w:ilvl w:val="0"/>
          <w:numId w:val="1"/>
        </w:numPr>
        <w:spacing w:after="70" w:line="260"/>
      </w:pPr>
      <w:r>
        <w:rPr>
          <w:rFonts w:ascii="Arial" w:cs="Arial" w:eastAsia="Arial" w:hAnsi="Arial"/>
          <w:color w:val="000000"/>
        </w:rPr>
        <w:t xml:space="preserve">p13c0: Cardiac emboli are usually calcific</w:t>
      </w:r>
    </w:p>
    <w:p>
      <w:pPr>
        <w:pStyle w:val="ListParagraph"/>
        <w:numPr>
          <w:ilvl w:val="0"/>
          <w:numId w:val="1"/>
        </w:numPr>
        <w:spacing w:after="70" w:line="260"/>
      </w:pPr>
      <w:r>
        <w:rPr>
          <w:rFonts w:ascii="Arial" w:cs="Arial" w:eastAsia="Arial" w:hAnsi="Arial"/>
          <w:color w:val="000000"/>
        </w:rPr>
        <w:t xml:space="preserve">p13c0: Most frequently valvular disease (calcified valve, mitral valve prolapse)</w:t>
      </w:r>
    </w:p>
    <w:p>
      <w:pPr>
        <w:pStyle w:val="ListParagraph"/>
        <w:numPr>
          <w:ilvl w:val="0"/>
          <w:numId w:val="1"/>
        </w:numPr>
        <w:spacing w:after="70" w:line="260"/>
      </w:pPr>
      <w:r>
        <w:rPr>
          <w:rFonts w:ascii="Arial" w:cs="Arial" w:eastAsia="Arial" w:hAnsi="Arial"/>
          <w:color w:val="000000"/>
        </w:rPr>
        <w:t xml:space="preserve">p10c0: Highly reflective, glistening, yellow-copper</w:t>
      </w:r>
    </w:p>
    <w:p>
      <w:pPr>
        <w:pStyle w:val="ListParagraph"/>
        <w:numPr>
          <w:ilvl w:val="0"/>
          <w:numId w:val="1"/>
        </w:numPr>
        <w:spacing w:after="70" w:line="260"/>
      </w:pPr>
      <w:r>
        <w:rPr>
          <w:rFonts w:ascii="Arial" w:cs="Arial" w:eastAsia="Arial" w:hAnsi="Arial"/>
          <w:color w:val="000000"/>
        </w:rPr>
        <w:t xml:space="preserve">p10c0: Generally does not produce complete obstruction</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Fibrin-platelet emboli do come from atheromatous plaque usually located in the carotid, but they are composed of platelet aggregates and appear dull and elongated and are highly mobile, not large, round, and chalk-like with severe obstruction.</w:t>
      </w:r>
    </w:p>
    <w:p>
      <w:pPr>
        <w:pStyle w:val="ListParagraph"/>
        <w:numPr>
          <w:ilvl w:val="0"/>
          <w:numId w:val="1"/>
        </w:numPr>
        <w:spacing w:after="70" w:line="260"/>
      </w:pPr>
      <w:r>
        <w:rPr>
          <w:rFonts w:ascii="Arial" w:cs="Arial" w:eastAsia="Arial" w:hAnsi="Arial"/>
          <w:color w:val="000000"/>
        </w:rPr>
        <w:t xml:space="preserve">C. Cholesterol (Hollenhorst) emboli arise from ulcerated carotid atheromatous lesions, but they are highly reflective, glistening, and yellow-copper, tend to lodge at bifurcations, and generally do not produce complete obstruction, contradicting the severe obstruction described.</w:t>
      </w:r>
    </w:p>
    <w:p>
      <w:pPr>
        <w:pStyle w:val="ListParagraph"/>
        <w:numPr>
          <w:ilvl w:val="0"/>
          <w:numId w:val="1"/>
        </w:numPr>
        <w:spacing w:after="70" w:line="260"/>
      </w:pPr>
      <w:r>
        <w:rPr>
          <w:rFonts w:ascii="Arial" w:cs="Arial" w:eastAsia="Arial" w:hAnsi="Arial"/>
          <w:color w:val="000000"/>
        </w:rPr>
        <w:t xml:space="preserve">D. This pairs the correct source category with the wrong embolus type: cardiac emboli are usually calcific, whereas fibrin-platelet emboli are predominantly platelet aggregates from atheromatous plaque, usually located in the carotid.</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with score 0.96.</w:t>
      </w:r>
    </w:p>
    <w:p>
      <w:pPr>
        <w:spacing w:after="220"/>
      </w:pPr>
    </w:p>
    <w:p>
      <w:pPr>
        <w:pStyle w:val="Heading3"/>
        <w:keepNext/>
        <w:spacing w:after="100" w:before="220"/>
      </w:pPr>
      <w:r>
        <w:t xml:space="preserve">Response 6</w:t>
      </w:r>
    </w:p>
    <w:p>
      <w:pPr>
        <w:keepNext/>
        <w:spacing w:after="90" w:line="240"/>
      </w:pPr>
      <w:r>
        <w:rPr>
          <w:rFonts w:ascii="Arial" w:cs="Arial" w:eastAsia="Arial" w:hAnsi="Arial"/>
          <w:b/>
          <w:bCs/>
          <w:color w:val="000000"/>
        </w:rPr>
        <w:t xml:space="preserve">Response 6  </w:t>
      </w:r>
      <w:r>
        <w:rPr>
          <w:rFonts w:ascii="Arial" w:cs="Arial" w:eastAsia="Arial" w:hAnsi="Arial"/>
          <w:b/>
          <w:bCs/>
          <w:color w:val="9C2F2F"/>
        </w:rPr>
        <w:t xml:space="preserve">Fail  </w:t>
      </w:r>
      <w:r>
        <w:rPr>
          <w:rFonts w:ascii="Arial" w:cs="Arial" w:eastAsia="Arial" w:hAnsi="Arial"/>
          <w:color w:val="5B6573"/>
        </w:rPr>
        <w:t xml:space="preserve">Case af3c991e-q3  criticalThinking  </w:t>
      </w:r>
      <w:r>
        <w:rPr>
          <w:rFonts w:ascii="Arial" w:cs="Arial" w:eastAsia="Arial" w:hAnsi="Arial"/>
          <w:color w:val="5B6573"/>
        </w:rPr>
        <w:t xml:space="preserve">Score not logged  Latency 109.7s  Cost $0.003626</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embolus appearance, obstruction severity, and likely systemic source to distinguish plausible embolic etiologies.</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Funduscopic examination of a patient with a retinal arterial occlusion reveals a retinal arteriolar embolus that is large, round/ovoid, and chalk-like in appearance, and it has produced a severe, near-complete obstruction of the vessel. Which embolus type and systemic source best explain these findings?</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A calcific embolus originating from valvular cardiac disease</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A cholesterol (Hollenhorst) embolus originating from carotid artery atheromatous plaque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A fibrin-platelet embolus originating from carotid atheromatous plaque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A cholesterol (Hollenhorst) embolus originating from valvular cardiac disease</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The combination of a large, round/ovoid, chalk-like embolus causing severe, near-complete obstruction is the characteristic profile of a calcific embolus, which arises from valvular cardiac disease, most frequently a calcified valve or mitral valve prolapse; cardiac emboli are characteristically calcific, and their size and composition tend to cause more severe obstructions. Cholesterol (Hollenhorst) emboli, although the most common retinal emboli, originate from ulcerated carotid atheromatous plaque, appear highly reflective, glistening, and yellow-copper, tend to lodge at bifurcations, and generally do not produce complete obstruction, so they do not fit the severe obstruction described. Fibrin-platelet emboli are platelet aggregates from carotid atheromatous plaque and are dull, elongated, and highly mobile, which contradicts the large, round, chalk-like morphology described here. Attributing a cholesterol embolus to a cardiac valve source reverses the correct type-source pairing, since emboli of cardiac valvular origin are calcific rather than cholesterol.</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Integrating morphologic appearance and obstruction severity to localize the likely embolic source and build a differential diagnosis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p11c0: Large, round/ovoid</w:t>
      </w:r>
    </w:p>
    <w:p>
      <w:pPr>
        <w:pStyle w:val="ListParagraph"/>
        <w:numPr>
          <w:ilvl w:val="0"/>
          <w:numId w:val="1"/>
        </w:numPr>
        <w:spacing w:after="70" w:line="260"/>
      </w:pPr>
      <w:r>
        <w:rPr>
          <w:rFonts w:ascii="Arial" w:cs="Arial" w:eastAsia="Arial" w:hAnsi="Arial"/>
          <w:color w:val="000000"/>
        </w:rPr>
        <w:t xml:space="preserve">p11c0: Chalk-like appearance</w:t>
      </w:r>
    </w:p>
    <w:p>
      <w:pPr>
        <w:pStyle w:val="ListParagraph"/>
        <w:numPr>
          <w:ilvl w:val="0"/>
          <w:numId w:val="1"/>
        </w:numPr>
        <w:spacing w:after="70" w:line="260"/>
      </w:pPr>
      <w:r>
        <w:rPr>
          <w:rFonts w:ascii="Arial" w:cs="Arial" w:eastAsia="Arial" w:hAnsi="Arial"/>
          <w:color w:val="000000"/>
        </w:rPr>
        <w:t xml:space="preserve">p11c0: Tend to cause more severe obstructions</w:t>
      </w:r>
    </w:p>
    <w:p>
      <w:pPr>
        <w:pStyle w:val="ListParagraph"/>
        <w:numPr>
          <w:ilvl w:val="0"/>
          <w:numId w:val="1"/>
        </w:numPr>
        <w:spacing w:after="70" w:line="260"/>
      </w:pPr>
      <w:r>
        <w:rPr>
          <w:rFonts w:ascii="Arial" w:cs="Arial" w:eastAsia="Arial" w:hAnsi="Arial"/>
          <w:color w:val="000000"/>
        </w:rPr>
        <w:t xml:space="preserve">p11c0: From valvular cardiac disease</w:t>
      </w:r>
    </w:p>
    <w:p>
      <w:pPr>
        <w:pStyle w:val="ListParagraph"/>
        <w:numPr>
          <w:ilvl w:val="0"/>
          <w:numId w:val="1"/>
        </w:numPr>
        <w:spacing w:after="70" w:line="260"/>
      </w:pPr>
      <w:r>
        <w:rPr>
          <w:rFonts w:ascii="Arial" w:cs="Arial" w:eastAsia="Arial" w:hAnsi="Arial"/>
          <w:color w:val="000000"/>
        </w:rPr>
        <w:t xml:space="preserve">p13c0: Cardiac emboli are usually calcific</w:t>
      </w:r>
    </w:p>
    <w:p>
      <w:pPr>
        <w:pStyle w:val="ListParagraph"/>
        <w:numPr>
          <w:ilvl w:val="0"/>
          <w:numId w:val="1"/>
        </w:numPr>
        <w:spacing w:after="70" w:line="260"/>
      </w:pPr>
      <w:r>
        <w:rPr>
          <w:rFonts w:ascii="Arial" w:cs="Arial" w:eastAsia="Arial" w:hAnsi="Arial"/>
          <w:color w:val="000000"/>
        </w:rPr>
        <w:t xml:space="preserve">p13c0: Most frequently valvular disease (calcified valve, mitral valve prolapse)</w:t>
      </w:r>
    </w:p>
    <w:p>
      <w:pPr>
        <w:pStyle w:val="ListParagraph"/>
        <w:numPr>
          <w:ilvl w:val="0"/>
          <w:numId w:val="1"/>
        </w:numPr>
        <w:spacing w:after="70" w:line="260"/>
      </w:pPr>
      <w:r>
        <w:rPr>
          <w:rFonts w:ascii="Arial" w:cs="Arial" w:eastAsia="Arial" w:hAnsi="Arial"/>
          <w:color w:val="000000"/>
        </w:rPr>
        <w:t xml:space="preserve">p10c0: From carotid artery disease (ulceration of an atheromatous lesion)</w:t>
      </w:r>
    </w:p>
    <w:p>
      <w:pPr>
        <w:pStyle w:val="ListParagraph"/>
        <w:numPr>
          <w:ilvl w:val="0"/>
          <w:numId w:val="1"/>
        </w:numPr>
        <w:spacing w:after="70" w:line="260"/>
      </w:pPr>
      <w:r>
        <w:rPr>
          <w:rFonts w:ascii="Arial" w:cs="Arial" w:eastAsia="Arial" w:hAnsi="Arial"/>
          <w:color w:val="000000"/>
        </w:rPr>
        <w:t xml:space="preserve">p10c0: Generally does not produce complete obstruction</w:t>
      </w:r>
    </w:p>
    <w:p>
      <w:pPr>
        <w:pStyle w:val="ListParagraph"/>
        <w:numPr>
          <w:ilvl w:val="0"/>
          <w:numId w:val="1"/>
        </w:numPr>
        <w:spacing w:after="70" w:line="260"/>
      </w:pPr>
      <w:r>
        <w:rPr>
          <w:rFonts w:ascii="Arial" w:cs="Arial" w:eastAsia="Arial" w:hAnsi="Arial"/>
          <w:color w:val="000000"/>
        </w:rPr>
        <w:t xml:space="preserve">p11c0: Dull and elongated</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Cholesterol (Hollenhorst) emboli come from ulcerated carotid atheromatous plaque, are highly reflective, glistening, and yellow-copper, tend to lodge at bifurcations, and generally do not produce complete obstruction — inconsistent with the chalk-like morphology and severe obstruction described.</w:t>
      </w:r>
    </w:p>
    <w:p>
      <w:pPr>
        <w:pStyle w:val="ListParagraph"/>
        <w:numPr>
          <w:ilvl w:val="0"/>
          <w:numId w:val="1"/>
        </w:numPr>
        <w:spacing w:after="70" w:line="260"/>
      </w:pPr>
      <w:r>
        <w:rPr>
          <w:rFonts w:ascii="Arial" w:cs="Arial" w:eastAsia="Arial" w:hAnsi="Arial"/>
          <w:color w:val="000000"/>
        </w:rPr>
        <w:t xml:space="preserve">C. Fibrin-platelet emboli are platelet aggregates from carotid atheromatous plaque that are dull, elongated, and highly mobile — features that contradict the large, round/ovoid, chalk-like embolus described.</w:t>
      </w:r>
    </w:p>
    <w:p>
      <w:pPr>
        <w:pStyle w:val="ListParagraph"/>
        <w:numPr>
          <w:ilvl w:val="0"/>
          <w:numId w:val="1"/>
        </w:numPr>
        <w:spacing w:after="70" w:line="260"/>
      </w:pPr>
      <w:r>
        <w:rPr>
          <w:rFonts w:ascii="Arial" w:cs="Arial" w:eastAsia="Arial" w:hAnsi="Arial"/>
          <w:color w:val="000000"/>
        </w:rPr>
        <w:t xml:space="preserve">D. This pairing reverses the type-source relationship: cardiac valvular emboli are usually calcific, while cholesterol (Hollenhorst) emboli arise from carotid artery disease, so assigning a cholesterol embolus to a cardiac valve is incorrect.</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expected the run to finish within 90000ms, but it took 109660ms.</w:t>
      </w:r>
    </w:p>
    <w:p>
      <w:pPr>
        <w:spacing w:after="220"/>
      </w:pPr>
    </w:p>
    <w:p>
      <w:pPr>
        <w:pStyle w:val="Heading3"/>
        <w:keepNext/>
        <w:spacing w:after="100" w:before="220"/>
      </w:pPr>
      <w:r>
        <w:t xml:space="preserve">Response 7</w:t>
      </w:r>
    </w:p>
    <w:p>
      <w:pPr>
        <w:keepNext/>
        <w:spacing w:after="90" w:line="240"/>
      </w:pPr>
      <w:r>
        <w:rPr>
          <w:rFonts w:ascii="Arial" w:cs="Arial" w:eastAsia="Arial" w:hAnsi="Arial"/>
          <w:b/>
          <w:bCs/>
          <w:color w:val="000000"/>
        </w:rPr>
        <w:t xml:space="preserve">Response 7  </w:t>
      </w:r>
      <w:r>
        <w:rPr>
          <w:rFonts w:ascii="Arial" w:cs="Arial" w:eastAsia="Arial" w:hAnsi="Arial"/>
          <w:b/>
          <w:bCs/>
          <w:color w:val="9C2F2F"/>
        </w:rPr>
        <w:t xml:space="preserve">Fail  </w:t>
      </w:r>
      <w:r>
        <w:rPr>
          <w:rFonts w:ascii="Arial" w:cs="Arial" w:eastAsia="Arial" w:hAnsi="Arial"/>
          <w:color w:val="5B6573"/>
        </w:rPr>
        <w:t xml:space="preserve">Case dc00ab51-q1  learn  </w:t>
      </w:r>
      <w:r>
        <w:rPr>
          <w:rFonts w:ascii="Arial" w:cs="Arial" w:eastAsia="Arial" w:hAnsi="Arial"/>
          <w:color w:val="5B6573"/>
        </w:rPr>
        <w:t xml:space="preserve">Score 0.38  Latency 20.2s  Cost $0.001976</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Identify the traditional organizational structure of medical care.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Which description best characterizes the traditional organizational structure of medical care in the United States?</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Care was delivered predominantly by fee-for-service private physicians in solo or small group practices, with most hospitals organized as private nonprofit institutions.</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Care was delivered predominantly by salaried specialists formally integrated into large multispecialty group practices, with most hospitals opened and operated by those physician groups.</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Care was delivered predominantly through community-governed health centers that melded clinical services with public health activities, with most hospitals governed by community members.</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Care was delivered predominantly by government-employed physicians working in public clinics, with most hospitals operated as municipal institutions.</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The traditional structure of medical care rested on fee-for-service private physicians practicing solo or in small groups, with most hospitals operating as private nonprofit institutions. Fee-for-service payment means physicians were compensated for each service rendered rather than by salary, and the private, small-scale practice setting preserved an intimate patient–physician relationship. Large multispecialty group practices — of which the Mayo Clinic was the pioneering example — arose as an alternative model: by integrating specialists into a single clinic, they aimed to promote collaborative care and expected better quality through formal and informal peer review, but critics warned that such large structures would make care impersonal and leave no single physician clearly accountable for a patient's welfare. Community health centers represent a different model altogether, one that combines comprehensive clinical services with public health activities and is governed by community members. Finally, a system of government-employed physicians and municipal hospitals inverts the traditional pattern, in which both medical practice and hospital ownership were predominantly private.</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categorization — distinguishing between organizational models of medical care delivery (traditional private fee-for-service practice versus group practice, community health centers, and public/governmental systems)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p2c0: Most medical care was delivered by fee-for-service private physicians in solo or small group practices.</w:t>
      </w:r>
    </w:p>
    <w:p>
      <w:pPr>
        <w:pStyle w:val="ListParagraph"/>
        <w:numPr>
          <w:ilvl w:val="0"/>
          <w:numId w:val="1"/>
        </w:numPr>
        <w:spacing w:after="70" w:line="260"/>
      </w:pPr>
      <w:r>
        <w:rPr>
          <w:rFonts w:ascii="Arial" w:cs="Arial" w:eastAsia="Arial" w:hAnsi="Arial"/>
          <w:color w:val="000000"/>
        </w:rPr>
        <w:t xml:space="preserve">p2c0: Most hospitals were private nonprofit institutions</w:t>
      </w:r>
    </w:p>
    <w:p>
      <w:pPr>
        <w:pStyle w:val="ListParagraph"/>
        <w:numPr>
          <w:ilvl w:val="0"/>
          <w:numId w:val="1"/>
        </w:numPr>
        <w:spacing w:after="70" w:line="260"/>
      </w:pPr>
      <w:r>
        <w:rPr>
          <w:rFonts w:ascii="Arial" w:cs="Arial" w:eastAsia="Arial" w:hAnsi="Arial"/>
          <w:color w:val="000000"/>
        </w:rPr>
        <w:t xml:space="preserve">p5c0: Enhancement of quality of care was expected from the greater opportunity for formal and informal peer review</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Describes large multispecialty group practice, a prominent alternative model built on collaboration and peer review — not the traditional dominant structure of solo or small group fee-for-service practice.</w:t>
      </w:r>
    </w:p>
    <w:p>
      <w:pPr>
        <w:pStyle w:val="ListParagraph"/>
        <w:numPr>
          <w:ilvl w:val="0"/>
          <w:numId w:val="1"/>
        </w:numPr>
        <w:spacing w:after="70" w:line="260"/>
      </w:pPr>
      <w:r>
        <w:rPr>
          <w:rFonts w:ascii="Arial" w:cs="Arial" w:eastAsia="Arial" w:hAnsi="Arial"/>
          <w:color w:val="000000"/>
        </w:rPr>
        <w:t xml:space="preserve">C. Describes community health centers, which meld clinical services with public health activities under governance by community members — a distinct organizational model, not the traditional structure.</w:t>
      </w:r>
    </w:p>
    <w:p>
      <w:pPr>
        <w:pStyle w:val="ListParagraph"/>
        <w:numPr>
          <w:ilvl w:val="0"/>
          <w:numId w:val="1"/>
        </w:numPr>
        <w:spacing w:after="70" w:line="260"/>
      </w:pPr>
      <w:r>
        <w:rPr>
          <w:rFonts w:ascii="Arial" w:cs="Arial" w:eastAsia="Arial" w:hAnsi="Arial"/>
          <w:color w:val="000000"/>
        </w:rPr>
        <w:t xml:space="preserve">D. Describes government-employed physicians and municipal hospitals, which reverses the traditional pattern of private fee-for-service physicians and private nonprofit hospitals.</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0.38 is below the minimum 0.7. The judge wrote: Although the keyed answer accurately reflects the supplied traditional-structure evidence and the format is otherwise correct, the student-facing rationale adds unsupported claims, including a definition of fee-for-service payment, that the Mayo Clinic was a pioneering example, and broad claims about government-employed physicians and municipal hospitals. Several distractors likewise assert unsupported system-wide patterns. Under the requirement to use only supplied evidence, these additions prevent a pass.</w:t>
      </w:r>
    </w:p>
    <w:p>
      <w:pPr>
        <w:spacing w:after="220"/>
      </w:pPr>
    </w:p>
    <w:p>
      <w:pPr>
        <w:pStyle w:val="Heading3"/>
        <w:keepNext/>
        <w:spacing w:after="100" w:before="220"/>
      </w:pPr>
      <w:r>
        <w:t xml:space="preserve">Response 8</w:t>
      </w:r>
    </w:p>
    <w:p>
      <w:pPr>
        <w:keepNext/>
        <w:spacing w:after="90" w:line="240"/>
      </w:pPr>
      <w:r>
        <w:rPr>
          <w:rFonts w:ascii="Arial" w:cs="Arial" w:eastAsia="Arial" w:hAnsi="Arial"/>
          <w:b/>
          <w:bCs/>
          <w:color w:val="000000"/>
        </w:rPr>
        <w:t xml:space="preserve">Response 8  </w:t>
      </w:r>
      <w:r>
        <w:rPr>
          <w:rFonts w:ascii="Arial" w:cs="Arial" w:eastAsia="Arial" w:hAnsi="Arial"/>
          <w:b/>
          <w:bCs/>
          <w:color w:val="1F6D3D"/>
        </w:rPr>
        <w:t xml:space="preserve">Pass  </w:t>
      </w:r>
      <w:r>
        <w:rPr>
          <w:rFonts w:ascii="Arial" w:cs="Arial" w:eastAsia="Arial" w:hAnsi="Arial"/>
          <w:color w:val="5B6573"/>
        </w:rPr>
        <w:t xml:space="preserve">Case dc00ab51-q2  clinical  </w:t>
      </w:r>
      <w:r>
        <w:rPr>
          <w:rFonts w:ascii="Arial" w:cs="Arial" w:eastAsia="Arial" w:hAnsi="Arial"/>
          <w:color w:val="5B6573"/>
        </w:rPr>
        <w:t xml:space="preserve">Score not logged  Latency 34.0s  Cost $0.002697</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Apply the collaborative care rationale of multispecialty group practice to a new example.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new clinic hires cardiologists, general surgeons, and laboratory-oriented physicians to work together in a single practice, where colleagues share responsibility for the care of their patients. Which rationale best explains why this multispecialty group practice structure was expected to enhance the quality of care?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000000"/>
        </w:rPr>
        <w:t xml:space="preserve">A. </w:t>
      </w:r>
      <w:r>
        <w:rPr>
          <w:rFonts w:ascii="Arial" w:cs="Arial" w:eastAsia="Arial" w:hAnsi="Arial"/>
          <w:b w:val="false"/>
          <w:bCs w:val="false"/>
          <w:color w:val="000000"/>
        </w:rPr>
        <w:t xml:space="preserve">Each patient is guaranteed a single physician who is clearly accountable for his or her welfare.</w:t>
      </w:r>
    </w:p>
    <w:p>
      <w:pPr>
        <w:spacing w:after="45" w:line="245"/>
        <w:ind w:left="280" w:hanging="0"/>
      </w:pPr>
      <w:r>
        <w:rPr>
          <w:rFonts w:ascii="Arial" w:cs="Arial" w:eastAsia="Arial" w:hAnsi="Arial"/>
          <w:b/>
          <w:bCs/>
          <w:color w:val="1F6D3D"/>
        </w:rPr>
        <w:t xml:space="preserve">B. </w:t>
      </w:r>
      <w:r>
        <w:rPr>
          <w:rFonts w:ascii="Arial" w:cs="Arial" w:eastAsia="Arial" w:hAnsi="Arial"/>
          <w:b/>
          <w:bCs/>
          <w:color w:val="1F6D3D"/>
        </w:rPr>
        <w:t xml:space="preserve">Colleagues working together gain greater opportunity for formal and informal peer review and continuing education.</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Each physician can independently bill fee-for-service and expand patient volume under one roof.</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Community members govern the clinic, and trained local outreach workers meld clinical services with public health activities.</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Multispecialty group practice formally integrated specialists into a single clinic structure in order to promote a collaborative style of care. The anticipated gain in quality came from the greater opportunity for formal and informal peer review and continuing education that arises when colleagues work side by side and share responsibility for patients. The other choices reflect different models or an inversion of the concept: the ideal of one clearly accountable physician belongs to solo practice, and critics in fact warned that large groups could produce impersonal care with no single physician clearly accountable for the patient's welfare. Independent fee-for-service billing describes the traditional solo or small practice structure and speaks to revenue rather than the collaborative rationale for better quality. Community-member governance, trained outreach workers, and melding clinical services with public health describe community health centers, a distinct model built around responsibility for a community's health rather than specialist collaboration within one practice.</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application of a learned concept to a new scenario</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p5c0: Enhancement of quality of care was expected from the greater opportunity for formal and informal peer review and continuing education when colleagues worked together and shared responsibility for the care of patients.</w:t>
      </w:r>
    </w:p>
    <w:p>
      <w:pPr>
        <w:pStyle w:val="ListParagraph"/>
        <w:numPr>
          <w:ilvl w:val="0"/>
          <w:numId w:val="1"/>
        </w:numPr>
        <w:spacing w:after="70" w:line="260"/>
      </w:pPr>
      <w:r>
        <w:rPr>
          <w:rFonts w:ascii="Arial" w:cs="Arial" w:eastAsia="Arial" w:hAnsi="Arial"/>
          <w:color w:val="000000"/>
        </w:rPr>
        <w:t xml:space="preserve">p5c0: large groups would subject patients to an impersonal style of care with no single physician clearly accountable for the patient’s welfare</w:t>
      </w:r>
    </w:p>
    <w:p>
      <w:pPr>
        <w:pStyle w:val="ListParagraph"/>
        <w:numPr>
          <w:ilvl w:val="0"/>
          <w:numId w:val="1"/>
        </w:numPr>
        <w:spacing w:after="70" w:line="260"/>
      </w:pPr>
      <w:r>
        <w:rPr>
          <w:rFonts w:ascii="Arial" w:cs="Arial" w:eastAsia="Arial" w:hAnsi="Arial"/>
          <w:color w:val="000000"/>
        </w:rPr>
        <w:t xml:space="preserve">p2c0: Most medical care was delivered by fee-for-service private physicians in solo or small group practices.</w:t>
      </w:r>
    </w:p>
    <w:p>
      <w:pPr>
        <w:pStyle w:val="ListParagraph"/>
        <w:numPr>
          <w:ilvl w:val="0"/>
          <w:numId w:val="1"/>
        </w:numPr>
        <w:spacing w:after="70" w:line="260"/>
      </w:pPr>
      <w:r>
        <w:rPr>
          <w:rFonts w:ascii="Arial" w:cs="Arial" w:eastAsia="Arial" w:hAnsi="Arial"/>
          <w:color w:val="000000"/>
        </w:rPr>
        <w:t xml:space="preserve">p6c0: Governance by community members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A. Single-physician accountability is the ideal of solo practice; the evidence says critics warned that large group structures could leave no single physician clearly accountable and make care impersonal, so this inverts the collaborative rationale.</w:t>
      </w:r>
    </w:p>
    <w:p>
      <w:pPr>
        <w:pStyle w:val="ListParagraph"/>
        <w:numPr>
          <w:ilvl w:val="0"/>
          <w:numId w:val="1"/>
        </w:numPr>
        <w:spacing w:after="70" w:line="260"/>
      </w:pPr>
      <w:r>
        <w:rPr>
          <w:rFonts w:ascii="Arial" w:cs="Arial" w:eastAsia="Arial" w:hAnsi="Arial"/>
          <w:color w:val="000000"/>
        </w:rPr>
        <w:t xml:space="preserve">C. Independent fee-for-service billing characterizes the traditional solo or small group practice model; it concerns reimbursement and volume, not the peer-review and continuing-education mechanism by which group practice was expected to improve quality.</w:t>
      </w:r>
    </w:p>
    <w:p>
      <w:pPr>
        <w:pStyle w:val="ListParagraph"/>
        <w:numPr>
          <w:ilvl w:val="0"/>
          <w:numId w:val="1"/>
        </w:numPr>
        <w:spacing w:after="70" w:line="260"/>
      </w:pPr>
      <w:r>
        <w:rPr>
          <w:rFonts w:ascii="Arial" w:cs="Arial" w:eastAsia="Arial" w:hAnsi="Arial"/>
          <w:color w:val="000000"/>
        </w:rPr>
        <w:t xml:space="preserve">D. Community-member governance, trained local outreach workers, and melding clinical services with public health activities are features of community health centers, a different care model centered on the health of a community rather than specialist collaboration in one clinic.</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the run log did not retain a numeric judge score.</w:t>
      </w:r>
    </w:p>
    <w:p>
      <w:pPr>
        <w:spacing w:after="220"/>
      </w:pPr>
    </w:p>
    <w:p>
      <w:pPr>
        <w:pStyle w:val="Heading3"/>
        <w:keepNext/>
        <w:spacing w:after="100" w:before="220"/>
      </w:pPr>
      <w:r>
        <w:t xml:space="preserve">Response 9</w:t>
      </w:r>
    </w:p>
    <w:p>
      <w:pPr>
        <w:keepNext/>
        <w:spacing w:after="90" w:line="240"/>
      </w:pPr>
      <w:r>
        <w:rPr>
          <w:rFonts w:ascii="Arial" w:cs="Arial" w:eastAsia="Arial" w:hAnsi="Arial"/>
          <w:b/>
          <w:bCs/>
          <w:color w:val="000000"/>
        </w:rPr>
        <w:t xml:space="preserve">Response 9  </w:t>
      </w:r>
      <w:r>
        <w:rPr>
          <w:rFonts w:ascii="Arial" w:cs="Arial" w:eastAsia="Arial" w:hAnsi="Arial"/>
          <w:b/>
          <w:bCs/>
          <w:color w:val="9C2F2F"/>
        </w:rPr>
        <w:t xml:space="preserve">Fail  </w:t>
      </w:r>
      <w:r>
        <w:rPr>
          <w:rFonts w:ascii="Arial" w:cs="Arial" w:eastAsia="Arial" w:hAnsi="Arial"/>
          <w:color w:val="5B6573"/>
        </w:rPr>
        <w:t xml:space="preserve">Case dc00ab51-q3  criticalThinking  </w:t>
      </w:r>
      <w:r>
        <w:rPr>
          <w:rFonts w:ascii="Arial" w:cs="Arial" w:eastAsia="Arial" w:hAnsi="Arial"/>
          <w:color w:val="5B6573"/>
        </w:rPr>
        <w:t xml:space="preserve">Score not logged  Latency 114.4s  Cost $0.004093</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community governance and public health activities to distinguish a community health center from a traditional private group practice.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health planner must choose between two models for a new clinic: the traditional structure, in which fee-for-service care is delivered by private physicians practicing alone or in small groups, and the community health center. Which combination of design features makes the clinic a community health center rather than a traditional private group practice?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000000"/>
        </w:rPr>
        <w:t xml:space="preserve">A. </w:t>
      </w:r>
      <w:r>
        <w:rPr>
          <w:rFonts w:ascii="Arial" w:cs="Arial" w:eastAsia="Arial" w:hAnsi="Arial"/>
          <w:b w:val="false"/>
          <w:bCs w:val="false"/>
          <w:color w:val="000000"/>
        </w:rPr>
        <w:t xml:space="preserve">Integrating specialists into a single clinic structure so colleagues can share responsibility for patient care and review one another's work</w:t>
      </w:r>
    </w:p>
    <w:p>
      <w:pPr>
        <w:spacing w:after="45" w:line="245"/>
        <w:ind w:left="280" w:hanging="0"/>
      </w:pPr>
      <w:r>
        <w:rPr>
          <w:rFonts w:ascii="Arial" w:cs="Arial" w:eastAsia="Arial" w:hAnsi="Arial"/>
          <w:b/>
          <w:bCs/>
          <w:color w:val="1F6D3D"/>
        </w:rPr>
        <w:t xml:space="preserve">B. </w:t>
      </w:r>
      <w:r>
        <w:rPr>
          <w:rFonts w:ascii="Arial" w:cs="Arial" w:eastAsia="Arial" w:hAnsi="Arial"/>
          <w:b/>
          <w:bCs/>
          <w:color w:val="1F6D3D"/>
        </w:rPr>
        <w:t xml:space="preserve">Placing governance in the hands of community members and melding clinical services with public health activities</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Delivering care on a fee-for-service basis through private physicians in solo or small group practices</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Melding clinical services with public health activities while leaving governance to the private physicians who deliver care</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A community health center is set apart by two features that must occur together: the community itself holds the governing role, and the center melds clinical services with public health activities, taking responsibility for the health of the whole community rather than only for the individual patients who walk in. The traditional private group practice has neither feature; there, care is a fee-for-service transaction delivered by private physicians in solo or small group practices. A common misconception is to equate a community health center with a multispecialty group practice because both evoke teamwork: formally integrating specialists into one clinic, sharing responsibility for patients, and relying on peer review describe multispecialty group practice, a physician-centered private arrangement that involves no community governance and no public health activities. A second misconception is that adding public health activities is by itself enough; if governance stays with the private physicians who deliver the care, the clinic remains a variation on the traditional private model rather than a community health center, because governance by community members is what makes the organization accountable to the community it serves.</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Integrating multiple defining attributes (governance and service scope) to differentiate organizational models of care</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p6c0: Governance by community members</w:t>
      </w:r>
    </w:p>
    <w:p>
      <w:pPr>
        <w:pStyle w:val="ListParagraph"/>
        <w:numPr>
          <w:ilvl w:val="0"/>
          <w:numId w:val="1"/>
        </w:numPr>
        <w:spacing w:after="70" w:line="260"/>
      </w:pPr>
      <w:r>
        <w:rPr>
          <w:rFonts w:ascii="Arial" w:cs="Arial" w:eastAsia="Arial" w:hAnsi="Arial"/>
          <w:color w:val="000000"/>
        </w:rPr>
        <w:t xml:space="preserve">p6c0: Meld clinical services with public health activities</w:t>
      </w:r>
    </w:p>
    <w:p>
      <w:pPr>
        <w:pStyle w:val="ListParagraph"/>
        <w:numPr>
          <w:ilvl w:val="0"/>
          <w:numId w:val="1"/>
        </w:numPr>
        <w:spacing w:after="70" w:line="260"/>
      </w:pPr>
      <w:r>
        <w:rPr>
          <w:rFonts w:ascii="Arial" w:cs="Arial" w:eastAsia="Arial" w:hAnsi="Arial"/>
          <w:color w:val="000000"/>
        </w:rPr>
        <w:t xml:space="preserve">p2c0: fee-for-service private physicians in solo or small group practices</w:t>
      </w:r>
    </w:p>
    <w:p>
      <w:pPr>
        <w:pStyle w:val="ListParagraph"/>
        <w:numPr>
          <w:ilvl w:val="0"/>
          <w:numId w:val="1"/>
        </w:numPr>
        <w:spacing w:after="70" w:line="260"/>
      </w:pPr>
      <w:r>
        <w:rPr>
          <w:rFonts w:ascii="Arial" w:cs="Arial" w:eastAsia="Arial" w:hAnsi="Arial"/>
          <w:color w:val="000000"/>
        </w:rPr>
        <w:t xml:space="preserve">p5c0: By formally integrating specialists into a single clinic structure, group practice attempted to promote a collaborative style of care</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A. This describes multispecialty group practice, which organizes physicians for collaborative, peer-reviewed care; it addresses neither who governs the organization nor public health activities, so it does not distinguish a community health center.</w:t>
      </w:r>
    </w:p>
    <w:p>
      <w:pPr>
        <w:pStyle w:val="ListParagraph"/>
        <w:numPr>
          <w:ilvl w:val="0"/>
          <w:numId w:val="1"/>
        </w:numPr>
        <w:spacing w:after="70" w:line="260"/>
      </w:pPr>
      <w:r>
        <w:rPr>
          <w:rFonts w:ascii="Arial" w:cs="Arial" w:eastAsia="Arial" w:hAnsi="Arial"/>
          <w:color w:val="000000"/>
        </w:rPr>
        <w:t xml:space="preserve">C. This restates the traditional structure of medical care itself, which is the comparison model in the question, not a feature that identifies a community health center.</w:t>
      </w:r>
    </w:p>
    <w:p>
      <w:pPr>
        <w:pStyle w:val="ListParagraph"/>
        <w:numPr>
          <w:ilvl w:val="0"/>
          <w:numId w:val="1"/>
        </w:numPr>
        <w:spacing w:after="70" w:line="260"/>
      </w:pPr>
      <w:r>
        <w:rPr>
          <w:rFonts w:ascii="Arial" w:cs="Arial" w:eastAsia="Arial" w:hAnsi="Arial"/>
          <w:color w:val="000000"/>
        </w:rPr>
        <w:t xml:space="preserve">D. Public health activities alone are insufficient: leaving governance to the private physicians who deliver care omits governance by community members, so this pairing describes a physician-controlled hybrid rather than a community health center.</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expected the run to finish within 90000ms, but it took 114364ms.</w:t>
      </w:r>
    </w:p>
    <w:p>
      <w:pPr>
        <w:spacing w:after="220"/>
      </w:pPr>
    </w:p>
    <w:p>
      <w:r>
        <w:br w:type="page"/>
      </w:r>
    </w:p>
    <w:p>
      <w:pPr>
        <w:pStyle w:val="Heading1"/>
        <w:keepNext/>
        <w:spacing w:after="140" w:before="300"/>
      </w:pPr>
      <w:r>
        <w:t xml:space="preserve">Tencent Hy4 Preview individual responses</w:t>
      </w:r>
    </w:p>
    <w:p>
      <w:pPr>
        <w:spacing w:after="120" w:line="276"/>
      </w:pPr>
      <w:r>
        <w:rPr>
          <w:rFonts w:ascii="Arial" w:cs="Arial" w:eastAsia="Arial" w:hAnsi="Arial"/>
          <w:color w:val="000000"/>
        </w:rPr>
        <w:t xml:space="preserve">9 responses  2 strict passes  8 response bodies retained</w:t>
      </w:r>
    </w:p>
    <w:p>
      <w:pPr>
        <w:pStyle w:val="Heading3"/>
        <w:keepNext/>
        <w:spacing w:after="100" w:before="220"/>
      </w:pPr>
      <w:r>
        <w:t xml:space="preserve">Response 1</w:t>
      </w:r>
    </w:p>
    <w:p>
      <w:pPr>
        <w:keepNext/>
        <w:spacing w:after="90" w:line="240"/>
      </w:pPr>
      <w:r>
        <w:rPr>
          <w:rFonts w:ascii="Arial" w:cs="Arial" w:eastAsia="Arial" w:hAnsi="Arial"/>
          <w:b/>
          <w:bCs/>
          <w:color w:val="000000"/>
        </w:rPr>
        <w:t xml:space="preserve">Response 1  </w:t>
      </w:r>
      <w:r>
        <w:rPr>
          <w:rFonts w:ascii="Arial" w:cs="Arial" w:eastAsia="Arial" w:hAnsi="Arial"/>
          <w:b/>
          <w:bCs/>
          <w:color w:val="9C2F2F"/>
        </w:rPr>
        <w:t xml:space="preserve">Fail  </w:t>
      </w:r>
      <w:r>
        <w:rPr>
          <w:rFonts w:ascii="Arial" w:cs="Arial" w:eastAsia="Arial" w:hAnsi="Arial"/>
          <w:color w:val="5B6573"/>
        </w:rPr>
        <w:t xml:space="preserve">Case case assignment not retained  </w:t>
      </w:r>
      <w:r>
        <w:rPr>
          <w:rFonts w:ascii="Arial" w:cs="Arial" w:eastAsia="Arial" w:hAnsi="Arial"/>
          <w:color w:val="5B6573"/>
        </w:rPr>
        <w:t xml:space="preserve">Score 0.35  Latency 19.5s  Cost $0.003305</w:t>
      </w:r>
    </w:p>
    <w:p>
      <w:pPr>
        <w:spacing w:after="120" w:line="276"/>
      </w:pPr>
      <w:r>
        <w:rPr>
          <w:rFonts w:ascii="Arial" w:cs="Arial" w:eastAsia="Arial" w:hAnsi="Arial"/>
          <w:b/>
          <w:bCs/>
          <w:color w:val="8A5A00"/>
        </w:rPr>
        <w:t xml:space="preserve">Response body unavailable  </w:t>
      </w:r>
      <w:r>
        <w:rPr>
          <w:rFonts w:ascii="Arial" w:cs="Arial" w:eastAsia="Arial" w:hAnsi="Arial"/>
          <w:color w:val="000000"/>
        </w:rPr>
        <w:t xml:space="preserve">Ori evicted this session when its 64-session local retention limit was reached. OpenRouter input and output logging was disabled for the request, so the provider log cannot restore the body. The run metadata and judge result below were retained.</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0.35 is below the minimum 0.7. The judge wrote: The keyed answer is supported by the supplied material, but the rationale and distractors introduce unsupported AC/A relationship claims, lens-power mechanisms, and assertions about convergence effort. The evidence only states directional changes, not the proposed mechanism or AC/A slope, so the item is not fully source-grounded under the assignment's no-outside-facts requirement.</w:t>
      </w:r>
    </w:p>
    <w:p>
      <w:pPr>
        <w:spacing w:after="220"/>
      </w:pPr>
    </w:p>
    <w:p>
      <w:pPr>
        <w:pStyle w:val="Heading3"/>
        <w:keepNext/>
        <w:spacing w:after="100" w:before="220"/>
      </w:pPr>
      <w:r>
        <w:t xml:space="preserve">Response 2</w:t>
      </w:r>
    </w:p>
    <w:p>
      <w:pPr>
        <w:keepNext/>
        <w:spacing w:after="90" w:line="240"/>
      </w:pPr>
      <w:r>
        <w:rPr>
          <w:rFonts w:ascii="Arial" w:cs="Arial" w:eastAsia="Arial" w:hAnsi="Arial"/>
          <w:b/>
          <w:bCs/>
          <w:color w:val="000000"/>
        </w:rPr>
        <w:t xml:space="preserve">Response 2  </w:t>
      </w:r>
      <w:r>
        <w:rPr>
          <w:rFonts w:ascii="Arial" w:cs="Arial" w:eastAsia="Arial" w:hAnsi="Arial"/>
          <w:b/>
          <w:bCs/>
          <w:color w:val="9C2F2F"/>
        </w:rPr>
        <w:t xml:space="preserve">Fail  </w:t>
      </w:r>
      <w:r>
        <w:rPr>
          <w:rFonts w:ascii="Arial" w:cs="Arial" w:eastAsia="Arial" w:hAnsi="Arial"/>
          <w:color w:val="5B6573"/>
        </w:rPr>
        <w:t xml:space="preserve">Case 85bef31d-q2  clinical  </w:t>
      </w:r>
      <w:r>
        <w:rPr>
          <w:rFonts w:ascii="Arial" w:cs="Arial" w:eastAsia="Arial" w:hAnsi="Arial"/>
          <w:color w:val="5B6573"/>
        </w:rPr>
        <w:t xml:space="preserve">Score 0.38  Latency 32.8s  Cost $0.010060</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3. Therapeutic Spectacle Prescribing I bb.pdf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Apply minimum effective plus prescribing to a new functional testing example.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10-year-old reports tired, uncomfortable eyes and slow reading at near. Near book retinoscopy is +1.00 DS. You trial two adds as a functional probe: with +0.75 DS, reading fluency and near symptoms clearly improve and the near phoria moves from 6 BI to 8 BI; with +1.50 DS, fluency improves only slightly more but the near phoria moves from 6 BI to 15 BI. Which prescribing decision best applies the minimum effective plus principle?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Prescribe +0.75 DS: it produces a meaningful functional improvement while the near phoria stays within acceptable binocular control.</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Prescribe +1.50 DS: it gives the largest gain in reading fluency, and the rise in near exophoria is simply the expected effect of plus rather than a reason to limit the add.</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Prescribe no plus: because any plus at near lowers accommodative convergence and increases exophoria, plus is contraindicated for this patient.</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Prescribe +1.00 DS: the add should match the book retinoscopy finding, since retinoscopy is the definitive measure of how much plus is needed.</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Minimum effective plus means titrating to the smallest add that produces a meaningful, functionally relevant improvement in near performance or symptoms, while keeping binocular control acceptable. Plus is not simply hyperopia correction: it is prescribed therapeutically, and it lowers accommodative demand and accommodative convergence, which shifts the near phoria in an exo/divergent direction. A jump from 6 BI to 8 BI is a small shift that still leaves the patient comfortably controlled, so +0.75 DS is the smallest tested add that achieves the functional goal, and it also preserves some remaining accommodative stimulus. Common misconceptions appear in the other choices. Choosing the add that maximizes fluency ignores the trade-off: once binocular control is compromised, the add is no longer minimal but excessive, and a large exo shift is a signal to back off, not to accept. Withholding all plus because the phoria changes at all is too absolute; plus predictably diverges the phoria, and the goal is an acceptable, controlled position rather than an unchanged one. Treating the retinoscopy value as the prescription confuses a starting estimate with an endpoint: retinoscopy suggests where to begin probing, and the final add is set by confirmed functional response.</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Applied clinical decision-making: titrating a minimum effective plus against binocular control using functional probe findings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p39c0: Prescribe the smallest add that produces a meaningful functional improvement</w:t>
      </w:r>
    </w:p>
    <w:p>
      <w:pPr>
        <w:pStyle w:val="ListParagraph"/>
        <w:numPr>
          <w:ilvl w:val="0"/>
          <w:numId w:val="1"/>
        </w:numPr>
        <w:spacing w:after="70" w:line="260"/>
      </w:pPr>
      <w:r>
        <w:rPr>
          <w:rFonts w:ascii="Arial" w:cs="Arial" w:eastAsia="Arial" w:hAnsi="Arial"/>
          <w:color w:val="000000"/>
        </w:rPr>
        <w:t xml:space="preserve">p39c0: Maintain acceptable binocular control</w:t>
      </w:r>
    </w:p>
    <w:p>
      <w:pPr>
        <w:pStyle w:val="ListParagraph"/>
        <w:numPr>
          <w:ilvl w:val="0"/>
          <w:numId w:val="1"/>
        </w:numPr>
        <w:spacing w:after="70" w:line="260"/>
      </w:pPr>
      <w:r>
        <w:rPr>
          <w:rFonts w:ascii="Arial" w:cs="Arial" w:eastAsia="Arial" w:hAnsi="Arial"/>
          <w:color w:val="000000"/>
        </w:rPr>
        <w:t xml:space="preserve">p29c0: Look for meaningful improvement without compromising binocular control</w:t>
      </w:r>
    </w:p>
    <w:p>
      <w:pPr>
        <w:pStyle w:val="ListParagraph"/>
        <w:numPr>
          <w:ilvl w:val="0"/>
          <w:numId w:val="1"/>
        </w:numPr>
        <w:spacing w:after="70" w:line="260"/>
      </w:pPr>
      <w:r>
        <w:rPr>
          <w:rFonts w:ascii="Arial" w:cs="Arial" w:eastAsia="Arial" w:hAnsi="Arial"/>
          <w:color w:val="000000"/>
        </w:rPr>
        <w:t xml:space="preserve">p29c0: minimum add that permits comfortable near function while retaining some accommodative stimulus</w:t>
      </w:r>
    </w:p>
    <w:p>
      <w:pPr>
        <w:pStyle w:val="ListParagraph"/>
        <w:numPr>
          <w:ilvl w:val="0"/>
          <w:numId w:val="1"/>
        </w:numPr>
        <w:spacing w:after="70" w:line="260"/>
      </w:pPr>
      <w:r>
        <w:rPr>
          <w:rFonts w:ascii="Arial" w:cs="Arial" w:eastAsia="Arial" w:hAnsi="Arial"/>
          <w:color w:val="000000"/>
        </w:rPr>
        <w:t xml:space="preserve">p33c0: Near exo increases from 8 BI to 14 BI</w:t>
      </w:r>
    </w:p>
    <w:p>
      <w:pPr>
        <w:pStyle w:val="ListParagraph"/>
        <w:numPr>
          <w:ilvl w:val="0"/>
          <w:numId w:val="1"/>
        </w:numPr>
        <w:spacing w:after="70" w:line="260"/>
      </w:pPr>
      <w:r>
        <w:rPr>
          <w:rFonts w:ascii="Arial" w:cs="Arial" w:eastAsia="Arial" w:hAnsi="Arial"/>
          <w:color w:val="000000"/>
        </w:rPr>
        <w:t xml:space="preserve">p27c0: Accommodative convergence? - ↓ decrease</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This treats maximum fluency gain as the goal and dismisses the phoria change, but plus predictably reduces accommodative convergence and diverges the near phoria; when the shift becomes large enough to threaten control, the add is excessive rather than minimal.</w:t>
      </w:r>
    </w:p>
    <w:p>
      <w:pPr>
        <w:pStyle w:val="ListParagraph"/>
        <w:numPr>
          <w:ilvl w:val="0"/>
          <w:numId w:val="1"/>
        </w:numPr>
        <w:spacing w:after="70" w:line="260"/>
      </w:pPr>
      <w:r>
        <w:rPr>
          <w:rFonts w:ascii="Arial" w:cs="Arial" w:eastAsia="Arial" w:hAnsi="Arial"/>
          <w:color w:val="000000"/>
        </w:rPr>
        <w:t xml:space="preserve">C. This overgeneralizes the expected exo shift into a contraindication. Because plus always alters the phoric position, the relevant question is whether control remains acceptable, not whether the phoria moved at all.</w:t>
      </w:r>
    </w:p>
    <w:p>
      <w:pPr>
        <w:pStyle w:val="ListParagraph"/>
        <w:numPr>
          <w:ilvl w:val="0"/>
          <w:numId w:val="1"/>
        </w:numPr>
        <w:spacing w:after="70" w:line="260"/>
      </w:pPr>
      <w:r>
        <w:rPr>
          <w:rFonts w:ascii="Arial" w:cs="Arial" w:eastAsia="Arial" w:hAnsi="Arial"/>
          <w:color w:val="000000"/>
        </w:rPr>
        <w:t xml:space="preserve">D. This mistakes retinoscopy for the final answer. Book retinoscopy is the starting estimate that must be confirmed by functional probe testing before the add is set, so the prescription follows the confirmed functional response rather than the retinoscopy value.</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0.38 is below the minimum 0.7. The judge wrote: The question is generally aligned with minimum effective plus, but it makes the keyed decision depend on unsupported clinical thresholds: neither the stem nor evidence establishes that 6 BI to 8 BI is acceptable control or that 15 BI compromises control. The rationale further asserts these judgments as facts. Because acceptability of binocular control is the decisive distinction between the two adds, the best answer is not fully defensible from the supplied evidence alone.</w:t>
      </w:r>
    </w:p>
    <w:p>
      <w:pPr>
        <w:spacing w:after="220"/>
      </w:pPr>
    </w:p>
    <w:p>
      <w:pPr>
        <w:pStyle w:val="Heading3"/>
        <w:keepNext/>
        <w:spacing w:after="100" w:before="220"/>
      </w:pPr>
      <w:r>
        <w:t xml:space="preserve">Response 3</w:t>
      </w:r>
    </w:p>
    <w:p>
      <w:pPr>
        <w:keepNext/>
        <w:spacing w:after="90" w:line="240"/>
      </w:pPr>
      <w:r>
        <w:rPr>
          <w:rFonts w:ascii="Arial" w:cs="Arial" w:eastAsia="Arial" w:hAnsi="Arial"/>
          <w:b/>
          <w:bCs/>
          <w:color w:val="000000"/>
        </w:rPr>
        <w:t xml:space="preserve">Response 3  </w:t>
      </w:r>
      <w:r>
        <w:rPr>
          <w:rFonts w:ascii="Arial" w:cs="Arial" w:eastAsia="Arial" w:hAnsi="Arial"/>
          <w:b/>
          <w:bCs/>
          <w:color w:val="9C2F2F"/>
        </w:rPr>
        <w:t xml:space="preserve">Fail  </w:t>
      </w:r>
      <w:r>
        <w:rPr>
          <w:rFonts w:ascii="Arial" w:cs="Arial" w:eastAsia="Arial" w:hAnsi="Arial"/>
          <w:color w:val="5B6573"/>
        </w:rPr>
        <w:t xml:space="preserve">Case 85bef31d-q3  criticalThinking  </w:t>
      </w:r>
      <w:r>
        <w:rPr>
          <w:rFonts w:ascii="Arial" w:cs="Arial" w:eastAsia="Arial" w:hAnsi="Arial"/>
          <w:color w:val="5B6573"/>
        </w:rPr>
        <w:t xml:space="preserve">Score 0.42  Latency 41.7s  Cost $0.007351</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3. Therapeutic Spectacle Prescribing I bb.pdf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improvement in reading with acceptable binocular control when deciding whether plus is appropriate.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You are deciding whether to prescribe a small plus add for near work. Near (book) retinoscopy is +0.75 DS, and you run a functional probe with the plus in place. Which set of findings best supports sending the plus home?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Reading becomes clearly more fluent and near symptoms ease, and near binocular control stays essentially unchanged and acceptable.</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Reading becomes clearly more fluent, but near exophoria increases from about 8 BI to 14 BI once the plus is in place.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Near binocular control stays acceptable at about 8 BI, but reading fluency is only marginally better and near symptoms are essentially unchanged.</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Reading is most fluent with the largest plus you tried (+1.50), noticeably more so than with +0.75, and binocular control is acceptable at both amounts.</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Plus used at near is a therapeutic decision, not a refractive correction, so it needs a functional reason: a meaningful improvement in near performance (such as reading fluency and symptoms) that is achieved without giving up acceptable binocular control. Plus lowers accommodative demand and, because it lowers accommodative convergence, it pushes the phoric position toward divergence — so some increase in near exophoria is expected, and the decision hinges on whether control remains acceptable. The goal is the minimum effective plus: the smallest add that produces a real functional gain while preserving binocular control, confirmed by near retinoscopy and a functional probe, and confirmed that the patient can actually access the add. The common misconceptions are treating better reading as sufficient on its own (ignoring a control breakdown), treating stable binocular findings as sufficient on their own (prescribing plus with no real functional gain), and assuming that a bigger gain with a bigger add is better rather than using the smallest add that achieves meaningful improvement.</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Clinical decision integration: balancing demonstrated functional gain against binocular control trade-offs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p32c0: +0.75 improves reading fluency</w:t>
      </w:r>
    </w:p>
    <w:p>
      <w:pPr>
        <w:pStyle w:val="ListParagraph"/>
        <w:numPr>
          <w:ilvl w:val="0"/>
          <w:numId w:val="1"/>
        </w:numPr>
        <w:spacing w:after="70" w:line="260"/>
      </w:pPr>
      <w:r>
        <w:rPr>
          <w:rFonts w:ascii="Arial" w:cs="Arial" w:eastAsia="Arial" w:hAnsi="Arial"/>
          <w:color w:val="000000"/>
        </w:rPr>
        <w:t xml:space="preserve">p32c0: Binocular control remains acceptable</w:t>
      </w:r>
    </w:p>
    <w:p>
      <w:pPr>
        <w:pStyle w:val="ListParagraph"/>
        <w:numPr>
          <w:ilvl w:val="0"/>
          <w:numId w:val="1"/>
        </w:numPr>
        <w:spacing w:after="70" w:line="260"/>
      </w:pPr>
      <w:r>
        <w:rPr>
          <w:rFonts w:ascii="Arial" w:cs="Arial" w:eastAsia="Arial" w:hAnsi="Arial"/>
          <w:color w:val="000000"/>
        </w:rPr>
        <w:t xml:space="preserve">p33c0: Near exo increases from 8 BI to 14 BI</w:t>
      </w:r>
    </w:p>
    <w:p>
      <w:pPr>
        <w:pStyle w:val="ListParagraph"/>
        <w:numPr>
          <w:ilvl w:val="0"/>
          <w:numId w:val="1"/>
        </w:numPr>
        <w:spacing w:after="70" w:line="260"/>
      </w:pPr>
      <w:r>
        <w:rPr>
          <w:rFonts w:ascii="Arial" w:cs="Arial" w:eastAsia="Arial" w:hAnsi="Arial"/>
          <w:color w:val="000000"/>
        </w:rPr>
        <w:t xml:space="preserve">p39c0: Prescribe the smallest add that produces a meaningful functional improvement</w:t>
      </w:r>
    </w:p>
    <w:p>
      <w:pPr>
        <w:pStyle w:val="ListParagraph"/>
        <w:numPr>
          <w:ilvl w:val="0"/>
          <w:numId w:val="1"/>
        </w:numPr>
        <w:spacing w:after="70" w:line="260"/>
      </w:pPr>
      <w:r>
        <w:rPr>
          <w:rFonts w:ascii="Arial" w:cs="Arial" w:eastAsia="Arial" w:hAnsi="Arial"/>
          <w:color w:val="000000"/>
        </w:rPr>
        <w:t xml:space="preserve">p27c0: Phoric position? → diverge | exo</w:t>
      </w:r>
    </w:p>
    <w:p>
      <w:pPr>
        <w:pStyle w:val="ListParagraph"/>
        <w:numPr>
          <w:ilvl w:val="0"/>
          <w:numId w:val="1"/>
        </w:numPr>
        <w:spacing w:after="70" w:line="260"/>
      </w:pPr>
      <w:r>
        <w:rPr>
          <w:rFonts w:ascii="Arial" w:cs="Arial" w:eastAsia="Arial" w:hAnsi="Arial"/>
          <w:color w:val="000000"/>
        </w:rPr>
        <w:t xml:space="preserve">p29c0: Look for meaningful improvement without compromising binocular control</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Improved reading alone is not enough. Plus reduces accommodative convergence and drives the phoria toward divergence, so a large jump in near exophoria (roughly 8 BI to 14 BI) signals that binocular control has been compromised even though fluency improved; the plus should not simply be sent home on that finding.</w:t>
      </w:r>
    </w:p>
    <w:p>
      <w:pPr>
        <w:pStyle w:val="ListParagraph"/>
        <w:numPr>
          <w:ilvl w:val="0"/>
          <w:numId w:val="1"/>
        </w:numPr>
        <w:spacing w:after="70" w:line="260"/>
      </w:pPr>
      <w:r>
        <w:rPr>
          <w:rFonts w:ascii="Arial" w:cs="Arial" w:eastAsia="Arial" w:hAnsi="Arial"/>
          <w:color w:val="000000"/>
        </w:rPr>
        <w:t xml:space="preserve">C. Preserved binocular control alone does not justify plus. Therapeutic prescribing requires a functional reason, so an add that produces only a marginal change in reading and no real symptom relief fails the 'meaningful improvement' test even though control is fine.</w:t>
      </w:r>
    </w:p>
    <w:p>
      <w:pPr>
        <w:pStyle w:val="ListParagraph"/>
        <w:numPr>
          <w:ilvl w:val="0"/>
          <w:numId w:val="1"/>
        </w:numPr>
        <w:spacing w:after="70" w:line="260"/>
      </w:pPr>
      <w:r>
        <w:rPr>
          <w:rFonts w:ascii="Arial" w:cs="Arial" w:eastAsia="Arial" w:hAnsi="Arial"/>
          <w:color w:val="000000"/>
        </w:rPr>
        <w:t xml:space="preserve">D. Choosing the add that gives the largest fluency gain inverts the prescribing principle. The aim is the minimum effective plus — the smallest add that produces a meaningful functional improvement while maintaining acceptable binocular control — not the biggest measured gain.</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0.42 is below the minimum 0.7. The judge wrote: The stem is clinically integrated and option 0 is well supported, but option 3 is not definitively wrong: it says +1.50 produces substantially better fluency while control is acceptable at both amounts, without stating that +0.75 already yields a meaningful functional improvement. Under the minimum-effective-plus principle, +1.50 could therefore be the smallest effective add. The rationale incorrectly treats any larger improvement at a larger add as disqualifying, making the key ambiguous.</w:t>
      </w:r>
    </w:p>
    <w:p>
      <w:pPr>
        <w:spacing w:after="220"/>
      </w:pPr>
    </w:p>
    <w:p>
      <w:pPr>
        <w:pStyle w:val="Heading3"/>
        <w:keepNext/>
        <w:spacing w:after="100" w:before="220"/>
      </w:pPr>
      <w:r>
        <w:t xml:space="preserve">Response 4</w:t>
      </w:r>
    </w:p>
    <w:p>
      <w:pPr>
        <w:keepNext/>
        <w:spacing w:after="90" w:line="240"/>
      </w:pPr>
      <w:r>
        <w:rPr>
          <w:rFonts w:ascii="Arial" w:cs="Arial" w:eastAsia="Arial" w:hAnsi="Arial"/>
          <w:b/>
          <w:bCs/>
          <w:color w:val="000000"/>
        </w:rPr>
        <w:t xml:space="preserve">Response 4  </w:t>
      </w:r>
      <w:r>
        <w:rPr>
          <w:rFonts w:ascii="Arial" w:cs="Arial" w:eastAsia="Arial" w:hAnsi="Arial"/>
          <w:b/>
          <w:bCs/>
          <w:color w:val="9C2F2F"/>
        </w:rPr>
        <w:t xml:space="preserve">Fail  </w:t>
      </w:r>
      <w:r>
        <w:rPr>
          <w:rFonts w:ascii="Arial" w:cs="Arial" w:eastAsia="Arial" w:hAnsi="Arial"/>
          <w:color w:val="5B6573"/>
        </w:rPr>
        <w:t xml:space="preserve">Case af3c991e-q2  clinical  </w:t>
      </w:r>
      <w:r>
        <w:rPr>
          <w:rFonts w:ascii="Arial" w:cs="Arial" w:eastAsia="Arial" w:hAnsi="Arial"/>
          <w:color w:val="5B6573"/>
        </w:rPr>
        <w:t xml:space="preserve">Score 0.62  Latency 17.5s  Cost $0.007482</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Distinguish calcific and fibrin-platelet emboli using appearance and likely source.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On dilated fundus examination of a patient being evaluated for acute arterial obstruction, you see a single intra-arterial retinal embolus that appears dull and elongated and is highly mobile within the arteriole. Which embolus type and most likely source best explain this appearance?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Fibrin-platelet embolus originating from an atheromatous plaque, usually in the carotid artery</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Calcific embolus originating from calcific valvular cardiac disease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Cholesterol (Hollenhorst) embolus originating from ulceration of a carotid atheromatous lesion</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Calcific embolus originating from a cardiac source such as atrial fibrillation or a calcified valve, producing a severe obstruction</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Embolus appearance is the key discriminator. A dull, elongated, highly mobile embolus is characteristic of a fibrin-platelet embolus, which is composed predominantly of platelet aggregates shed from an atheromatous plaque, usually in the carotid artery. In contrast, calcific emboli arise from valvular cardiac disease and are described as large, round or ovoid with a chalk-like appearance, and they tend to cause more severe obstruction. Cholesterol (Hollenhorst) emboli are the most common retinal emboli and come from carotid artery disease, but they are highly reflective and glistening yellow-copper, tend to lodge at bifurcations, and generally do not produce complete obstruction — a different appearance and behavior from the dull, elongated, mobile lesion described. A common misconception is equating any carotid-plaque embolus with a cholesterol embolus, or assuming any embolus in a patient with cardiac disease must be calcific; the morphology here points specifically to the platelet-derived fibrin-platelet type.</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Pattern recognition: discriminating embolus types by morphology and matching each to its source</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p11c0: Composed predominantly of platelet aggregates from atheromatous plaque (usually located in the carotid)</w:t>
      </w:r>
    </w:p>
    <w:p>
      <w:pPr>
        <w:pStyle w:val="ListParagraph"/>
        <w:numPr>
          <w:ilvl w:val="0"/>
          <w:numId w:val="1"/>
        </w:numPr>
        <w:spacing w:after="70" w:line="260"/>
      </w:pPr>
      <w:r>
        <w:rPr>
          <w:rFonts w:ascii="Arial" w:cs="Arial" w:eastAsia="Arial" w:hAnsi="Arial"/>
          <w:color w:val="000000"/>
        </w:rPr>
        <w:t xml:space="preserve">p11c0: Dull and elongated</w:t>
      </w:r>
    </w:p>
    <w:p>
      <w:pPr>
        <w:pStyle w:val="ListParagraph"/>
        <w:numPr>
          <w:ilvl w:val="0"/>
          <w:numId w:val="1"/>
        </w:numPr>
        <w:spacing w:after="70" w:line="260"/>
      </w:pPr>
      <w:r>
        <w:rPr>
          <w:rFonts w:ascii="Arial" w:cs="Arial" w:eastAsia="Arial" w:hAnsi="Arial"/>
          <w:color w:val="000000"/>
        </w:rPr>
        <w:t xml:space="preserve">p11c0: Highly mobile</w:t>
      </w:r>
    </w:p>
    <w:p>
      <w:pPr>
        <w:pStyle w:val="ListParagraph"/>
        <w:numPr>
          <w:ilvl w:val="0"/>
          <w:numId w:val="1"/>
        </w:numPr>
        <w:spacing w:after="70" w:line="260"/>
      </w:pPr>
      <w:r>
        <w:rPr>
          <w:rFonts w:ascii="Arial" w:cs="Arial" w:eastAsia="Arial" w:hAnsi="Arial"/>
          <w:color w:val="000000"/>
        </w:rPr>
        <w:t xml:space="preserve">p11c0: From valvular cardiac disease</w:t>
      </w:r>
    </w:p>
    <w:p>
      <w:pPr>
        <w:pStyle w:val="ListParagraph"/>
        <w:numPr>
          <w:ilvl w:val="0"/>
          <w:numId w:val="1"/>
        </w:numPr>
        <w:spacing w:after="70" w:line="260"/>
      </w:pPr>
      <w:r>
        <w:rPr>
          <w:rFonts w:ascii="Arial" w:cs="Arial" w:eastAsia="Arial" w:hAnsi="Arial"/>
          <w:color w:val="000000"/>
        </w:rPr>
        <w:t xml:space="preserve">p11c0: Large, round/ovoid</w:t>
      </w:r>
    </w:p>
    <w:p>
      <w:pPr>
        <w:pStyle w:val="ListParagraph"/>
        <w:numPr>
          <w:ilvl w:val="0"/>
          <w:numId w:val="1"/>
        </w:numPr>
        <w:spacing w:after="70" w:line="260"/>
      </w:pPr>
      <w:r>
        <w:rPr>
          <w:rFonts w:ascii="Arial" w:cs="Arial" w:eastAsia="Arial" w:hAnsi="Arial"/>
          <w:color w:val="000000"/>
        </w:rPr>
        <w:t xml:space="preserve">p11c0: Chalk-like appearance</w:t>
      </w:r>
    </w:p>
    <w:p>
      <w:pPr>
        <w:pStyle w:val="ListParagraph"/>
        <w:numPr>
          <w:ilvl w:val="0"/>
          <w:numId w:val="1"/>
        </w:numPr>
        <w:spacing w:after="70" w:line="260"/>
      </w:pPr>
      <w:r>
        <w:rPr>
          <w:rFonts w:ascii="Arial" w:cs="Arial" w:eastAsia="Arial" w:hAnsi="Arial"/>
          <w:color w:val="000000"/>
        </w:rPr>
        <w:t xml:space="preserve">p10c0: Highly reflective, glistening, yellow-copper</w:t>
      </w:r>
    </w:p>
    <w:p>
      <w:pPr>
        <w:pStyle w:val="ListParagraph"/>
        <w:numPr>
          <w:ilvl w:val="0"/>
          <w:numId w:val="1"/>
        </w:numPr>
        <w:spacing w:after="70" w:line="260"/>
      </w:pPr>
      <w:r>
        <w:rPr>
          <w:rFonts w:ascii="Arial" w:cs="Arial" w:eastAsia="Arial" w:hAnsi="Arial"/>
          <w:color w:val="000000"/>
        </w:rPr>
        <w:t xml:space="preserve">p13c0: Cardiac emboli are usually calcific</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Calcific emboli from calcific valvular disease are large, round or ovoid with a chalk-like appearance and tend to cause more severe obstruction — not dull, elongated, and highly mobile.</w:t>
      </w:r>
    </w:p>
    <w:p>
      <w:pPr>
        <w:pStyle w:val="ListParagraph"/>
        <w:numPr>
          <w:ilvl w:val="0"/>
          <w:numId w:val="1"/>
        </w:numPr>
        <w:spacing w:after="70" w:line="260"/>
      </w:pPr>
      <w:r>
        <w:rPr>
          <w:rFonts w:ascii="Arial" w:cs="Arial" w:eastAsia="Arial" w:hAnsi="Arial"/>
          <w:color w:val="000000"/>
        </w:rPr>
        <w:t xml:space="preserve">C. A cholesterol (Hollenhorst) embolus does arise from carotid atheromatous disease, but it is highly reflective and glistening yellow-copper, tends to lodge at bifurcations, and generally does not produce complete obstruction, which does not match the dull, elongated, mobile lesion described.</w:t>
      </w:r>
    </w:p>
    <w:p>
      <w:pPr>
        <w:pStyle w:val="ListParagraph"/>
        <w:numPr>
          <w:ilvl w:val="0"/>
          <w:numId w:val="1"/>
        </w:numPr>
        <w:spacing w:after="70" w:line="260"/>
      </w:pPr>
      <w:r>
        <w:rPr>
          <w:rFonts w:ascii="Arial" w:cs="Arial" w:eastAsia="Arial" w:hAnsi="Arial"/>
          <w:color w:val="000000"/>
        </w:rPr>
        <w:t xml:space="preserve">D. Cardiac sources such as a calcified valve or atrial fibrillation do give rise to emboli, but cardiac emboli are usually calcific and therefore chalk-like and round or ovoid rather than dull, elongated, and mobile; the severe obstruction pattern also belongs to the calcific type, not to this lesion.</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0.62 is below the minimum 0.7. The judge wrote: The keyed answer is well supported and the clinical morphology-to-source task is appropriate, but two distractors substantially overlap: both describe calcific emboli from cardiac sources (including calcified valves) with the same defining morphology/severity. This violates the requirement for four distinct, non-overlapping plausible options.</w:t>
      </w:r>
    </w:p>
    <w:p>
      <w:pPr>
        <w:spacing w:after="220"/>
      </w:pPr>
    </w:p>
    <w:p>
      <w:pPr>
        <w:pStyle w:val="Heading3"/>
        <w:keepNext/>
        <w:spacing w:after="100" w:before="220"/>
      </w:pPr>
      <w:r>
        <w:t xml:space="preserve">Response 5</w:t>
      </w:r>
    </w:p>
    <w:p>
      <w:pPr>
        <w:keepNext/>
        <w:spacing w:after="90" w:line="240"/>
      </w:pPr>
      <w:r>
        <w:rPr>
          <w:rFonts w:ascii="Arial" w:cs="Arial" w:eastAsia="Arial" w:hAnsi="Arial"/>
          <w:b/>
          <w:bCs/>
          <w:color w:val="000000"/>
        </w:rPr>
        <w:t xml:space="preserve">Response 5  </w:t>
      </w:r>
      <w:r>
        <w:rPr>
          <w:rFonts w:ascii="Arial" w:cs="Arial" w:eastAsia="Arial" w:hAnsi="Arial"/>
          <w:b/>
          <w:bCs/>
          <w:color w:val="1F6D3D"/>
        </w:rPr>
        <w:t xml:space="preserve">Pass  </w:t>
      </w:r>
      <w:r>
        <w:rPr>
          <w:rFonts w:ascii="Arial" w:cs="Arial" w:eastAsia="Arial" w:hAnsi="Arial"/>
          <w:color w:val="5B6573"/>
        </w:rPr>
        <w:t xml:space="preserve">Case af3c991e-q1  learn  </w:t>
      </w:r>
      <w:r>
        <w:rPr>
          <w:rFonts w:ascii="Arial" w:cs="Arial" w:eastAsia="Arial" w:hAnsi="Arial"/>
          <w:color w:val="5B6573"/>
        </w:rPr>
        <w:t xml:space="preserve">Score not logged  Latency 19.9s  Cost $0.004719</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Identify the typical origin and appearance of cholesterol emboli.</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68-year-old patient is found to have a bright, glistening yellow-copper particle lodged at a retinal arterial bifurcation, with only partial obstruction of the vessel. Which combination best describes the typical source and appearance of this embolus?</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Ulcerated atheromatous plaque in the carotid artery — highly reflective, glistening, yellow-copper, tending to lodge at bifurcations without complete obstruction</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Calcified cardiac valve — chalk-like, large, round to ovoid, tending to cause more severe obstruction</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Platelet-rich aggregates arising from carotid atheromatous plaque — dull, elongated, and highly mobile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A cardiac source such as atrial fibrillation — highly reflective, glistening, yellow-copper material</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This is a cholesterol (Hollenhorst) embolus, the most common retinal arterial embolus. It arises from carotid artery disease, specifically ulceration of an atheromatous lesion, and classically appears highly reflective, glistening, and yellow-copper. Because of its size and shape it tends to lodge at arterial bifurcations and generally does not produce complete obstruction, so vision loss may be partial rather than total. The main misconceptions are misattributing the reflective yellow-copper appearance to a cardiac source, and confusing cholesterol emboli with the other two retinal embolus types: calcific emboli come from valvular cardiac disease and are chalk-like, large, round/ovoid, and more likely to obstruct severely, while fibrin-platelet emboli are composed predominantly of platelet aggregates from atheromatous plaque and are dull, elongated, and highly mobile. Cardiac emboli in general are usually calcific, not glistening cholesterol crystals; the reflective appearance is the feature that points to a carotid atheromatous source rather than the heart.</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Discriminating embolus type by mapping source of origin to characteristic appearance and behavior</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p10c0: From carotid artery disease (ulceration of an atheromatous lesion)</w:t>
      </w:r>
    </w:p>
    <w:p>
      <w:pPr>
        <w:pStyle w:val="ListParagraph"/>
        <w:numPr>
          <w:ilvl w:val="0"/>
          <w:numId w:val="1"/>
        </w:numPr>
        <w:spacing w:after="70" w:line="260"/>
      </w:pPr>
      <w:r>
        <w:rPr>
          <w:rFonts w:ascii="Arial" w:cs="Arial" w:eastAsia="Arial" w:hAnsi="Arial"/>
          <w:color w:val="000000"/>
        </w:rPr>
        <w:t xml:space="preserve">p10c0: Highly reflective, glistening, yellow-copper</w:t>
      </w:r>
    </w:p>
    <w:p>
      <w:pPr>
        <w:pStyle w:val="ListParagraph"/>
        <w:numPr>
          <w:ilvl w:val="0"/>
          <w:numId w:val="1"/>
        </w:numPr>
        <w:spacing w:after="70" w:line="260"/>
      </w:pPr>
      <w:r>
        <w:rPr>
          <w:rFonts w:ascii="Arial" w:cs="Arial" w:eastAsia="Arial" w:hAnsi="Arial"/>
          <w:color w:val="000000"/>
        </w:rPr>
        <w:t xml:space="preserve">p11c0: From valvular cardiac disease ... Chalk-like appearance</w:t>
      </w:r>
    </w:p>
    <w:p>
      <w:pPr>
        <w:pStyle w:val="ListParagraph"/>
        <w:numPr>
          <w:ilvl w:val="0"/>
          <w:numId w:val="1"/>
        </w:numPr>
        <w:spacing w:after="70" w:line="260"/>
      </w:pPr>
      <w:r>
        <w:rPr>
          <w:rFonts w:ascii="Arial" w:cs="Arial" w:eastAsia="Arial" w:hAnsi="Arial"/>
          <w:color w:val="000000"/>
        </w:rPr>
        <w:t xml:space="preserve">p11c0: Composed predominantly of platelet aggregates from atheromatous plaque ... Dull and elongated</w:t>
      </w:r>
    </w:p>
    <w:p>
      <w:pPr>
        <w:pStyle w:val="ListParagraph"/>
        <w:numPr>
          <w:ilvl w:val="0"/>
          <w:numId w:val="1"/>
        </w:numPr>
        <w:spacing w:after="70" w:line="260"/>
      </w:pPr>
      <w:r>
        <w:rPr>
          <w:rFonts w:ascii="Arial" w:cs="Arial" w:eastAsia="Arial" w:hAnsi="Arial"/>
          <w:color w:val="000000"/>
        </w:rPr>
        <w:t xml:space="preserve">p13c0: Cardiac emboli are usually calcific</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Describes a calcific embolus: these arise from valvular cardiac disease, are chalk-like and large/round-to-ovoid, and tend to cause more severe obstruction — not the glistening yellow-copper carotid cholesterol embolus in the stem.</w:t>
      </w:r>
    </w:p>
    <w:p>
      <w:pPr>
        <w:pStyle w:val="ListParagraph"/>
        <w:numPr>
          <w:ilvl w:val="0"/>
          <w:numId w:val="1"/>
        </w:numPr>
        <w:spacing w:after="70" w:line="260"/>
      </w:pPr>
      <w:r>
        <w:rPr>
          <w:rFonts w:ascii="Arial" w:cs="Arial" w:eastAsia="Arial" w:hAnsi="Arial"/>
          <w:color w:val="000000"/>
        </w:rPr>
        <w:t xml:space="preserve">C. Describes a fibrin-platelet embolus: these are predominantly platelet aggregates from carotid atheromatous plaque and appear dull, elongated, and highly mobile, not highly reflective and yellow-copper.</w:t>
      </w:r>
    </w:p>
    <w:p>
      <w:pPr>
        <w:pStyle w:val="ListParagraph"/>
        <w:numPr>
          <w:ilvl w:val="0"/>
          <w:numId w:val="1"/>
        </w:numPr>
        <w:spacing w:after="70" w:line="260"/>
      </w:pPr>
      <w:r>
        <w:rPr>
          <w:rFonts w:ascii="Arial" w:cs="Arial" w:eastAsia="Arial" w:hAnsi="Arial"/>
          <w:color w:val="000000"/>
        </w:rPr>
        <w:t xml:space="preserve">D. Pairs the correct reflective yellow-copper appearance with the wrong source; cardiac emboli (e.g., from atrial fibrillation or valve disease) are usually calcific rather than cholesterol crystals from an ulcerated carotid plaque.</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the run log did not retain a numeric judge score.</w:t>
      </w:r>
    </w:p>
    <w:p>
      <w:pPr>
        <w:spacing w:after="220"/>
      </w:pPr>
    </w:p>
    <w:p>
      <w:pPr>
        <w:pStyle w:val="Heading3"/>
        <w:keepNext/>
        <w:spacing w:after="100" w:before="220"/>
      </w:pPr>
      <w:r>
        <w:t xml:space="preserve">Response 6</w:t>
      </w:r>
    </w:p>
    <w:p>
      <w:pPr>
        <w:keepNext/>
        <w:spacing w:after="90" w:line="240"/>
      </w:pPr>
      <w:r>
        <w:rPr>
          <w:rFonts w:ascii="Arial" w:cs="Arial" w:eastAsia="Arial" w:hAnsi="Arial"/>
          <w:b/>
          <w:bCs/>
          <w:color w:val="000000"/>
        </w:rPr>
        <w:t xml:space="preserve">Response 6  </w:t>
      </w:r>
      <w:r>
        <w:rPr>
          <w:rFonts w:ascii="Arial" w:cs="Arial" w:eastAsia="Arial" w:hAnsi="Arial"/>
          <w:b/>
          <w:bCs/>
          <w:color w:val="9C2F2F"/>
        </w:rPr>
        <w:t xml:space="preserve">Fail  </w:t>
      </w:r>
      <w:r>
        <w:rPr>
          <w:rFonts w:ascii="Arial" w:cs="Arial" w:eastAsia="Arial" w:hAnsi="Arial"/>
          <w:color w:val="5B6573"/>
        </w:rPr>
        <w:t xml:space="preserve">Case af3c991e-q3  criticalThinking  </w:t>
      </w:r>
      <w:r>
        <w:rPr>
          <w:rFonts w:ascii="Arial" w:cs="Arial" w:eastAsia="Arial" w:hAnsi="Arial"/>
          <w:color w:val="5B6573"/>
        </w:rPr>
        <w:t xml:space="preserve">Score 0.55  Latency 26.6s  Cost $0.006006</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Cardiovascular, hematologic revised version.pdf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embolus appearance, obstruction severity, and likely systemic source to distinguish plausible embolic etiologies.</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34-year-old patient presents with sudden, painless loss of vision in one eye. Fundus examination reveals a single large, round-to-ovoid embolus with a chalk-like appearance lodged in the central retinal artery, and the obstruction appears severe with near-total retinal opacification. Which embolus type and systemic source best explains this presentation?</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000000"/>
        </w:rPr>
        <w:t xml:space="preserve">A. </w:t>
      </w:r>
      <w:r>
        <w:rPr>
          <w:rFonts w:ascii="Arial" w:cs="Arial" w:eastAsia="Arial" w:hAnsi="Arial"/>
          <w:b w:val="false"/>
          <w:bCs w:val="false"/>
          <w:color w:val="000000"/>
        </w:rPr>
        <w:t xml:space="preserve">A cholesterol (Hollenhorst) embolus arising from an ulcerated carotid atheromatous plaque</w:t>
      </w:r>
    </w:p>
    <w:p>
      <w:pPr>
        <w:spacing w:after="45" w:line="245"/>
        <w:ind w:left="280" w:hanging="0"/>
      </w:pPr>
      <w:r>
        <w:rPr>
          <w:rFonts w:ascii="Arial" w:cs="Arial" w:eastAsia="Arial" w:hAnsi="Arial"/>
          <w:b/>
          <w:bCs/>
          <w:color w:val="1F6D3D"/>
        </w:rPr>
        <w:t xml:space="preserve">B. </w:t>
      </w:r>
      <w:r>
        <w:rPr>
          <w:rFonts w:ascii="Arial" w:cs="Arial" w:eastAsia="Arial" w:hAnsi="Arial"/>
          <w:b/>
          <w:bCs/>
          <w:color w:val="1F6D3D"/>
        </w:rPr>
        <w:t xml:space="preserve">A calcific embolus arising from cardiac valvular disease</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A fibrin-platelet embolus arising from a carotid atheromatous plaque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A calcific embolus arising from an ulcerated carotid atheromatous plaque</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The morphology and the severity of the obstruction are the keys here. A large, round/ovoid, chalk-like embolus is the described appearance of a calcific embolus, and calcific emboli are stated to arise from valvular cardiac disease and to "tend to cause more severe obstructions" — matching the near-complete arterial occlusion seen in this patient. Cardiac emboli are also noted to be "usually calcific" and to be a significant source of emboli in younger patients, so a 34-year-old does not argue against a cardiac source. By contrast, a cholesterol (Hollenhorst) embolus is described as highly reflective, glistening, yellow-copper, tending to lodge at bifurcations and generally not producing complete obstruction; it comes from carotid artery disease, not from a cardiac valve. A fibrin-platelet embolus is dull and elongated and highly mobile, composed of platelet aggregates from atheromatous plaque (usually carotid) — the dull, elongated shape does not match the round, chalk-like lesion described. Finally, coupling a calcific appearance with a carotid plaque source is internally inconsistent: carotid atheromatous disease typically releases cholesterol emboli, while calcific emboli are the cardiac/valvular phenotype. Integrating appearance (large, round, chalk-like), behavior (severe obstruction), and source (valvular heart disease) makes the calcific cardiac embolus the single best answer.</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Integrating clinical findings (embolus morphology and degree of obstruction) with the most likely systemic embolic source to discriminate among competing etiologies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p11c0: Large, round/ovoid</w:t>
      </w:r>
    </w:p>
    <w:p>
      <w:pPr>
        <w:pStyle w:val="ListParagraph"/>
        <w:numPr>
          <w:ilvl w:val="0"/>
          <w:numId w:val="1"/>
        </w:numPr>
        <w:spacing w:after="70" w:line="260"/>
      </w:pPr>
      <w:r>
        <w:rPr>
          <w:rFonts w:ascii="Arial" w:cs="Arial" w:eastAsia="Arial" w:hAnsi="Arial"/>
          <w:color w:val="000000"/>
        </w:rPr>
        <w:t xml:space="preserve">p11c0: Chalk-like appearance</w:t>
      </w:r>
    </w:p>
    <w:p>
      <w:pPr>
        <w:pStyle w:val="ListParagraph"/>
        <w:numPr>
          <w:ilvl w:val="0"/>
          <w:numId w:val="1"/>
        </w:numPr>
        <w:spacing w:after="70" w:line="260"/>
      </w:pPr>
      <w:r>
        <w:rPr>
          <w:rFonts w:ascii="Arial" w:cs="Arial" w:eastAsia="Arial" w:hAnsi="Arial"/>
          <w:color w:val="000000"/>
        </w:rPr>
        <w:t xml:space="preserve">p11c0: Tend to cause more severe obstructions</w:t>
      </w:r>
    </w:p>
    <w:p>
      <w:pPr>
        <w:pStyle w:val="ListParagraph"/>
        <w:numPr>
          <w:ilvl w:val="0"/>
          <w:numId w:val="1"/>
        </w:numPr>
        <w:spacing w:after="70" w:line="260"/>
      </w:pPr>
      <w:r>
        <w:rPr>
          <w:rFonts w:ascii="Arial" w:cs="Arial" w:eastAsia="Arial" w:hAnsi="Arial"/>
          <w:color w:val="000000"/>
        </w:rPr>
        <w:t xml:space="preserve">p11c0: From valvular cardiac disease</w:t>
      </w:r>
    </w:p>
    <w:p>
      <w:pPr>
        <w:pStyle w:val="ListParagraph"/>
        <w:numPr>
          <w:ilvl w:val="0"/>
          <w:numId w:val="1"/>
        </w:numPr>
        <w:spacing w:after="70" w:line="260"/>
      </w:pPr>
      <w:r>
        <w:rPr>
          <w:rFonts w:ascii="Arial" w:cs="Arial" w:eastAsia="Arial" w:hAnsi="Arial"/>
          <w:color w:val="000000"/>
        </w:rPr>
        <w:t xml:space="preserve">p13c0: Cardiac emboli are usually calcific</w:t>
      </w:r>
    </w:p>
    <w:p>
      <w:pPr>
        <w:pStyle w:val="ListParagraph"/>
        <w:numPr>
          <w:ilvl w:val="0"/>
          <w:numId w:val="1"/>
        </w:numPr>
        <w:spacing w:after="70" w:line="260"/>
      </w:pPr>
      <w:r>
        <w:rPr>
          <w:rFonts w:ascii="Arial" w:cs="Arial" w:eastAsia="Arial" w:hAnsi="Arial"/>
          <w:color w:val="000000"/>
        </w:rPr>
        <w:t xml:space="preserve">p13c0: a significant source of emboli in younger patients</w:t>
      </w:r>
    </w:p>
    <w:p>
      <w:pPr>
        <w:pStyle w:val="ListParagraph"/>
        <w:numPr>
          <w:ilvl w:val="0"/>
          <w:numId w:val="1"/>
        </w:numPr>
        <w:spacing w:after="70" w:line="260"/>
      </w:pPr>
      <w:r>
        <w:rPr>
          <w:rFonts w:ascii="Arial" w:cs="Arial" w:eastAsia="Arial" w:hAnsi="Arial"/>
          <w:color w:val="000000"/>
        </w:rPr>
        <w:t xml:space="preserve">p10c0: Highly reflective, glistening, yellow-copper</w:t>
      </w:r>
    </w:p>
    <w:p>
      <w:pPr>
        <w:pStyle w:val="ListParagraph"/>
        <w:numPr>
          <w:ilvl w:val="0"/>
          <w:numId w:val="1"/>
        </w:numPr>
        <w:spacing w:after="70" w:line="260"/>
      </w:pPr>
      <w:r>
        <w:rPr>
          <w:rFonts w:ascii="Arial" w:cs="Arial" w:eastAsia="Arial" w:hAnsi="Arial"/>
          <w:color w:val="000000"/>
        </w:rPr>
        <w:t xml:space="preserve">p10c0: Generally does not produce complete obstruction</w:t>
      </w:r>
    </w:p>
    <w:p>
      <w:pPr>
        <w:pStyle w:val="ListParagraph"/>
        <w:numPr>
          <w:ilvl w:val="0"/>
          <w:numId w:val="1"/>
        </w:numPr>
        <w:spacing w:after="70" w:line="260"/>
      </w:pPr>
      <w:r>
        <w:rPr>
          <w:rFonts w:ascii="Arial" w:cs="Arial" w:eastAsia="Arial" w:hAnsi="Arial"/>
          <w:color w:val="000000"/>
        </w:rPr>
        <w:t xml:space="preserve">p11c0: Dull and elongated</w:t>
      </w:r>
    </w:p>
    <w:p>
      <w:pPr>
        <w:pStyle w:val="ListParagraph"/>
        <w:numPr>
          <w:ilvl w:val="0"/>
          <w:numId w:val="1"/>
        </w:numPr>
        <w:spacing w:after="70" w:line="260"/>
      </w:pPr>
      <w:r>
        <w:rPr>
          <w:rFonts w:ascii="Arial" w:cs="Arial" w:eastAsia="Arial" w:hAnsi="Arial"/>
          <w:color w:val="000000"/>
        </w:rPr>
        <w:t xml:space="preserve">p12c0: Only need a small plaque to release emboli (usually cholesterol)</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A. Cholesterol (Hollenhorst) emboli are the most common retinal emboli and do come from carotid atheromatous disease, but they are described as highly reflective, glistening, yellow-copper, tend to lodge at bifurcations, and generally do not produce complete obstruction — none of which matches a round, chalk-like lesion causing near-total occlusion.</w:t>
      </w:r>
    </w:p>
    <w:p>
      <w:pPr>
        <w:pStyle w:val="ListParagraph"/>
        <w:numPr>
          <w:ilvl w:val="0"/>
          <w:numId w:val="1"/>
        </w:numPr>
        <w:spacing w:after="70" w:line="260"/>
      </w:pPr>
      <w:r>
        <w:rPr>
          <w:rFonts w:ascii="Arial" w:cs="Arial" w:eastAsia="Arial" w:hAnsi="Arial"/>
          <w:color w:val="000000"/>
        </w:rPr>
        <w:t xml:space="preserve">C. Fibrin-platelet emboli do arise from atheromatous plaque (usually carotid), so the source is plausible, but their described appearance is dull and elongated and highly mobile rather than large, round, and chalk-like, and they are not the phenotype linked to the most severe obstructions.</w:t>
      </w:r>
    </w:p>
    <w:p>
      <w:pPr>
        <w:pStyle w:val="ListParagraph"/>
        <w:numPr>
          <w:ilvl w:val="0"/>
          <w:numId w:val="1"/>
        </w:numPr>
        <w:spacing w:after="70" w:line="260"/>
      </w:pPr>
      <w:r>
        <w:rPr>
          <w:rFonts w:ascii="Arial" w:cs="Arial" w:eastAsia="Arial" w:hAnsi="Arial"/>
          <w:color w:val="000000"/>
        </w:rPr>
        <w:t xml:space="preserve">D. This option mispairs appearance with source: a calcific appearance points to cardiac valvular disease, whereas carotid atheromatous plaques characteristically release cholesterol emboli; even a small carotid plaque is described as releasing emboli that are usually cholesterol.</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0.55 is below the minimum 0.7. The judge wrote: The core keyed option correctly integrates calcific morphology, severe obstruction, and valvular cardiac source, with plausible parallel distractors. However, the stem adds unsupported clinical details—sudden painless vision loss, central retinal artery location, and near-total retinal opacification—and upgrades the supplied "more severe obstructions" evidence into near-complete occlusion. This violates the requirement to use only supplied evidence.</w:t>
      </w:r>
    </w:p>
    <w:p>
      <w:pPr>
        <w:spacing w:after="220"/>
      </w:pPr>
    </w:p>
    <w:p>
      <w:pPr>
        <w:pStyle w:val="Heading3"/>
        <w:keepNext/>
        <w:spacing w:after="100" w:before="220"/>
      </w:pPr>
      <w:r>
        <w:t xml:space="preserve">Response 7</w:t>
      </w:r>
    </w:p>
    <w:p>
      <w:pPr>
        <w:keepNext/>
        <w:spacing w:after="90" w:line="240"/>
      </w:pPr>
      <w:r>
        <w:rPr>
          <w:rFonts w:ascii="Arial" w:cs="Arial" w:eastAsia="Arial" w:hAnsi="Arial"/>
          <w:b/>
          <w:bCs/>
          <w:color w:val="000000"/>
        </w:rPr>
        <w:t xml:space="preserve">Response 7  </w:t>
      </w:r>
      <w:r>
        <w:rPr>
          <w:rFonts w:ascii="Arial" w:cs="Arial" w:eastAsia="Arial" w:hAnsi="Arial"/>
          <w:b/>
          <w:bCs/>
          <w:color w:val="9C2F2F"/>
        </w:rPr>
        <w:t xml:space="preserve">Fail  </w:t>
      </w:r>
      <w:r>
        <w:rPr>
          <w:rFonts w:ascii="Arial" w:cs="Arial" w:eastAsia="Arial" w:hAnsi="Arial"/>
          <w:color w:val="5B6573"/>
        </w:rPr>
        <w:t xml:space="preserve">Case dc00ab51-q1  learn  </w:t>
      </w:r>
      <w:r>
        <w:rPr>
          <w:rFonts w:ascii="Arial" w:cs="Arial" w:eastAsia="Arial" w:hAnsi="Arial"/>
          <w:color w:val="5B6573"/>
        </w:rPr>
        <w:t xml:space="preserve">Score 0.68  Latency 20.5s  Cost $0.004273</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Identify the traditional organizational structure of medical care.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health policy course asks you to describe the traditional organizational structure of medical care in the United States. Which description best characterizes that traditional structure?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Care organized around fee-for-service private physicians in solo or small group practices, with most hospitals operating as private nonprofit institutions</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Care organized through multispecialty group practices that formally integrate specialists into a single clinic structure to promote collaborative care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Care organized around solo practitioners who share responsibility for patients with colleagues through formal peer review within a single clinic</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Care organized through community health centers governed by community members that meld clinical services with public health activities</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The traditional structure of medical care was built on independent private physicians: care was delivered by fee-for-service private physicians working in solo or small group practices, and the hospitals to which they admitted patients were largely private nonprofit institutions. The defining features are thus the payment method (fee-for-service), the practice scale (solo or small group), physician ownership/independence, and the nonprofit character of most hospitals.
The main misconceptions are to mistake later or alternative organizational models for the traditional one. Multispecialty group practice — exemplified by the Mayo Clinic's growth into a large integrated clinic with its own hospitals — was a distinct, deliberate departure from solo practice that aimed at collaboration, peer review, and continuing education; critics at the time worried it would replace the intimate solo physician-patient relationship with impersonal care and diffuse accountability. Community health centers are another alternative model, defined by responsibility for a community's health, governance by community members, multidisciplinary teams, and the melding of clinical services with public health activities.
A blended option that keeps solo practitioners but puts them in a single clinic with shared responsibility and formal peer review is also not traditional: shared responsibility and formal peer review within one clinic structure are the very features group practice introduced, not attributes of independent solo practice.</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Concept identification with discrimination among competing organizational models</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p2c0: Most medical care was delivered by fee-for-service private physicians in solo or small group practices.</w:t>
      </w:r>
    </w:p>
    <w:p>
      <w:pPr>
        <w:pStyle w:val="ListParagraph"/>
        <w:numPr>
          <w:ilvl w:val="0"/>
          <w:numId w:val="1"/>
        </w:numPr>
        <w:spacing w:after="70" w:line="260"/>
      </w:pPr>
      <w:r>
        <w:rPr>
          <w:rFonts w:ascii="Arial" w:cs="Arial" w:eastAsia="Arial" w:hAnsi="Arial"/>
          <w:color w:val="000000"/>
        </w:rPr>
        <w:t xml:space="preserve">p2c0: Most hospitals were private nonprofit institutions</w:t>
      </w:r>
    </w:p>
    <w:p>
      <w:pPr>
        <w:pStyle w:val="ListParagraph"/>
        <w:numPr>
          <w:ilvl w:val="0"/>
          <w:numId w:val="1"/>
        </w:numPr>
        <w:spacing w:after="70" w:line="260"/>
      </w:pPr>
      <w:r>
        <w:rPr>
          <w:rFonts w:ascii="Arial" w:cs="Arial" w:eastAsia="Arial" w:hAnsi="Arial"/>
          <w:color w:val="000000"/>
        </w:rPr>
        <w:t xml:space="preserve">p5c0: By formally integrating specialists into a single clinic structure, group practice attempted to promote a collaborative style of care.</w:t>
      </w:r>
    </w:p>
    <w:p>
      <w:pPr>
        <w:pStyle w:val="ListParagraph"/>
        <w:numPr>
          <w:ilvl w:val="0"/>
          <w:numId w:val="1"/>
        </w:numPr>
        <w:spacing w:after="70" w:line="260"/>
      </w:pPr>
      <w:r>
        <w:rPr>
          <w:rFonts w:ascii="Arial" w:cs="Arial" w:eastAsia="Arial" w:hAnsi="Arial"/>
          <w:color w:val="000000"/>
        </w:rPr>
        <w:t xml:space="preserve">p5c0: Critics of group practice warned that large practice structures would jeopardize the intimate patient–physician relationship possible in a solo or small group setting</w:t>
      </w:r>
    </w:p>
    <w:p>
      <w:pPr>
        <w:pStyle w:val="ListParagraph"/>
        <w:numPr>
          <w:ilvl w:val="0"/>
          <w:numId w:val="1"/>
        </w:numPr>
        <w:spacing w:after="70" w:line="260"/>
      </w:pPr>
      <w:r>
        <w:rPr>
          <w:rFonts w:ascii="Arial" w:cs="Arial" w:eastAsia="Arial" w:hAnsi="Arial"/>
          <w:color w:val="000000"/>
        </w:rPr>
        <w:t xml:space="preserve">p6c0: Governance by community members</w:t>
      </w:r>
    </w:p>
    <w:p>
      <w:pPr>
        <w:pStyle w:val="ListParagraph"/>
        <w:numPr>
          <w:ilvl w:val="0"/>
          <w:numId w:val="1"/>
        </w:numPr>
        <w:spacing w:after="70" w:line="260"/>
      </w:pPr>
      <w:r>
        <w:rPr>
          <w:rFonts w:ascii="Arial" w:cs="Arial" w:eastAsia="Arial" w:hAnsi="Arial"/>
          <w:color w:val="000000"/>
        </w:rPr>
        <w:t xml:space="preserve">p6c0: Meld clinical services with public health activities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This describes multispecialty group practice, an alternative model that arose to promote collaboration, peer review, and continuing education among colleagues — not the traditional arrangement of independent fee-for-service physicians in solo or small group practice.</w:t>
      </w:r>
    </w:p>
    <w:p>
      <w:pPr>
        <w:pStyle w:val="ListParagraph"/>
        <w:numPr>
          <w:ilvl w:val="0"/>
          <w:numId w:val="1"/>
        </w:numPr>
        <w:spacing w:after="70" w:line="260"/>
      </w:pPr>
      <w:r>
        <w:rPr>
          <w:rFonts w:ascii="Arial" w:cs="Arial" w:eastAsia="Arial" w:hAnsi="Arial"/>
          <w:color w:val="000000"/>
        </w:rPr>
        <w:t xml:space="preserve">C. This blends the two: solo practice was defined by the independent physician, while sharing responsibility for patients and formal peer review within a single clinic are the features group practice was created to add, so this is not the traditional structure.</w:t>
      </w:r>
    </w:p>
    <w:p>
      <w:pPr>
        <w:pStyle w:val="ListParagraph"/>
        <w:numPr>
          <w:ilvl w:val="0"/>
          <w:numId w:val="1"/>
        </w:numPr>
        <w:spacing w:after="70" w:line="260"/>
      </w:pPr>
      <w:r>
        <w:rPr>
          <w:rFonts w:ascii="Arial" w:cs="Arial" w:eastAsia="Arial" w:hAnsi="Arial"/>
          <w:color w:val="000000"/>
        </w:rPr>
        <w:t xml:space="preserve">D. This describes community health centers, which are defined by community governance, multidisciplinary teams, and combining clinical services with public health activities — a different model from the traditional fee-for-service solo and small group practice structure.</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and its score 0.68 is below the minimum 0.7. The judge wrote: The item has a clear keyed answer and plausible, distinct distractors, but the rationale adds unsupported claims, including that physicians were independent/owners and that hospitals were ones to which physicians admitted patients. Those details are not supplied by the evidence, so it does not fully satisfy the source-grounding requirement.</w:t>
      </w:r>
    </w:p>
    <w:p>
      <w:pPr>
        <w:spacing w:after="220"/>
      </w:pPr>
    </w:p>
    <w:p>
      <w:pPr>
        <w:pStyle w:val="Heading3"/>
        <w:keepNext/>
        <w:spacing w:after="100" w:before="220"/>
      </w:pPr>
      <w:r>
        <w:t xml:space="preserve">Response 8</w:t>
      </w:r>
    </w:p>
    <w:p>
      <w:pPr>
        <w:keepNext/>
        <w:spacing w:after="90" w:line="240"/>
      </w:pPr>
      <w:r>
        <w:rPr>
          <w:rFonts w:ascii="Arial" w:cs="Arial" w:eastAsia="Arial" w:hAnsi="Arial"/>
          <w:b/>
          <w:bCs/>
          <w:color w:val="000000"/>
        </w:rPr>
        <w:t xml:space="preserve">Response 8  </w:t>
      </w:r>
      <w:r>
        <w:rPr>
          <w:rFonts w:ascii="Arial" w:cs="Arial" w:eastAsia="Arial" w:hAnsi="Arial"/>
          <w:b/>
          <w:bCs/>
          <w:color w:val="1F6D3D"/>
        </w:rPr>
        <w:t xml:space="preserve">Pass  </w:t>
      </w:r>
      <w:r>
        <w:rPr>
          <w:rFonts w:ascii="Arial" w:cs="Arial" w:eastAsia="Arial" w:hAnsi="Arial"/>
          <w:color w:val="5B6573"/>
        </w:rPr>
        <w:t xml:space="preserve">Case dc00ab51-q2  clinical  </w:t>
      </w:r>
      <w:r>
        <w:rPr>
          <w:rFonts w:ascii="Arial" w:cs="Arial" w:eastAsia="Arial" w:hAnsi="Arial"/>
          <w:color w:val="5B6573"/>
        </w:rPr>
        <w:t xml:space="preserve">Score not logged  Latency 22.3s  Cost $0.004396</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Apply the collaborative care rationale of multispecialty group practice to a new example.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A regional health system proposes to bring an independent-practice cardiologist, endocrinologist, and nephrologist — each now in a separate fee-for-service solo office — into one shared clinic so they can jointly manage complex patients such as a 62-year-old man with diabetes, chronic kidney disease, and heart failure. Which argument best reflects the collaborative care rationale for this multispecialty group practice?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000000"/>
        </w:rPr>
        <w:t xml:space="preserve">A. </w:t>
      </w:r>
      <w:r>
        <w:rPr>
          <w:rFonts w:ascii="Arial" w:cs="Arial" w:eastAsia="Arial" w:hAnsi="Arial"/>
          <w:b w:val="false"/>
          <w:bCs w:val="false"/>
          <w:color w:val="000000"/>
        </w:rPr>
        <w:t xml:space="preserve">Consolidation guarantees that one physician will be clearly accountable for each patient's welfare, eliminating the diffusion of responsibility seen in smaller practices</w:t>
      </w:r>
    </w:p>
    <w:p>
      <w:pPr>
        <w:spacing w:after="45" w:line="245"/>
        <w:ind w:left="280" w:hanging="0"/>
      </w:pPr>
      <w:r>
        <w:rPr>
          <w:rFonts w:ascii="Arial" w:cs="Arial" w:eastAsia="Arial" w:hAnsi="Arial"/>
          <w:b/>
          <w:bCs/>
          <w:color w:val="1F6D3D"/>
        </w:rPr>
        <w:t xml:space="preserve">B. </w:t>
      </w:r>
      <w:r>
        <w:rPr>
          <w:rFonts w:ascii="Arial" w:cs="Arial" w:eastAsia="Arial" w:hAnsi="Arial"/>
          <w:b/>
          <w:bCs/>
          <w:color w:val="1F6D3D"/>
        </w:rPr>
        <w:t xml:space="preserve">Having colleagues work together and share responsibility for the same patients creates greater opportunity for formal and informal peer review and continuing education, which is expected to enhance quality of care</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It restores the intimate patient–physician relationship of the traditional model by keeping each physician in an independent fee-for-service solo practice</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It converts the clinic's primary mission to responsibility for the health of the surrounding community through governance by community members</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The core rationale for multispecialty group practice is structural, not financial or governance-based: formally integrating specialists into one clinic is meant to foster a collaborative style of care. The expected quality gain comes from the professional interactions that shared responsibility makes possible — formal and informal peer review among colleagues and ongoing continuing education — not merely from sharing office space or billing. A common misconception is that the benefit is clearer accountability for the individual patient; the source actually frames accountability as the critics' concern, since large structures were said to risk impersonal care with no single physician clearly responsible for a patient's welfare. Another misconception is confusing group practice with the traditional fee-for-service solo model it was an alternative to, or with community health centers, whose defining features are community governance, multidisciplinary teams, outreach by trained community members, and accountability for a defined population's health rather than collegial peer review among specialists.</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Application of a concept to a novel organizational scenario (transfer: identifying which stated benefit matches the collaborative-care rationale for multispecialty group practice)</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p5c0: By formally integrating specialists into a single clinic structure, group practice attempted to promote a collaborative style of care.</w:t>
      </w:r>
    </w:p>
    <w:p>
      <w:pPr>
        <w:pStyle w:val="ListParagraph"/>
        <w:numPr>
          <w:ilvl w:val="0"/>
          <w:numId w:val="1"/>
        </w:numPr>
        <w:spacing w:after="70" w:line="260"/>
      </w:pPr>
      <w:r>
        <w:rPr>
          <w:rFonts w:ascii="Arial" w:cs="Arial" w:eastAsia="Arial" w:hAnsi="Arial"/>
          <w:color w:val="000000"/>
        </w:rPr>
        <w:t xml:space="preserve">p5c0: Enhancement of quality of care was expected from the greater opportunity for formal and informal peer review and continuing education when colleagues worked together and shared responsibility</w:t>
      </w:r>
    </w:p>
    <w:p>
      <w:pPr>
        <w:pStyle w:val="ListParagraph"/>
        <w:numPr>
          <w:ilvl w:val="0"/>
          <w:numId w:val="1"/>
        </w:numPr>
        <w:spacing w:after="70" w:line="260"/>
      </w:pPr>
      <w:r>
        <w:rPr>
          <w:rFonts w:ascii="Arial" w:cs="Arial" w:eastAsia="Arial" w:hAnsi="Arial"/>
          <w:color w:val="000000"/>
        </w:rPr>
        <w:t xml:space="preserve">p5c0: Critics of group practice warned that large practice structures would jeopardize the intimate patient–physician relationship possible in a solo or small group setting</w:t>
      </w:r>
    </w:p>
    <w:p>
      <w:pPr>
        <w:pStyle w:val="ListParagraph"/>
        <w:numPr>
          <w:ilvl w:val="0"/>
          <w:numId w:val="1"/>
        </w:numPr>
        <w:spacing w:after="70" w:line="260"/>
      </w:pPr>
      <w:r>
        <w:rPr>
          <w:rFonts w:ascii="Arial" w:cs="Arial" w:eastAsia="Arial" w:hAnsi="Arial"/>
          <w:color w:val="000000"/>
        </w:rPr>
        <w:t xml:space="preserve">p2c0: Most medical care was delivered by fee-for-service private physicians in solo or small group practices.</w:t>
      </w:r>
    </w:p>
    <w:p>
      <w:pPr>
        <w:pStyle w:val="ListParagraph"/>
        <w:numPr>
          <w:ilvl w:val="0"/>
          <w:numId w:val="1"/>
        </w:numPr>
        <w:spacing w:after="70" w:line="260"/>
      </w:pPr>
      <w:r>
        <w:rPr>
          <w:rFonts w:ascii="Arial" w:cs="Arial" w:eastAsia="Arial" w:hAnsi="Arial"/>
          <w:color w:val="000000"/>
        </w:rPr>
        <w:t xml:space="preserve">p6c0: Responsibility for health of community; Governance by community members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A. This reverses the evidence: diffusion of accountability is the critics' objection to large groups, not a promised advantage of consolidating specialists into one clinic.</w:t>
      </w:r>
    </w:p>
    <w:p>
      <w:pPr>
        <w:pStyle w:val="ListParagraph"/>
        <w:numPr>
          <w:ilvl w:val="0"/>
          <w:numId w:val="1"/>
        </w:numPr>
        <w:spacing w:after="70" w:line="260"/>
      </w:pPr>
      <w:r>
        <w:rPr>
          <w:rFonts w:ascii="Arial" w:cs="Arial" w:eastAsia="Arial" w:hAnsi="Arial"/>
          <w:color w:val="000000"/>
        </w:rPr>
        <w:t xml:space="preserve">C. This describes the traditional delivery model that group practice was an alternative to; integrating specialists into a shared clinic moves away from independent solo fee-for-service practice rather than restoring it.</w:t>
      </w:r>
    </w:p>
    <w:p>
      <w:pPr>
        <w:pStyle w:val="ListParagraph"/>
        <w:numPr>
          <w:ilvl w:val="0"/>
          <w:numId w:val="1"/>
        </w:numPr>
        <w:spacing w:after="70" w:line="260"/>
      </w:pPr>
      <w:r>
        <w:rPr>
          <w:rFonts w:ascii="Arial" w:cs="Arial" w:eastAsia="Arial" w:hAnsi="Arial"/>
          <w:color w:val="000000"/>
        </w:rPr>
        <w:t xml:space="preserve">D. These are defining features of community health centers, not of multispecialty group practice, whose rationale centers on collegial peer review and shared responsibility among specialists.</w:t>
      </w:r>
    </w:p>
    <w:p>
      <w:pPr>
        <w:spacing w:after="120" w:line="276"/>
      </w:pPr>
      <w:r>
        <w:rPr>
          <w:rFonts w:ascii="Arial" w:cs="Arial" w:eastAsia="Arial" w:hAnsi="Arial"/>
          <w:b/>
          <w:bCs/>
          <w:color w:val="1F6D3D"/>
        </w:rPr>
        <w:t xml:space="preserve">Judge or contract result  </w:t>
      </w:r>
      <w:r>
        <w:rPr>
          <w:rFonts w:ascii="Arial" w:cs="Arial" w:eastAsia="Arial" w:hAnsi="Arial"/>
          <w:color w:val="000000"/>
        </w:rPr>
        <w:t xml:space="preserve">Passed; the run log did not retain a numeric judge score.</w:t>
      </w:r>
    </w:p>
    <w:p>
      <w:pPr>
        <w:spacing w:after="220"/>
      </w:pPr>
    </w:p>
    <w:p>
      <w:pPr>
        <w:pStyle w:val="Heading3"/>
        <w:keepNext/>
        <w:spacing w:after="100" w:before="220"/>
      </w:pPr>
      <w:r>
        <w:t xml:space="preserve">Response 9</w:t>
      </w:r>
    </w:p>
    <w:p>
      <w:pPr>
        <w:keepNext/>
        <w:spacing w:after="90" w:line="240"/>
      </w:pPr>
      <w:r>
        <w:rPr>
          <w:rFonts w:ascii="Arial" w:cs="Arial" w:eastAsia="Arial" w:hAnsi="Arial"/>
          <w:b/>
          <w:bCs/>
          <w:color w:val="000000"/>
        </w:rPr>
        <w:t xml:space="preserve">Response 9  </w:t>
      </w:r>
      <w:r>
        <w:rPr>
          <w:rFonts w:ascii="Arial" w:cs="Arial" w:eastAsia="Arial" w:hAnsi="Arial"/>
          <w:b/>
          <w:bCs/>
          <w:color w:val="9C2F2F"/>
        </w:rPr>
        <w:t xml:space="preserve">Fail  </w:t>
      </w:r>
      <w:r>
        <w:rPr>
          <w:rFonts w:ascii="Arial" w:cs="Arial" w:eastAsia="Arial" w:hAnsi="Arial"/>
          <w:color w:val="5B6573"/>
        </w:rPr>
        <w:t xml:space="preserve">Case dc00ab51-q3  criticalThinking  </w:t>
      </w:r>
      <w:r>
        <w:rPr>
          <w:rFonts w:ascii="Arial" w:cs="Arial" w:eastAsia="Arial" w:hAnsi="Arial"/>
          <w:color w:val="5B6573"/>
        </w:rPr>
        <w:t xml:space="preserve">Score 0.72  Latency 27.4s  Cost $0.009384</w:t>
      </w:r>
    </w:p>
    <w:p>
      <w:pPr>
        <w:spacing w:after="120" w:line="276"/>
      </w:pPr>
      <w:r>
        <w:rPr>
          <w:rFonts w:ascii="Arial" w:cs="Arial" w:eastAsia="Arial" w:hAnsi="Arial"/>
          <w:b/>
          <w:bCs/>
          <w:color w:val="000000"/>
        </w:rPr>
        <w:t xml:space="preserve">Source document  </w:t>
      </w:r>
      <w:r>
        <w:rPr>
          <w:rFonts w:ascii="Arial" w:cs="Arial" w:eastAsia="Arial" w:hAnsi="Arial"/>
          <w:color w:val="000000"/>
        </w:rPr>
        <w:t xml:space="preserve">Understanding Health Policy Chapter 6.pdf</w:t>
      </w:r>
    </w:p>
    <w:p>
      <w:pPr>
        <w:spacing w:after="120" w:line="276"/>
      </w:pPr>
      <w:r>
        <w:rPr>
          <w:rFonts w:ascii="Arial" w:cs="Arial" w:eastAsia="Arial" w:hAnsi="Arial"/>
          <w:b/>
          <w:bCs/>
          <w:color w:val="000000"/>
        </w:rPr>
        <w:t xml:space="preserve">Objective  </w:t>
      </w:r>
      <w:r>
        <w:rPr>
          <w:rFonts w:ascii="Arial" w:cs="Arial" w:eastAsia="Arial" w:hAnsi="Arial"/>
          <w:color w:val="000000"/>
        </w:rPr>
        <w:t xml:space="preserve">Integrate community governance and public health activities to distinguish a community health center from a traditional private group practice.</w:t>
      </w:r>
    </w:p>
    <w:p>
      <w:pPr>
        <w:keepNext/>
        <w:spacing w:after="120" w:line="276"/>
      </w:pPr>
      <w:r>
        <w:rPr>
          <w:rFonts w:ascii="Arial" w:cs="Arial" w:eastAsia="Arial" w:hAnsi="Arial"/>
          <w:b/>
          <w:bCs/>
          <w:color w:val="000000"/>
        </w:rPr>
        <w:t xml:space="preserve">Stem  </w:t>
      </w:r>
      <w:r>
        <w:rPr>
          <w:rFonts w:ascii="Arial" w:cs="Arial" w:eastAsia="Arial" w:hAnsi="Arial"/>
          <w:color w:val="000000"/>
        </w:rPr>
        <w:t xml:space="preserve">Two clinics serve the same city. One clinic provides primary and preventive care, is governed by a board made up mainly of local residents and patients, employs trained community members as outreach workers, and organizes multidisciplinary teams so that its clinical services are deliberately linked with population-focused public health activities. The other clinic is a multispecialty private group practice that has formally integrated specialists into a single clinic structure, with colleagues sharing responsibility for patients and engaging in peer review and continuing education. Which feature best distinguishes the first clinic as a community health center rather than a traditional private group practice?</w:t>
      </w:r>
    </w:p>
    <w:p>
      <w:pPr>
        <w:keepNext/>
        <w:spacing w:after="55" w:before="30"/>
      </w:pPr>
      <w:r>
        <w:rPr>
          <w:rFonts w:ascii="Arial" w:cs="Arial" w:eastAsia="Arial" w:hAnsi="Arial"/>
          <w:b/>
          <w:bCs/>
          <w:color w:val="000000"/>
        </w:rPr>
        <w:t xml:space="preserve">Options</w:t>
      </w:r>
    </w:p>
    <w:p>
      <w:pPr>
        <w:spacing w:after="45" w:line="245"/>
        <w:ind w:left="280" w:hanging="0"/>
      </w:pPr>
      <w:r>
        <w:rPr>
          <w:rFonts w:ascii="Arial" w:cs="Arial" w:eastAsia="Arial" w:hAnsi="Arial"/>
          <w:b/>
          <w:bCs/>
          <w:color w:val="1F6D3D"/>
        </w:rPr>
        <w:t xml:space="preserve">A. </w:t>
      </w:r>
      <w:r>
        <w:rPr>
          <w:rFonts w:ascii="Arial" w:cs="Arial" w:eastAsia="Arial" w:hAnsi="Arial"/>
          <w:b/>
          <w:bCs/>
          <w:color w:val="1F6D3D"/>
        </w:rPr>
        <w:t xml:space="preserve">It pairs governance by community members with responsibility for the health of the community, melding clinical care with public health activities rather than only reorganizing how physicians practice together.</w:t>
      </w:r>
      <w:r>
        <w:rPr>
          <w:rFonts w:ascii="Arial" w:cs="Arial" w:eastAsia="Arial" w:hAnsi="Arial"/>
          <w:i/>
          <w:iCs/>
          <w:color w:val="1F6D3D"/>
        </w:rPr>
        <w:t xml:space="preserve">  Correct answer</w:t>
      </w:r>
    </w:p>
    <w:p>
      <w:pPr>
        <w:spacing w:after="45" w:line="245"/>
        <w:ind w:left="280" w:hanging="0"/>
      </w:pPr>
      <w:r>
        <w:rPr>
          <w:rFonts w:ascii="Arial" w:cs="Arial" w:eastAsia="Arial" w:hAnsi="Arial"/>
          <w:b/>
          <w:bCs/>
          <w:color w:val="000000"/>
        </w:rPr>
        <w:t xml:space="preserve">B. </w:t>
      </w:r>
      <w:r>
        <w:rPr>
          <w:rFonts w:ascii="Arial" w:cs="Arial" w:eastAsia="Arial" w:hAnsi="Arial"/>
          <w:b w:val="false"/>
          <w:bCs w:val="false"/>
          <w:color w:val="000000"/>
        </w:rPr>
        <w:t xml:space="preserve">It formally integrates multiple specialists into one clinic structure so that collegial peer review and continuing education improve quality of care.</w:t>
      </w:r>
    </w:p>
    <w:p>
      <w:pPr>
        <w:spacing w:after="45" w:line="245"/>
        <w:ind w:left="280" w:hanging="0"/>
      </w:pPr>
      <w:r>
        <w:rPr>
          <w:rFonts w:ascii="Arial" w:cs="Arial" w:eastAsia="Arial" w:hAnsi="Arial"/>
          <w:b/>
          <w:bCs/>
          <w:color w:val="000000"/>
        </w:rPr>
        <w:t xml:space="preserve">C. </w:t>
      </w:r>
      <w:r>
        <w:rPr>
          <w:rFonts w:ascii="Arial" w:cs="Arial" w:eastAsia="Arial" w:hAnsi="Arial"/>
          <w:b w:val="false"/>
          <w:bCs w:val="false"/>
          <w:color w:val="000000"/>
        </w:rPr>
        <w:t xml:space="preserve">It is larger and employs more physicians and support staff, eventually allowing it to open its own hospitals.</w:t>
      </w:r>
    </w:p>
    <w:p>
      <w:pPr>
        <w:spacing w:after="45" w:line="245"/>
        <w:ind w:left="280" w:hanging="0"/>
      </w:pPr>
      <w:r>
        <w:rPr>
          <w:rFonts w:ascii="Arial" w:cs="Arial" w:eastAsia="Arial" w:hAnsi="Arial"/>
          <w:b/>
          <w:bCs/>
          <w:color w:val="000000"/>
        </w:rPr>
        <w:t xml:space="preserve">D. </w:t>
      </w:r>
      <w:r>
        <w:rPr>
          <w:rFonts w:ascii="Arial" w:cs="Arial" w:eastAsia="Arial" w:hAnsi="Arial"/>
          <w:b w:val="false"/>
          <w:bCs w:val="false"/>
          <w:color w:val="000000"/>
        </w:rPr>
        <w:t xml:space="preserve">It delivers care through fee-for-service private physicians working in small groups, preserving an intimate patient-physician relationship.</w:t>
      </w:r>
    </w:p>
    <w:p>
      <w:pPr>
        <w:spacing w:after="120" w:line="276"/>
      </w:pPr>
      <w:r>
        <w:rPr>
          <w:rFonts w:ascii="Arial" w:cs="Arial" w:eastAsia="Arial" w:hAnsi="Arial"/>
          <w:b/>
          <w:bCs/>
          <w:color w:val="000000"/>
        </w:rPr>
        <w:t xml:space="preserve">Rationale  </w:t>
      </w:r>
      <w:r>
        <w:rPr>
          <w:rFonts w:ascii="Arial" w:cs="Arial" w:eastAsia="Arial" w:hAnsi="Arial"/>
          <w:color w:val="000000"/>
        </w:rPr>
        <w:t xml:space="preserve">A community health center is defined by its accountability to a defined population, not by the way physicians are organized. Two attributes do the defining work: community members govern the center, and the center accepts responsibility for the health of the community, which is operationalized by melding clinical services with public health activities, building multidisciplinary teams, and deploying trained community members as outreach workers. Reorganizing physicians into a group is a different reform with different goals: multispecialty group practice formally integrates specialists to promote collaborative care, shared patient responsibility, peer review, and continuing education. That structural collaboration can exist without any community governance or population-health mandate, so it cannot by itself make a clinic a community health center. Common misconceptions to avoid: size is not the marker, since a group practice can grow to hundreds of physicians and open its own hospitals while remaining a group practice; fee-for-service private physicians in solo or small group practices describe the traditional structure of medical care, not community health centers; and the criticism that large groups become impersonal speaks to a weakness of group practice, not to the community-governance and public-health integration that characterize a community health center.</w:t>
      </w:r>
    </w:p>
    <w:p>
      <w:pPr>
        <w:spacing w:after="120" w:line="276"/>
      </w:pPr>
      <w:r>
        <w:rPr>
          <w:rFonts w:ascii="Arial" w:cs="Arial" w:eastAsia="Arial" w:hAnsi="Arial"/>
          <w:b/>
          <w:bCs/>
          <w:color w:val="000000"/>
        </w:rPr>
        <w:t xml:space="preserve">Reasoning skill  </w:t>
      </w:r>
      <w:r>
        <w:rPr>
          <w:rFonts w:ascii="Arial" w:cs="Arial" w:eastAsia="Arial" w:hAnsi="Arial"/>
          <w:color w:val="000000"/>
        </w:rPr>
        <w:t xml:space="preserve">Compare and contrast: isolate the defining governance and population-health attributes of a care model while rejecting size, payment, and physician-collaboration features as non-discriminating</w:t>
      </w:r>
    </w:p>
    <w:p>
      <w:pPr>
        <w:keepNext/>
        <w:spacing w:after="50" w:before="50"/>
      </w:pPr>
      <w:r>
        <w:rPr>
          <w:rFonts w:ascii="Arial" w:cs="Arial" w:eastAsia="Arial" w:hAnsi="Arial"/>
          <w:b/>
          <w:bCs/>
          <w:color w:val="000000"/>
        </w:rPr>
        <w:t xml:space="preserve">Evidence supplied by the model</w:t>
      </w:r>
    </w:p>
    <w:p>
      <w:pPr>
        <w:pStyle w:val="ListParagraph"/>
        <w:numPr>
          <w:ilvl w:val="0"/>
          <w:numId w:val="1"/>
        </w:numPr>
        <w:spacing w:after="70" w:line="260"/>
      </w:pPr>
      <w:r>
        <w:rPr>
          <w:rFonts w:ascii="Arial" w:cs="Arial" w:eastAsia="Arial" w:hAnsi="Arial"/>
          <w:color w:val="000000"/>
        </w:rPr>
        <w:t xml:space="preserve">p6c0: Governance by community members</w:t>
      </w:r>
    </w:p>
    <w:p>
      <w:pPr>
        <w:pStyle w:val="ListParagraph"/>
        <w:numPr>
          <w:ilvl w:val="0"/>
          <w:numId w:val="1"/>
        </w:numPr>
        <w:spacing w:after="70" w:line="260"/>
      </w:pPr>
      <w:r>
        <w:rPr>
          <w:rFonts w:ascii="Arial" w:cs="Arial" w:eastAsia="Arial" w:hAnsi="Arial"/>
          <w:color w:val="000000"/>
        </w:rPr>
        <w:t xml:space="preserve">p6c0: Responsibility for health of community</w:t>
      </w:r>
    </w:p>
    <w:p>
      <w:pPr>
        <w:pStyle w:val="ListParagraph"/>
        <w:numPr>
          <w:ilvl w:val="0"/>
          <w:numId w:val="1"/>
        </w:numPr>
        <w:spacing w:after="70" w:line="260"/>
      </w:pPr>
      <w:r>
        <w:rPr>
          <w:rFonts w:ascii="Arial" w:cs="Arial" w:eastAsia="Arial" w:hAnsi="Arial"/>
          <w:color w:val="000000"/>
        </w:rPr>
        <w:t xml:space="preserve">p6c0: Meld clinical services with public health activities</w:t>
      </w:r>
    </w:p>
    <w:p>
      <w:pPr>
        <w:pStyle w:val="ListParagraph"/>
        <w:numPr>
          <w:ilvl w:val="0"/>
          <w:numId w:val="1"/>
        </w:numPr>
        <w:spacing w:after="70" w:line="260"/>
      </w:pPr>
      <w:r>
        <w:rPr>
          <w:rFonts w:ascii="Arial" w:cs="Arial" w:eastAsia="Arial" w:hAnsi="Arial"/>
          <w:color w:val="000000"/>
        </w:rPr>
        <w:t xml:space="preserve">p5c0: By formally integrating specialists into a single clinic structure, group practice attempted to promote a collaborative style of care</w:t>
      </w:r>
    </w:p>
    <w:p>
      <w:pPr>
        <w:pStyle w:val="ListParagraph"/>
        <w:numPr>
          <w:ilvl w:val="0"/>
          <w:numId w:val="1"/>
        </w:numPr>
        <w:spacing w:after="70" w:line="260"/>
      </w:pPr>
      <w:r>
        <w:rPr>
          <w:rFonts w:ascii="Arial" w:cs="Arial" w:eastAsia="Arial" w:hAnsi="Arial"/>
          <w:color w:val="000000"/>
        </w:rPr>
        <w:t xml:space="preserve">p2c0: Most medical care was delivered by fee-for-service private physicians in solo or small group practices</w:t>
      </w:r>
    </w:p>
    <w:p>
      <w:pPr>
        <w:pStyle w:val="ListParagraph"/>
        <w:numPr>
          <w:ilvl w:val="0"/>
          <w:numId w:val="1"/>
        </w:numPr>
        <w:spacing w:after="70" w:line="260"/>
      </w:pPr>
      <w:r>
        <w:rPr>
          <w:rFonts w:ascii="Arial" w:cs="Arial" w:eastAsia="Arial" w:hAnsi="Arial"/>
          <w:color w:val="000000"/>
        </w:rPr>
        <w:t xml:space="preserve">p4c0: By 1929, the Mayo Clinic had more than 375 physicians and 900 support staff and eventually opened its own hospitals</w:t>
      </w:r>
    </w:p>
    <w:p>
      <w:pPr>
        <w:keepNext/>
        <w:spacing w:after="50" w:before="50"/>
      </w:pPr>
      <w:r>
        <w:rPr>
          <w:rFonts w:ascii="Arial" w:cs="Arial" w:eastAsia="Arial" w:hAnsi="Arial"/>
          <w:b/>
          <w:bCs/>
          <w:color w:val="000000"/>
        </w:rPr>
        <w:t xml:space="preserve">Distractor explanations</w:t>
      </w:r>
    </w:p>
    <w:p>
      <w:pPr>
        <w:pStyle w:val="ListParagraph"/>
        <w:numPr>
          <w:ilvl w:val="0"/>
          <w:numId w:val="1"/>
        </w:numPr>
        <w:spacing w:after="70" w:line="260"/>
      </w:pPr>
      <w:r>
        <w:rPr>
          <w:rFonts w:ascii="Arial" w:cs="Arial" w:eastAsia="Arial" w:hAnsi="Arial"/>
          <w:color w:val="000000"/>
        </w:rPr>
        <w:t xml:space="preserve">B. This describes multispecialty group practice itself, not the community health center. Integrating specialists for peer review and continuing education changes how physicians work together but says nothing about community governance or responsibility for the health of a population.</w:t>
      </w:r>
    </w:p>
    <w:p>
      <w:pPr>
        <w:pStyle w:val="ListParagraph"/>
        <w:numPr>
          <w:ilvl w:val="0"/>
          <w:numId w:val="1"/>
        </w:numPr>
        <w:spacing w:after="70" w:line="260"/>
      </w:pPr>
      <w:r>
        <w:rPr>
          <w:rFonts w:ascii="Arial" w:cs="Arial" w:eastAsia="Arial" w:hAnsi="Arial"/>
          <w:color w:val="000000"/>
        </w:rPr>
        <w:t xml:space="preserve">C. Size is not a defining attribute. A group practice can grow very large and add its own hospitals and still be a group practice, because scale does not create community governance or the melding of clinical services with public health activities.</w:t>
      </w:r>
    </w:p>
    <w:p>
      <w:pPr>
        <w:pStyle w:val="ListParagraph"/>
        <w:numPr>
          <w:ilvl w:val="0"/>
          <w:numId w:val="1"/>
        </w:numPr>
        <w:spacing w:after="70" w:line="260"/>
      </w:pPr>
      <w:r>
        <w:rPr>
          <w:rFonts w:ascii="Arial" w:cs="Arial" w:eastAsia="Arial" w:hAnsi="Arial"/>
          <w:color w:val="000000"/>
        </w:rPr>
        <w:t xml:space="preserve">D. This reverses the contrast: fee-for-service care by private physicians in solo or small group practices is the traditional structure of medical care, whereas a community health center is organized around community responsibility and outreach rather than this payment and practice arrangement.</w:t>
      </w:r>
    </w:p>
    <w:p>
      <w:pPr>
        <w:spacing w:after="120" w:line="276"/>
      </w:pPr>
      <w:r>
        <w:rPr>
          <w:rFonts w:ascii="Arial" w:cs="Arial" w:eastAsia="Arial" w:hAnsi="Arial"/>
          <w:b/>
          <w:bCs/>
          <w:color w:val="9C2F2F"/>
        </w:rPr>
        <w:t xml:space="preserve">Judge or contract result  </w:t>
      </w:r>
      <w:r>
        <w:rPr>
          <w:rFonts w:ascii="Arial" w:cs="Arial" w:eastAsia="Arial" w:hAnsi="Arial"/>
          <w:color w:val="000000"/>
        </w:rPr>
        <w:t xml:space="preserve">judge rejected the candidate: the judge marked it failed. Its score 0.72 is at or above the minimum 0.7, so the minimum is not what rejected this run. A passing score under a failing verdict usually means the rubric and the score are measuring different things. The judge wrote: The core comparison, answer key, distractors, and critical-thinking fit are strong and largely source-grounded. However, the student-facing stem adds unsupported specifics that community governance is through a board made up mainly of local residents and patients; the evidence states only “Governance by community members.” The rationale also introduces unsupported framing such as accountability to a defined population. Because the assignment prohibits adding outside claims and requires source-grounding throughout, this does not clearly meet the standard.</w:t>
      </w:r>
    </w:p>
    <w:p>
      <w:pPr>
        <w:spacing w:after="220"/>
      </w:pPr>
    </w:p>
    <w:p>
      <w:r>
        <w:br w:type="page"/>
      </w:r>
    </w:p>
    <w:p>
      <w:pPr>
        <w:pStyle w:val="Heading1"/>
        <w:keepNext/>
        <w:spacing w:after="140" w:before="300"/>
      </w:pPr>
      <w:r>
        <w:t xml:space="preserve">Appendix Data provenance</w:t>
      </w:r>
    </w:p>
    <w:p>
      <w:pPr>
        <w:spacing w:after="120" w:line="276"/>
      </w:pPr>
      <w:r>
        <w:rPr>
          <w:rFonts w:ascii="Arial" w:cs="Arial" w:eastAsia="Arial" w:hAnsi="Arial"/>
          <w:color w:val="000000"/>
        </w:rPr>
        <w:t xml:space="preserve">Summary metrics, judge reasons, timing, and costs came from the Ori full-run and routing reports plus the full-run console log. Response bodies came from Ori's local session-history database. Model reasoning items were not reproduced. The LearnTerms repository code and production backend were not changed by the evaluation.</w:t>
      </w:r>
    </w:p>
    <w:p>
      <w:pPr>
        <w:spacing w:after="120" w:line="276"/>
      </w:pPr>
      <w:r>
        <w:rPr>
          <w:rFonts w:ascii="Arial" w:cs="Arial" w:eastAsia="Arial" w:hAnsi="Arial"/>
          <w:b/>
          <w:bCs/>
          <w:color w:val="000000"/>
        </w:rPr>
        <w:t xml:space="preserve">Full evaluation report  </w:t>
      </w:r>
      <w:r>
        <w:rPr>
          <w:rFonts w:ascii="Arial" w:cs="Arial" w:eastAsia="Arial" w:hAnsi="Arial"/>
          <w:color w:val="000000"/>
        </w:rPr>
        <w:t xml:space="preserve">/var/folders/sq/3209krf17t37989fgdxw9hkw0000gn/T/ori-eval-scratch-eTKCaq/full-report.md</w:t>
      </w:r>
    </w:p>
    <w:p>
      <w:pPr>
        <w:spacing w:after="120" w:line="276"/>
      </w:pPr>
      <w:r>
        <w:rPr>
          <w:rFonts w:ascii="Arial" w:cs="Arial" w:eastAsia="Arial" w:hAnsi="Arial"/>
          <w:b/>
          <w:bCs/>
          <w:color w:val="000000"/>
        </w:rPr>
        <w:t xml:space="preserve">Routing report  </w:t>
      </w:r>
      <w:r>
        <w:rPr>
          <w:rFonts w:ascii="Arial" w:cs="Arial" w:eastAsia="Arial" w:hAnsi="Arial"/>
          <w:color w:val="000000"/>
        </w:rPr>
        <w:t xml:space="preserve">/var/folders/sq/3209krf17t37989fgdxw9hkw0000gn/T/ori-eval-scratch-eTKCaq/routing-report.md</w:t>
      </w:r>
    </w:p>
    <w:p>
      <w:pPr>
        <w:spacing w:after="120" w:line="276"/>
      </w:pPr>
      <w:r>
        <w:rPr>
          <w:rFonts w:ascii="Arial" w:cs="Arial" w:eastAsia="Arial" w:hAnsi="Arial"/>
          <w:b/>
          <w:bCs/>
          <w:color w:val="000000"/>
        </w:rPr>
        <w:t xml:space="preserve">Ori run log  </w:t>
      </w:r>
      <w:r>
        <w:rPr>
          <w:rFonts w:ascii="Arial" w:cs="Arial" w:eastAsia="Arial" w:hAnsi="Arial"/>
          <w:color w:val="000000"/>
        </w:rPr>
        <w:t xml:space="preserve">/tmp/spawn-ori-eval-a1a4a125d1e6/ori/full-run.log</w:t>
      </w:r>
    </w:p>
    <w:sectPr>
      <w:footerReference w:type="default" r:id="rId7"/>
      <w:pgSz w:w="12240" w:h="15840" w:orient="portrait"/>
      <w:pgMar w:top="900" w:right="900" w:bottom="900" w:left="900" w:header="36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Arial" w:cs="Arial" w:eastAsia="Arial" w:hAnsi="Arial"/>
        <w:color w:val="5B6573"/>
        <w:sz w:val="16"/>
        <w:szCs w:val="16"/>
      </w:rPr>
      <w:t xml:space="preserve">LearnTerms model comparison  |  Page </w:t>
    </w:r>
    <w:r>
      <w:rPr>
        <w:rFonts w:ascii="Arial" w:cs="Arial" w:eastAsia="Arial" w:hAnsi="Arial"/>
        <w:color w:val="5B6573"/>
        <w:sz w:val="16"/>
        <w:szCs w:val="16"/>
      </w:rPr>
      <w:fldChar w:fldCharType="begin"/>
      <w:instrText xml:space="preserve">PAGE</w:instrText>
      <w:fldChar w:fldCharType="separate"/>
      <w:fldChar w:fldCharType="end"/>
    </w:r>
    <w:r>
      <w:rPr>
        <w:rFonts w:ascii="Arial" w:cs="Arial" w:eastAsia="Arial" w:hAnsi="Arial"/>
        <w:color w:val="5B6573"/>
        <w:sz w:val="16"/>
        <w:szCs w:val="16"/>
      </w:rPr>
      <w:t xml:space="preserve"> of </w:t>
    </w:r>
    <w:r>
      <w:rPr>
        <w:rFonts w:ascii="Arial" w:cs="Arial" w:eastAsia="Arial" w:hAnsi="Arial"/>
        <w:color w:val="5B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80"/>
    </w:pPr>
    <w:rPr>
      <w:rFonts w:ascii="Arial" w:cs="Arial" w:eastAsia="Arial" w:hAnsi="Arial"/>
      <w:b/>
      <w:bCs/>
      <w:color w:val="000000"/>
      <w:sz w:val="52"/>
      <w:szCs w:val="52"/>
    </w:rPr>
  </w:style>
  <w:style w:type="paragraph" w:styleId="Heading1">
    <w:name w:val="Heading 1"/>
    <w:basedOn w:val="Normal"/>
    <w:next w:val="Normal"/>
    <w:qFormat/>
    <w:pPr>
      <w:keepNext/>
      <w:spacing w:after="140" w:before="300"/>
      <w:outlineLvl w:val="0"/>
    </w:pPr>
    <w:rPr>
      <w:rFonts w:ascii="Arial" w:cs="Arial" w:eastAsia="Arial" w:hAnsi="Arial"/>
      <w:b/>
      <w:bCs/>
      <w:color w:val="000000"/>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000000"/>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LearnTerms Question Studio Model Comparison Report</dc:title>
  <dc:subject>Comparison of Gemini 3.8 Flash Luna and three comparator models</dc:subject>
  <dc:creator>Justin Dang</dc:creator>
  <dc:description>Question Studio quality latency and cost evaluation with individual response records</dc:description>
  <cp:lastModifiedBy>Un-named</cp:lastModifiedBy>
  <cp:revision>1</cp:revision>
  <dcterms:created xsi:type="dcterms:W3CDTF">2026-09-21T00:19:35.132Z</dcterms:created>
  <dcterms:modified xsi:type="dcterms:W3CDTF">2026-09-21T00:19:35.132Z</dcterms:modified>
</cp:coreProperties>
</file>

<file path=docProps/custom.xml><?xml version="1.0" encoding="utf-8"?>
<Properties xmlns="http://schemas.openxmlformats.org/officeDocument/2006/custom-properties" xmlns:vt="http://schemas.openxmlformats.org/officeDocument/2006/docPropsVTypes"/>
</file>