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5f"/>
          <w:sz w:val="48"/>
          <w:szCs w:val="48"/>
        </w:rPr>
        <w:t xml:space="preserve">SRO Intelligence</w:t>
      </w:r>
    </w:p>
    <w:p>
      <w:pPr>
        <w:spacing w:after="40"/>
      </w:pPr>
      <w:r>
        <w:rPr>
          <w:rFonts w:ascii="Arial" w:cs="Arial" w:eastAsia="Arial" w:hAnsi="Arial"/>
          <w:color w:val="2c5aa0"/>
          <w:sz w:val="32"/>
          <w:szCs w:val="32"/>
        </w:rPr>
        <w:t xml:space="preserve">Portal Spec Analysis &amp; Hybrid Data Acquisition Design</w:t>
      </w:r>
    </w:p>
    <w:p>
      <w:pPr>
        <w:pBdr>
          <w:bottom w:val="single" w:color="2c5aa0" w:sz="6" w:space="1"/>
        </w:pBdr>
        <w:spacing w:after="400"/>
      </w:pPr>
      <w:r>
        <w:rPr>
          <w:rFonts w:ascii="Arial" w:cs="Arial" w:eastAsia="Arial" w:hAnsi="Arial"/>
          <w:color w:val="6b7280"/>
          <w:sz w:val="20"/>
          <w:szCs w:val="20"/>
        </w:rPr>
        <w:t xml:space="preserve">March 2, 2026  |  Critical Path Analysis</w:t>
      </w:r>
    </w:p>
    <w:p>
      <w:pPr>
        <w:pStyle w:val="Heading1"/>
      </w:pPr>
      <w:r>
        <w:t xml:space="preserve">Part 1: The Problem You’re Solving Is Real</w:t>
      </w:r>
    </w:p>
    <w:p>
      <w:pPr>
        <w:spacing w:after="160"/>
      </w:pPr>
      <w:r>
        <w:t xml:space="preserve">The spec identifies the right enemy: nurse labor as the bottleneck. Every new data point SRO collects—PROMs, comorbidities, conservative care history, workup tracking—adds to the nurse’s plate if nurses are the ones doing the entering. That’s unsustainable. The instinct to push data collection upstream to the patient is exactly right, and it’s how every successful clinical platform scales.</w:t>
      </w:r>
    </w:p>
    <w:p>
      <w:pPr>
        <w:spacing w:after="160"/>
      </w:pPr>
      <w:r>
        <w:t xml:space="preserve">But there’s a critical ambiguity in the spec that must be resolved before building anything: what does “portal” mean?</w:t>
      </w:r>
    </w:p>
    <w:p>
      <w:pPr>
        <w:spacing w:after="160"/>
      </w:pPr>
      <w:r>
        <w:rPr>
          <w:i w:val="false"/>
          <w:iCs w:val="false"/>
        </w:rPr>
        <w:t xml:space="preserve">The spec uses the word “portal” 12 times but never defines whether this is </w:t>
      </w:r>
      <w:r>
        <w:rPr>
          <w:b/>
          <w:bCs/>
        </w:rPr>
        <w:t xml:space="preserve">the hospital’s existing patient portal</w:t>
      </w:r>
      <w:r>
        <w:t xml:space="preserve"> (MyChart, Meditech Patient Portal, Athena, etc.) or </w:t>
      </w:r>
      <w:r>
        <w:rPr>
          <w:b/>
          <w:bCs/>
        </w:rPr>
        <w:t xml:space="preserve">SRO’s own patient-facing web interface</w:t>
      </w:r>
      <w:r>
        <w:t xml:space="preserve"> hosted on the cloud relay. This distinction is everything. It determines the architecture, the IT buy-in story, the build timeline, and whether this is a 2-week project or a 6-month project.</w:t>
      </w:r>
    </w:p>
    <w:p>
      <w:pPr>
        <w:spacing w:after="200"/>
      </w:pPr>
    </w:p>
    <w:p>
      <w:pPr>
        <w:pStyle w:val="Heading1"/>
      </w:pPr>
      <w:r>
        <w:t xml:space="preserve">Part 2: Can SRO Run Inside a Hospital Portal?</w:t>
      </w:r>
    </w:p>
    <w:p>
      <w:pPr>
        <w:spacing w:after="160"/>
      </w:pPr>
      <w:r>
        <w:t xml:space="preserve">This is your Question #1, and the answer requires understanding what hospital portals actually allow.</w:t>
      </w:r>
    </w:p>
    <w:p>
      <w:pPr>
        <w:pStyle w:val="Heading2"/>
      </w:pPr>
      <w:r>
        <w:t xml:space="preserve">What Hospital Portals Are</w:t>
      </w:r>
    </w:p>
    <w:p>
      <w:pPr>
        <w:spacing w:after="160"/>
      </w:pPr>
      <w:r>
        <w:t xml:space="preserve">MyChart (Epic), Meditech Patient Portal, Athena Patient Portal, and Cerner Patient Portal are proprietary software owned by the EHR vendor. They are not open web platforms. They are locked environments designed to show patients their lab results, medications, appointments, and messaging. They do not allow third-party apps to render custom UIs inside their patient-facing interfaces.</w:t>
      </w:r>
    </w:p>
    <w:p>
      <w:pPr>
        <w:pStyle w:val="Heading2"/>
      </w:pPr>
      <w:r>
        <w:t xml:space="preserve">What SMART on FHIR Actually Does</w:t>
      </w:r>
    </w:p>
    <w:p>
      <w:pPr>
        <w:spacing w:after="160"/>
      </w:pPr>
      <w:r>
        <w:t xml:space="preserve">SMART on FHIR is the integration standard that Epic, Meditech, and others support. It allows third-party apps to launch from within the EHR’s clinician-facing interface (Epic Hyperspace, Meditech Expanse) via an iframe. The key word is clinician-facing. The app gets an OAuth token and can read/write FHIR resources. But this is for provider workflows—a surgeon clicking a button in their EHR that launches SRO’s decision tool with the patient’s data pre-loaded.</w:t>
      </w:r>
    </w:p>
    <w:p>
      <w:pPr>
        <w:spacing w:after="160"/>
      </w:pPr>
      <w:r>
        <w:t xml:space="preserve">On the patient side, SMART on FHIR allows patients to authorize third-party apps to access their data through OAuth. This is how Apple Health pulls your records from MyChart. But this is a data-pull mechanism, not a UI-embedding mechanism. The third-party app runs in its own window/browser, not inside MyChart.</w:t>
      </w:r>
    </w:p>
    <w:p>
      <w:pPr>
        <w:pStyle w:val="Heading2"/>
      </w:pPr>
      <w:r>
        <w:t xml:space="preserve">Meditech Specifics</w:t>
      </w:r>
    </w:p>
    <w:p>
      <w:pPr>
        <w:spacing w:after="160"/>
      </w:pPr>
      <w:r>
        <w:t xml:space="preserve">Meditech launched Greenfield Workspace as their developer platform for FHIR-based app integration. It supports FHIR R4 APIs for patient data access. But their patient-facing APIs are currently view-only (US Core FHIR R4 for patient-facing data). Meditech’s Interlace Health partnership demonstrates FHIR-powered forms that can capture discrete data (consents, questionnaires, medical history) and write it back to the chart. However, this integration requires a formal vendor relationship, Meditech customer cooperation, and is designed for forms launched from within the Meditech workflow—not as a standalone patient portal experience.</w:t>
      </w:r>
    </w:p>
    <w:p>
      <w:pPr>
        <w:pStyle w:val="Heading2"/>
      </w:pPr>
      <w:r>
        <w:t xml:space="preserve">The Verdict on Running Inside a Hospital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sz w:val="20"/>
                <w:szCs w:val="20"/>
              </w:rPr>
              <w:t xml:space="preserve">NO</w:t>
            </w:r>
          </w:p>
        </w:tc>
        <w:tc>
          <w:tcPr>
            <w:tcW w:type="dxa" w:w="8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SRO cannot render its custom intake UI inside MyChart, Meditech Patient Portal, or any major hospital portal. These are closed environments. No hospital portal allows arbitrary third-party HTML/JS to run inside the patient-facing experience.</w:t>
            </w:r>
          </w:p>
        </w:tc>
      </w:tr>
    </w:tbl>
    <w:p>
      <w:pPr>
        <w:spacing w:after="200"/>
      </w:pPr>
    </w:p>
    <w:p>
      <w:pPr>
        <w:spacing w:after="160"/>
      </w:pPr>
      <w:r>
        <w:t xml:space="preserve">However—and this is the important part—that doesn’t mean the hospital portal is irrelevant. It means the integration model is different from what the spec assumes.</w:t>
      </w:r>
    </w:p>
    <w:p>
      <w:pPr>
        <w:pStyle w:val="Heading2"/>
      </w:pPr>
      <w:r>
        <w:t xml:space="preserve">What IS Possible with Hospital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SRO Relevance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MyChart link-out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places a link in MyChart that opens SRO’s portal in a new browser tab. Patient clicks it from their MyChart dashboard.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Patient sees link in their trusted portal environment. Link carries a token. SRO handles the actual data collection.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FHIR data pre-fill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SRO reads patient demographics, medications, allergies, and diagnoses from the hospital’s FHIR API (with patient OAuth consent). Auto-populates SRO intake.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Eliminates re-entry of data the hospital already has. Requires FHIR integration (Tier 3 from the efficiency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FHIR data write-back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SRO writes PROMs, assessment scores, or care plans back to the EHR via FHIR create/update operations.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Gets SRO data into the hospital’s chart. Requires write-capable FHIR APIs (not universally available yet).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Provider-side SMART launch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Surgeon clicks a button in Meditech/Epic that launches SRO’s dashboard or decision tool in an iframe, with patient context passed automatically.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 This is the holy grail for clinician adoption. Requires App Orchard/Greenfield registration.</w:t>
            </w:r>
          </w:p>
        </w:tc>
      </w:tr>
    </w:tbl>
    <w:p>
      <w:pPr>
        <w:spacing w:after="200"/>
      </w:pPr>
    </w:p>
    <w:p>
      <w:pPr>
        <w:spacing w:after="160"/>
      </w:pPr>
      <w:r>
        <w:rPr>
          <w:b/>
          <w:bCs/>
        </w:rPr>
        <w:t xml:space="preserve">The IT buy-in story: </w:t>
      </w:r>
      <w:r>
        <w:t xml:space="preserve">“We’re not replacing your portal. We’re adding a specialized surgical episode tool that your portal links to. Your patients access it through a familiar starting point. And when we’re ready, we can pull demographics from your FHIR API so nothing gets re-entered.” This is far more credible to a hospital IT department than asking to run custom code inside their portal.</w:t>
      </w:r>
    </w:p>
    <w:p>
      <w:r>
        <w:br w:type="page"/>
      </w:r>
    </w:p>
    <w:p>
      <w:pPr>
        <w:pStyle w:val="Heading1"/>
      </w:pPr>
      <w:r>
        <w:t xml:space="preserve">Part 3: Section-by-Section Spec Analysis</w:t>
      </w:r>
    </w:p>
    <w:p>
      <w:pPr>
        <w:spacing w:after="160"/>
      </w:pPr>
      <w:r>
        <w:t xml:space="preserve">Now let’s go through the spec with a fine-tooth comb.</w:t>
      </w:r>
    </w:p>
    <w:p>
      <w:pPr>
        <w:pStyle w:val="Heading2"/>
      </w:pPr>
      <w:r>
        <w:t xml:space="preserve">Section 1: Episode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STRONG</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The episode initialization trigger, auto-generation of token/link, and data model are architecturally sound. Episode type selection (TKA/THA/Non-op) at creation is correct and already aligns with existing SRO episode table.</w:t>
            </w:r>
          </w:p>
        </w:tc>
      </w:tr>
    </w:tbl>
    <w:p>
      <w:pPr>
        <w:spacing w:after="200"/>
      </w:pPr>
    </w:p>
    <w:p>
      <w:pPr>
        <w:spacing w:after="160"/>
      </w:pPr>
      <w:r>
        <w:rPr>
          <w:b/>
          <w:bCs/>
        </w:rPr>
        <w:t xml:space="preserve">Issues to address:</w:t>
      </w:r>
    </w:p>
    <w:p>
      <w:pPr>
        <w:pStyle w:val="ListParagraph"/>
        <w:numPr>
          <w:ilvl w:val="0"/>
          <w:numId w:val="2"/>
        </w:numPr>
        <w:spacing w:after="80"/>
      </w:pPr>
      <w:r>
        <w:rPr>
          <w:b/>
          <w:bCs/>
        </w:rPr>
        <w:t xml:space="preserve">Missing episode types. </w:t>
      </w:r>
      <w:r>
        <w:t xml:space="preserve">The spec lists TKA, THA, Non-op. SRO already supports UKA, Partial Hip, Hip Fracture, TSA. Don’t regress.</w:t>
      </w:r>
    </w:p>
    <w:p>
      <w:pPr>
        <w:pStyle w:val="ListParagraph"/>
        <w:numPr>
          <w:ilvl w:val="0"/>
          <w:numId w:val="2"/>
        </w:numPr>
        <w:spacing w:after="80"/>
      </w:pPr>
      <w:r>
        <w:rPr>
          <w:b/>
          <w:bCs/>
        </w:rPr>
        <w:t xml:space="preserve">SMS/email auto-send. </w:t>
      </w:r>
      <w:r>
        <w:t xml:space="preserve">The spec says “Twilio placeholder if not yet active.” This is the right instinct but underestimates the problem. The current workflow (staff copies link to clipboard, pastes into text/email) actually works for pilot. Twilio integration adds regulatory complexity (10DLC registration, HIPAA BAA, opt-in consent). Recommendation: keep clipboard-copy for pilot, build Twilio as a Phase 2 item.</w:t>
      </w:r>
    </w:p>
    <w:p>
      <w:pPr>
        <w:pStyle w:val="ListParagraph"/>
        <w:numPr>
          <w:ilvl w:val="0"/>
          <w:numId w:val="2"/>
        </w:numPr>
        <w:spacing w:after="80"/>
      </w:pPr>
      <w:r>
        <w:rPr>
          <w:b/>
          <w:bCs/>
        </w:rPr>
        <w:t xml:space="preserve">Token expiration. </w:t>
      </w:r>
      <w:r>
        <w:t xml:space="preserve">Section 8 says 72 hours. This is too short for the conservative care workflow. Patient may need to return to the portal over weeks (education steps, injection logging). Use rolling expiration: 72 hours of inactivity, not 72 hours from creation. Or issue a persistent token that’s valid for the episode duration.</w:t>
      </w:r>
    </w:p>
    <w:p>
      <w:pPr>
        <w:pStyle w:val="Heading2"/>
      </w:pPr>
      <w:r>
        <w:t xml:space="preserve">Section 2: Patient Portal Entry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STRONG</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Identity verification (DOB + last 4 phone digits) is minimal-friction and appropriate. Baseline intake captures the right instruments.</w:t>
            </w:r>
          </w:p>
        </w:tc>
      </w:tr>
    </w:tbl>
    <w:p>
      <w:pPr>
        <w:spacing w:after="200"/>
      </w:pPr>
    </w:p>
    <w:p>
      <w:pPr>
        <w:spacing w:after="160"/>
      </w:pPr>
      <w:r>
        <w:rPr>
          <w:b/>
          <w:bCs/>
        </w:rPr>
        <w:t xml:space="preserve">Issues:</w:t>
      </w:r>
    </w:p>
    <w:p>
      <w:pPr>
        <w:pStyle w:val="ListParagraph"/>
        <w:numPr>
          <w:ilvl w:val="0"/>
          <w:numId w:val="2"/>
        </w:numPr>
        <w:spacing w:after="80"/>
      </w:pPr>
      <w:r>
        <w:rPr>
          <w:b/>
          <w:bCs/>
        </w:rPr>
        <w:t xml:space="preserve">Missing instruments. </w:t>
      </w:r>
      <w:r>
        <w:t xml:space="preserve">The spec captures KOOS Jr, HOOS Jr, PHQ-2, and comorbidities. But SRO’s existing intake (preop.html) also captures PROMIS-10 (physical/mental health T-scores), GAD-2 (anxiety), STOP-BANG (sleep apnea), height/weight/BMI, home situation, nutrition, and GLP-1 medication use. The portal spec drops all of these. This is a significant regression from what’s already built.</w:t>
      </w:r>
    </w:p>
    <w:p>
      <w:pPr>
        <w:pStyle w:val="ListParagraph"/>
        <w:numPr>
          <w:ilvl w:val="0"/>
          <w:numId w:val="2"/>
        </w:numPr>
        <w:spacing w:after="80"/>
      </w:pPr>
      <w:r>
        <w:rPr>
          <w:b/>
          <w:bCs/>
        </w:rPr>
        <w:t xml:space="preserve">Comorbidity list is too short. </w:t>
      </w:r>
      <w:r>
        <w:t xml:space="preserve">The spec lists 7 comorbidities. SRO already has 19 structured comorbidities with ICD-10/HCC codes, point weights, and auto-populated workup requirements. The portal needs to capture the full set—otherwise the Decision Tool, workup generation, prehab planning, and precert letter all produce incomplete results.</w:t>
      </w:r>
    </w:p>
    <w:p>
      <w:pPr>
        <w:pStyle w:val="ListParagraph"/>
        <w:numPr>
          <w:ilvl w:val="0"/>
          <w:numId w:val="2"/>
        </w:numPr>
        <w:spacing w:after="80"/>
      </w:pPr>
      <w:r>
        <w:rPr>
          <w:b/>
          <w:bCs/>
        </w:rPr>
        <w:t xml:space="preserve">“No free text” is mostly right but too absolute. </w:t>
      </w:r>
      <w:r>
        <w:t xml:space="preserve">SRO has an “Other Medical Problems” free text field for conditions not in the structured list. This catches the edge cases (rare conditions, prior surgical complications) that no checkbox list covers. Keep it as an optional final field.</w:t>
      </w:r>
    </w:p>
    <w:p>
      <w:pPr>
        <w:pStyle w:val="ListParagraph"/>
        <w:numPr>
          <w:ilvl w:val="0"/>
          <w:numId w:val="2"/>
        </w:numPr>
        <w:spacing w:after="80"/>
      </w:pPr>
      <w:r>
        <w:rPr>
          <w:b/>
          <w:bCs/>
        </w:rPr>
        <w:t xml:space="preserve">New tables vs. existing tables. </w:t>
      </w:r>
      <w:r>
        <w:t xml:space="preserve">The spec references risk_variables, conservative_care, prom_responses, and compliance_log as target tables. SRO’s existing schema uses preop_assessments, pro_assessments, and checkins. The spec should write to the existing tables, not create new ones. No shadow structures—that’s the spec’s own rule.</w:t>
      </w:r>
    </w:p>
    <w:p>
      <w:pPr>
        <w:pStyle w:val="Heading2"/>
      </w:pPr>
      <w:r>
        <w:t xml:space="preserve">Section 3: Conservative Care Education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EXCELLENT</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This is the spec’s strongest idea and SRO’s biggest gap. Patient-reported conservative care history, captured as structured data, auto-feeding precertification. This is genuinely differentiated.</w:t>
            </w:r>
          </w:p>
        </w:tc>
      </w:tr>
    </w:tbl>
    <w:p>
      <w:pPr>
        <w:spacing w:after="200"/>
      </w:pPr>
    </w:p>
    <w:p>
      <w:pPr>
        <w:spacing w:after="160"/>
      </w:pPr>
      <w:r>
        <w:t xml:space="preserve">The guided education + structured capture model is exactly right. A patient clicking through “Did you try PT? How long? Did it help?” is vastly better than a nurse typing notes from a phone call. The data goes straight into a format that generates a precert letter.</w:t>
      </w:r>
    </w:p>
    <w:p>
      <w:pPr>
        <w:spacing w:after="160"/>
      </w:pPr>
      <w:r>
        <w:rPr>
          <w:b/>
          <w:bCs/>
        </w:rPr>
        <w:t xml:space="preserve">What to add:</w:t>
      </w:r>
    </w:p>
    <w:p>
      <w:pPr>
        <w:pStyle w:val="ListParagraph"/>
        <w:numPr>
          <w:ilvl w:val="0"/>
          <w:numId w:val="2"/>
        </w:numPr>
        <w:spacing w:after="80"/>
      </w:pPr>
      <w:r>
        <w:rPr>
          <w:b/>
          <w:bCs/>
        </w:rPr>
        <w:t xml:space="preserve">Activity modification. </w:t>
      </w:r>
      <w:r>
        <w:t xml:space="preserve">AAOS guidelines include activity modification as conservative care. Add: “Have you had to give up or limit activities due to your joint? Which ones?”</w:t>
      </w:r>
    </w:p>
    <w:p>
      <w:pPr>
        <w:pStyle w:val="ListParagraph"/>
        <w:numPr>
          <w:ilvl w:val="0"/>
          <w:numId w:val="2"/>
        </w:numPr>
        <w:spacing w:after="80"/>
      </w:pPr>
      <w:r>
        <w:rPr>
          <w:b/>
          <w:bCs/>
        </w:rPr>
        <w:t xml:space="preserve">Duration of symptoms. </w:t>
      </w:r>
      <w:r>
        <w:t xml:space="preserve">Payers want to know how long the patient has had symptoms. Add: “How long have you been having problems with this joint?” with ranges (&lt; 3 months, 3–6 months, 6–12 months, &gt; 1 year).</w:t>
      </w:r>
    </w:p>
    <w:p>
      <w:pPr>
        <w:pStyle w:val="ListParagraph"/>
        <w:numPr>
          <w:ilvl w:val="0"/>
          <w:numId w:val="2"/>
        </w:numPr>
        <w:spacing w:after="80"/>
      </w:pPr>
      <w:r>
        <w:rPr>
          <w:b/>
          <w:bCs/>
        </w:rPr>
        <w:t xml:space="preserve">Steroid injection hard stop. </w:t>
      </w:r>
      <w:r>
        <w:t xml:space="preserve">SRO’s Surg Prep already flags if steroid injection was &lt; 90 days before surgery (contraindicated). The portal needs the injection date to feed this logic.</w:t>
      </w:r>
    </w:p>
    <w:p>
      <w:pPr>
        <w:pStyle w:val="ListParagraph"/>
        <w:numPr>
          <w:ilvl w:val="0"/>
          <w:numId w:val="2"/>
        </w:numPr>
        <w:spacing w:after="80"/>
      </w:pPr>
      <w:r>
        <w:rPr>
          <w:b/>
          <w:bCs/>
        </w:rPr>
        <w:t xml:space="preserve">Non-op plan for non-surgical patients. </w:t>
      </w:r>
      <w:r>
        <w:t xml:space="preserve">If the surgeon decides non-op at the second visit, the portal should re-open with a structured non-op treatment plan (AAOS guidelines). The patient documents adherence over time. This creates a longitudinal record that strengthens the eventual surgical case.</w:t>
      </w:r>
    </w:p>
    <w:p>
      <w:pPr>
        <w:pStyle w:val="Heading2"/>
      </w:pPr>
      <w:r>
        <w:t xml:space="preserve">Section 4: Conservative Completion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Simple, correct. The completion flag should also log the timestamp for audit purposes.</w:t>
            </w:r>
          </w:p>
        </w:tc>
      </w:tr>
    </w:tbl>
    <w:p>
      <w:pPr>
        <w:spacing w:after="200"/>
      </w:pPr>
    </w:p>
    <w:p>
      <w:pPr>
        <w:pStyle w:val="Heading2"/>
      </w:pPr>
      <w:r>
        <w:t xml:space="preserve">Section 5: Precert Auto-Documentation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STRONG</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The generatePrecertSummary() concept is right. SRO’s Surg Prep Tab 4 (Precertification) already auto-generates a letter of medical necessity. This should feed into that same pipeline, not create a parallel one.</w:t>
            </w:r>
          </w:p>
        </w:tc>
      </w:tr>
    </w:tbl>
    <w:p>
      <w:pPr>
        <w:spacing w:after="200"/>
      </w:pPr>
    </w:p>
    <w:p>
      <w:pPr>
        <w:spacing w:after="160"/>
      </w:pPr>
      <w:r>
        <w:rPr>
          <w:b/>
          <w:bCs/>
        </w:rPr>
        <w:t xml:space="preserve">Enhancement: </w:t>
      </w:r>
      <w:r>
        <w:t xml:space="preserve">The precert letter should also pull x-ray findings, PROM scores, comorbidity profile, and surgeon justification from SRO’s existing data. The conservative care history is one piece of the precert package, not the whole thing.</w:t>
      </w:r>
    </w:p>
    <w:p>
      <w:pPr>
        <w:pStyle w:val="Heading2"/>
      </w:pPr>
      <w:r>
        <w:t xml:space="preserve">Section 6: Second Visit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8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Conceptually sound but underspecified. The “surgeon decision” branching (non-op/injection/surgical) already exists in SRO’s Decision Tool. The spec should reference that rather than rebuilding it.</w:t>
            </w:r>
          </w:p>
        </w:tc>
      </w:tr>
    </w:tbl>
    <w:p>
      <w:pPr>
        <w:spacing w:after="200"/>
      </w:pPr>
    </w:p>
    <w:p>
      <w:pPr>
        <w:pStyle w:val="ListParagraph"/>
        <w:numPr>
          <w:ilvl w:val="0"/>
          <w:numId w:val="2"/>
        </w:numPr>
        <w:spacing w:after="80"/>
      </w:pPr>
      <w:r>
        <w:rPr>
          <w:b/>
          <w:bCs/>
        </w:rPr>
        <w:t xml:space="preserve">Injection logging. </w:t>
      </w:r>
      <w:r>
        <w:t xml:space="preserve">If surgeon gives an injection at the visit, the system needs: injection type (steroid, HA, PRP), date, and joint. This feeds the hard-stop logic and the conservative care record.</w:t>
      </w:r>
    </w:p>
    <w:p>
      <w:pPr>
        <w:pStyle w:val="ListParagraph"/>
        <w:numPr>
          <w:ilvl w:val="0"/>
          <w:numId w:val="2"/>
        </w:numPr>
        <w:spacing w:after="80"/>
      </w:pPr>
      <w:r>
        <w:rPr>
          <w:b/>
          <w:bCs/>
        </w:rPr>
        <w:t xml:space="preserve">Non-op pathway. </w:t>
      </w:r>
      <w:r>
        <w:t xml:space="preserve">If non-op, the portal should re-engage the patient with structured tracking: are you doing PT? How’s the pain? Weight management adherence? This creates the longitudinal conservative care record that eventually justifies surgery.</w:t>
      </w:r>
    </w:p>
    <w:p>
      <w:pPr>
        <w:pStyle w:val="Heading2"/>
      </w:pPr>
      <w:r>
        <w:t xml:space="preserve">Section 7: UX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COMPLETE</w:t>
            </w:r>
          </w:p>
        </w:tc>
        <w:tc>
          <w:tcPr>
            <w:tcW w:type="dxa" w:w="8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Every item here is already implemented in SRO’s checkin.html and preop.html. Linear progression, large tap targets, iPhone optimized, no scrolling fatigue, progress bar, TTS/voice. The portal would reuse these proven UX patterns.</w:t>
            </w:r>
          </w:p>
        </w:tc>
      </w:tr>
    </w:tbl>
    <w:p>
      <w:pPr>
        <w:spacing w:after="200"/>
      </w:pPr>
    </w:p>
    <w:p>
      <w:pPr>
        <w:spacing w:after="160"/>
      </w:pPr>
      <w:r>
        <w:rPr>
          <w:b/>
          <w:bCs/>
        </w:rPr>
        <w:t xml:space="preserve">Add: </w:t>
      </w:r>
      <w:r>
        <w:t xml:space="preserve">Save state between sessions is critical and not trivial. If a patient completes 3 of 6 conservative care modules and closes their phone, they need to resume at module 4 next time. This requires server-side state tracking per token, which sro-cloud-relay currently doesn’t do (it’s fire-and-forget). Need to add a portal_progress table or use the episode record.</w:t>
      </w:r>
    </w:p>
    <w:p>
      <w:pPr>
        <w:pStyle w:val="Heading2"/>
      </w:pPr>
      <w:r>
        <w:t xml:space="preserve">Section 8: Data Integrity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IMPORTANT</w:t>
            </w:r>
          </w:p>
        </w:tc>
        <w:tc>
          <w:tcPr>
            <w:tcW w:type="dxa" w:w="8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Rule #3 (audit log each submission) is critical—this is the HIPAA audit_logs table that’s flagged as a gap. Build it here. Rule #5 (token expiration) needs the rolling expiration fix mentioned above.</w:t>
            </w:r>
          </w:p>
        </w:tc>
      </w:tr>
    </w:tbl>
    <w:p>
      <w:pPr>
        <w:spacing w:after="200"/>
      </w:pPr>
    </w:p>
    <w:p>
      <w:r>
        <w:br w:type="page"/>
      </w:r>
    </w:p>
    <w:p>
      <w:pPr>
        <w:pStyle w:val="Heading1"/>
      </w:pPr>
      <w:r>
        <w:t xml:space="preserve">Part 4: What the Spec Gets Right, Wrong, and Misses</w:t>
      </w:r>
    </w:p>
    <w:p>
      <w:pPr>
        <w:pStyle w:val="Heading2"/>
      </w:pPr>
      <w:r>
        <w:t xml:space="preserve">What It Gets Right</w:t>
      </w:r>
    </w:p>
    <w:p>
      <w:pPr>
        <w:pStyle w:val="ListParagraph"/>
        <w:numPr>
          <w:ilvl w:val="0"/>
          <w:numId w:val="2"/>
        </w:numPr>
        <w:spacing w:after="80"/>
      </w:pPr>
      <w:r>
        <w:rPr>
          <w:b/>
          <w:bCs/>
        </w:rPr>
        <w:t xml:space="preserve">Philosophy: </w:t>
      </w:r>
      <w:r>
        <w:t xml:space="preserve">Patient as data source, not nurse. This is the only way to scale.</w:t>
      </w:r>
    </w:p>
    <w:p>
      <w:pPr>
        <w:pStyle w:val="ListParagraph"/>
        <w:numPr>
          <w:ilvl w:val="0"/>
          <w:numId w:val="2"/>
        </w:numPr>
        <w:spacing w:after="80"/>
      </w:pPr>
      <w:r>
        <w:rPr>
          <w:b/>
          <w:bCs/>
        </w:rPr>
        <w:t xml:space="preserve">Conservative care capture: </w:t>
      </w:r>
      <w:r>
        <w:t xml:space="preserve">Genuinely differentiated feature. No competing system does this as structured data.</w:t>
      </w:r>
    </w:p>
    <w:p>
      <w:pPr>
        <w:pStyle w:val="ListParagraph"/>
        <w:numPr>
          <w:ilvl w:val="0"/>
          <w:numId w:val="2"/>
        </w:numPr>
        <w:spacing w:after="80"/>
      </w:pPr>
      <w:r>
        <w:rPr>
          <w:b/>
          <w:bCs/>
        </w:rPr>
        <w:t xml:space="preserve">Precert auto-generation: </w:t>
      </w:r>
      <w:r>
        <w:t xml:space="preserve">Direct revenue impact. Insurance denials cost practices $25–$50 per re-submission.</w:t>
      </w:r>
    </w:p>
    <w:p>
      <w:pPr>
        <w:pStyle w:val="ListParagraph"/>
        <w:numPr>
          <w:ilvl w:val="0"/>
          <w:numId w:val="2"/>
        </w:numPr>
        <w:spacing w:after="80"/>
      </w:pPr>
      <w:r>
        <w:rPr>
          <w:b/>
          <w:bCs/>
        </w:rPr>
        <w:t xml:space="preserve">No shadow structures: </w:t>
      </w:r>
      <w:r>
        <w:t xml:space="preserve">Correct principle. Write to existing SRO tables.</w:t>
      </w:r>
    </w:p>
    <w:p>
      <w:pPr>
        <w:pStyle w:val="ListParagraph"/>
        <w:numPr>
          <w:ilvl w:val="0"/>
          <w:numId w:val="2"/>
        </w:numPr>
        <w:spacing w:after="80"/>
      </w:pPr>
      <w:r>
        <w:rPr>
          <w:b/>
          <w:bCs/>
        </w:rPr>
        <w:t xml:space="preserve">Structured only, no narrative: </w:t>
      </w:r>
      <w:r>
        <w:t xml:space="preserve">Right for 90% of cases. Patients don’t write useful narratives.</w:t>
      </w:r>
    </w:p>
    <w:p>
      <w:pPr>
        <w:pStyle w:val="Heading2"/>
      </w:pPr>
      <w:r>
        <w:t xml:space="preserve">What It Gets Wrong</w:t>
      </w:r>
    </w:p>
    <w:p>
      <w:pPr>
        <w:pStyle w:val="ListParagraph"/>
        <w:numPr>
          <w:ilvl w:val="0"/>
          <w:numId w:val="2"/>
        </w:numPr>
        <w:spacing w:after="80"/>
      </w:pPr>
      <w:r>
        <w:rPr>
          <w:b/>
          <w:bCs/>
        </w:rPr>
        <w:t xml:space="preserve">Assumes portal = hospital portal. </w:t>
      </w:r>
      <w:r>
        <w:t xml:space="preserve">As analyzed above, SRO cannot embed inside MyChart/Meditech. The portal is SRO’s own web interface, accessed via a link. The hospital portal relationship is a link-out + FHIR data exchange.</w:t>
      </w:r>
    </w:p>
    <w:p>
      <w:pPr>
        <w:pStyle w:val="ListParagraph"/>
        <w:numPr>
          <w:ilvl w:val="0"/>
          <w:numId w:val="2"/>
        </w:numPr>
        <w:spacing w:after="80"/>
      </w:pPr>
      <w:r>
        <w:rPr>
          <w:b/>
          <w:bCs/>
        </w:rPr>
        <w:t xml:space="preserve">Drops existing instruments. </w:t>
      </w:r>
      <w:r>
        <w:t xml:space="preserve">PROMIS-10, GAD-2, STOP-BANG, nutrition, GLP-1, home situation are all missing. These are already built and validated in SRO.</w:t>
      </w:r>
    </w:p>
    <w:p>
      <w:pPr>
        <w:pStyle w:val="ListParagraph"/>
        <w:numPr>
          <w:ilvl w:val="0"/>
          <w:numId w:val="2"/>
        </w:numPr>
        <w:spacing w:after="80"/>
      </w:pPr>
      <w:r>
        <w:rPr>
          <w:b/>
          <w:bCs/>
        </w:rPr>
        <w:t xml:space="preserve">Shrinks the comorbidity list. </w:t>
      </w:r>
      <w:r>
        <w:t xml:space="preserve">7 items vs. the 19 already in SRO with full HCC coding and workup logic.</w:t>
      </w:r>
    </w:p>
    <w:p>
      <w:pPr>
        <w:pStyle w:val="ListParagraph"/>
        <w:numPr>
          <w:ilvl w:val="0"/>
          <w:numId w:val="2"/>
        </w:numPr>
        <w:spacing w:after="80"/>
      </w:pPr>
      <w:r>
        <w:rPr>
          <w:b/>
          <w:bCs/>
        </w:rPr>
        <w:t xml:space="preserve">Creates new tables unnecessarily. </w:t>
      </w:r>
      <w:r>
        <w:t xml:space="preserve">risk_variables and prom_responses don’t exist in SRO. preop_assessments and pro_assessments do. Use them.</w:t>
      </w:r>
    </w:p>
    <w:p>
      <w:pPr>
        <w:pStyle w:val="ListParagraph"/>
        <w:numPr>
          <w:ilvl w:val="0"/>
          <w:numId w:val="2"/>
        </w:numPr>
        <w:spacing w:after="80"/>
      </w:pPr>
      <w:r>
        <w:rPr>
          <w:b/>
          <w:bCs/>
        </w:rPr>
        <w:t xml:space="preserve">Token expiration is too aggressive. </w:t>
      </w:r>
      <w:r>
        <w:t xml:space="preserve">72 hours doesn’t work for a multi-week conservative care workflow.</w:t>
      </w:r>
    </w:p>
    <w:p>
      <w:pPr>
        <w:pStyle w:val="Heading2"/>
      </w:pPr>
      <w:r>
        <w:t xml:space="preserve">What It Misses</w:t>
      </w:r>
    </w:p>
    <w:p>
      <w:pPr>
        <w:pStyle w:val="ListParagraph"/>
        <w:numPr>
          <w:ilvl w:val="0"/>
          <w:numId w:val="2"/>
        </w:numPr>
        <w:spacing w:after="80"/>
      </w:pPr>
      <w:r>
        <w:rPr>
          <w:b/>
          <w:bCs/>
        </w:rPr>
        <w:t xml:space="preserve">Kiosk mode for in-office. </w:t>
      </w:r>
      <w:r>
        <w:t xml:space="preserve">Not every patient will complete the portal at home. Orthopedic patients skew older—many will need a tablet in the waiting room. The spec doesn’t address this.</w:t>
      </w:r>
    </w:p>
    <w:p>
      <w:pPr>
        <w:pStyle w:val="ListParagraph"/>
        <w:numPr>
          <w:ilvl w:val="0"/>
          <w:numId w:val="2"/>
        </w:numPr>
        <w:spacing w:after="80"/>
      </w:pPr>
      <w:r>
        <w:rPr>
          <w:b/>
          <w:bCs/>
        </w:rPr>
        <w:t xml:space="preserve">Post-op data collection. </w:t>
      </w:r>
      <w:r>
        <w:t xml:space="preserve">The spec only covers pre-op. SRO’s check-in flow (pain, ROM, PT, warning signs) is the post-op equivalent. The portal and the check-in need to be unified—same UX, same token, same patient experience.</w:t>
      </w:r>
    </w:p>
    <w:p>
      <w:pPr>
        <w:pStyle w:val="ListParagraph"/>
        <w:numPr>
          <w:ilvl w:val="0"/>
          <w:numId w:val="2"/>
        </w:numPr>
        <w:spacing w:after="80"/>
      </w:pPr>
      <w:r>
        <w:rPr>
          <w:b/>
          <w:bCs/>
        </w:rPr>
        <w:t xml:space="preserve">PROM follow-up scheduling. </w:t>
      </w:r>
      <w:r>
        <w:t xml:space="preserve">CMS requires PROMs at specific windows (pre-op, 6 weeks, 3 months, 1 year). The portal needs to re-engage the patient at each window, not just at baseline.</w:t>
      </w:r>
    </w:p>
    <w:p>
      <w:pPr>
        <w:pStyle w:val="ListParagraph"/>
        <w:numPr>
          <w:ilvl w:val="0"/>
          <w:numId w:val="2"/>
        </w:numPr>
        <w:spacing w:after="80"/>
      </w:pPr>
      <w:r>
        <w:rPr>
          <w:b/>
          <w:bCs/>
        </w:rPr>
        <w:t xml:space="preserve">Photo/document capture. </w:t>
      </w:r>
      <w:r>
        <w:t xml:space="preserve">From the data input efficiency research: patients could photo-capture their insurance card, medication bottles, or outside records directly through the portal. Vision AI extracts structured data.</w:t>
      </w:r>
    </w:p>
    <w:p>
      <w:pPr>
        <w:pStyle w:val="ListParagraph"/>
        <w:numPr>
          <w:ilvl w:val="0"/>
          <w:numId w:val="2"/>
        </w:numPr>
        <w:spacing w:after="80"/>
      </w:pPr>
      <w:r>
        <w:rPr>
          <w:b/>
          <w:bCs/>
        </w:rPr>
        <w:t xml:space="preserve">Offline/save state. </w:t>
      </w:r>
      <w:r>
        <w:t xml:space="preserve">Patient starts at home, loses connectivity, continues later. Needs local state persistence.</w:t>
      </w:r>
    </w:p>
    <w:p>
      <w:r>
        <w:br w:type="page"/>
      </w:r>
    </w:p>
    <w:p>
      <w:pPr>
        <w:pStyle w:val="Heading1"/>
      </w:pPr>
      <w:r>
        <w:t xml:space="preserve">Part 5: The Hybrid Design — Portal + Kiosk + AI Capture</w:t>
      </w:r>
    </w:p>
    <w:p>
      <w:pPr>
        <w:spacing w:after="160"/>
      </w:pPr>
      <w:r>
        <w:t xml:space="preserve">This is your Question #3, and it’s the right question. The answer is yes—you need a hybrid. Here’s the design.</w:t>
      </w:r>
    </w:p>
    <w:p>
      <w:pPr>
        <w:pStyle w:val="Heading2"/>
      </w:pPr>
      <w:r>
        <w:t xml:space="preserve">The Core Principle: One Patient Interface, Three Access Points</w:t>
      </w:r>
    </w:p>
    <w:p>
      <w:pPr>
        <w:spacing w:after="160"/>
      </w:pPr>
      <w:r>
        <w:rPr>
          <w:b w:val="false"/>
          <w:bCs w:val="false"/>
        </w:rPr>
        <w:t xml:space="preserve">SRO builds </w:t>
      </w:r>
      <w:r>
        <w:rPr>
          <w:b/>
          <w:bCs/>
        </w:rPr>
        <w:t xml:space="preserve">one patient-facing web application</w:t>
      </w:r>
      <w:r>
        <w:t xml:space="preserve"> that adapts its behavior based on how it’s accessed. Not three separate apps. One codebase, one URL pattern,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Point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 Differences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clicks link from SMS/email/MyChart. Opens on their phone or computer.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home, before or after visit. Self-paced over hours/days.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save-state. Session resume. Longer education content. Reminders if abandoned.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KIOSK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 or tablet in waiting room. Staff taps patient name, hands tablet to patient.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clinic, 10–15 min before appointment. Time-pressured.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Abbreviated flow. Skip education sections. Focus on PROMs + comorbidities. Staff can assist.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STAFF-ASSIST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Nurse/MA opens portal on their workstation for a patient who can’t self-serve.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clinic, staff reads questions aloud and enters answers.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form fields, but optimized for keyboard/mouse. Faster input shortcuts. Skip TTS/accessibility UI.</w:t>
            </w:r>
          </w:p>
        </w:tc>
      </w:tr>
    </w:tbl>
    <w:p>
      <w:pPr>
        <w:spacing w:after="200"/>
      </w:pPr>
    </w:p>
    <w:p>
      <w:pPr>
        <w:spacing w:after="160"/>
      </w:pPr>
      <w:r>
        <w:rPr>
          <w:b/>
          <w:bCs/>
        </w:rPr>
        <w:t xml:space="preserve">One URL, one token, one database write. </w:t>
      </w:r>
      <w:r>
        <w:t xml:space="preserve">The ?mode=home|kiosk|staff parameter controls UI behavior, but the underlying data model is identical.</w:t>
      </w:r>
    </w:p>
    <w:p>
      <w:pPr>
        <w:pStyle w:val="Heading2"/>
      </w:pPr>
      <w:r>
        <w:t xml:space="preserve">The Patient Journey — How the Hybrid Works</w:t>
      </w:r>
    </w:p>
    <w:p>
      <w:pPr>
        <w:pStyle w:val="Heading3"/>
      </w:pPr>
      <w:r>
        <w:t xml:space="preserve">Episode Starts: First Contact</w:t>
      </w:r>
    </w:p>
    <w:p>
      <w:pPr>
        <w:spacing w:after="160"/>
      </w:pPr>
      <w:r>
        <w:t xml:space="preserve">Staff creates patient in SRO. System generates token and link. Staff sends link via text/email, or opens it on a kiosk tablet if the patient is in the office.</w:t>
      </w:r>
    </w:p>
    <w:p>
      <w:pPr>
        <w:pStyle w:val="Heading3"/>
      </w:pPr>
      <w:r>
        <w:t xml:space="preserve">Pre-Visit (Home Mode)</w:t>
      </w:r>
    </w:p>
    <w:p>
      <w:pPr>
        <w:spacing w:after="160"/>
      </w:pPr>
      <w:r>
        <w:t xml:space="preserve">Patient opens link at home on their phone. Verifies identity (DOB + last 4 phone). Enters the full intake flow:</w:t>
      </w:r>
    </w:p>
    <w:p>
      <w:pPr>
        <w:pStyle w:val="ListParagraph"/>
        <w:numPr>
          <w:ilvl w:val="0"/>
          <w:numId w:val="2"/>
        </w:numPr>
        <w:spacing w:after="80"/>
      </w:pPr>
      <w:r>
        <w:rPr>
          <w:b/>
          <w:bCs/>
        </w:rPr>
        <w:t xml:space="preserve">Demographics + insurance </w:t>
      </w:r>
      <w:r>
        <w:t xml:space="preserve">(if not pre-filled from FHIR or prior visit)</w:t>
      </w:r>
    </w:p>
    <w:p>
      <w:pPr>
        <w:pStyle w:val="ListParagraph"/>
        <w:numPr>
          <w:ilvl w:val="0"/>
          <w:numId w:val="2"/>
        </w:numPr>
        <w:spacing w:after="80"/>
      </w:pPr>
      <w:r>
        <w:rPr>
          <w:b/>
          <w:bCs/>
        </w:rPr>
        <w:t xml:space="preserve">Photo capture: insurance card </w:t>
      </w:r>
      <w:r>
        <w:t xml:space="preserve">(camera opens, snaps front/back, AI extracts carrier/plan/policy—from the efficiency research, Tier 2A)</w:t>
      </w:r>
    </w:p>
    <w:p>
      <w:pPr>
        <w:pStyle w:val="ListParagraph"/>
        <w:numPr>
          <w:ilvl w:val="0"/>
          <w:numId w:val="2"/>
        </w:numPr>
        <w:spacing w:after="80"/>
      </w:pPr>
      <w:r>
        <w:rPr>
          <w:b/>
          <w:bCs/>
        </w:rPr>
        <w:t xml:space="preserve">PROM baseline: </w:t>
      </w:r>
      <w:r>
        <w:t xml:space="preserve">KOOS Jr or HOOS Jr, PROMIS-10</w:t>
      </w:r>
    </w:p>
    <w:p>
      <w:pPr>
        <w:pStyle w:val="ListParagraph"/>
        <w:numPr>
          <w:ilvl w:val="0"/>
          <w:numId w:val="2"/>
        </w:numPr>
        <w:spacing w:after="80"/>
      </w:pPr>
      <w:r>
        <w:rPr>
          <w:b/>
          <w:bCs/>
        </w:rPr>
        <w:t xml:space="preserve">Mental health: </w:t>
      </w:r>
      <w:r>
        <w:t xml:space="preserve">PHQ-2, GAD-2</w:t>
      </w:r>
    </w:p>
    <w:p>
      <w:pPr>
        <w:pStyle w:val="ListParagraph"/>
        <w:numPr>
          <w:ilvl w:val="0"/>
          <w:numId w:val="2"/>
        </w:numPr>
        <w:spacing w:after="80"/>
      </w:pPr>
      <w:r>
        <w:rPr>
          <w:b/>
          <w:bCs/>
        </w:rPr>
        <w:t xml:space="preserve">Sleep: </w:t>
      </w:r>
      <w:r>
        <w:t xml:space="preserve">STOP-BANG</w:t>
      </w:r>
    </w:p>
    <w:p>
      <w:pPr>
        <w:pStyle w:val="ListParagraph"/>
        <w:numPr>
          <w:ilvl w:val="0"/>
          <w:numId w:val="2"/>
        </w:numPr>
        <w:spacing w:after="80"/>
      </w:pPr>
      <w:r>
        <w:rPr>
          <w:b/>
          <w:bCs/>
        </w:rPr>
        <w:t xml:space="preserve">Comorbidities: </w:t>
      </w:r>
      <w:r>
        <w:t xml:space="preserve">Full 19-item structured checklist with auto-branching</w:t>
      </w:r>
    </w:p>
    <w:p>
      <w:pPr>
        <w:pStyle w:val="ListParagraph"/>
        <w:numPr>
          <w:ilvl w:val="0"/>
          <w:numId w:val="2"/>
        </w:numPr>
        <w:spacing w:after="80"/>
      </w:pPr>
      <w:r>
        <w:rPr>
          <w:b/>
          <w:bCs/>
        </w:rPr>
        <w:t xml:space="preserve">Nutrition: </w:t>
      </w:r>
      <w:r>
        <w:t xml:space="preserve">Height, weight, BMI auto-calc, GLP-1 use</w:t>
      </w:r>
    </w:p>
    <w:p>
      <w:pPr>
        <w:pStyle w:val="ListParagraph"/>
        <w:numPr>
          <w:ilvl w:val="0"/>
          <w:numId w:val="2"/>
        </w:numPr>
        <w:spacing w:after="80"/>
      </w:pPr>
      <w:r>
        <w:rPr>
          <w:b/>
          <w:bCs/>
        </w:rPr>
        <w:t xml:space="preserve">Home situation: </w:t>
      </w:r>
      <w:r>
        <w:t xml:space="preserve">Lives alone? Stairs? Caregiver?</w:t>
      </w:r>
    </w:p>
    <w:p>
      <w:pPr>
        <w:pStyle w:val="ListParagraph"/>
        <w:numPr>
          <w:ilvl w:val="0"/>
          <w:numId w:val="2"/>
        </w:numPr>
        <w:spacing w:after="80"/>
      </w:pPr>
      <w:r>
        <w:rPr>
          <w:b/>
          <w:bCs/>
        </w:rPr>
        <w:t xml:space="preserve">Conservative care history: </w:t>
      </w:r>
      <w:r>
        <w:t xml:space="preserve">The spec’s guided wizard (PT, NSAIDs, injections, bracing, weight management, activity modification)</w:t>
      </w:r>
    </w:p>
    <w:p>
      <w:pPr>
        <w:pStyle w:val="ListParagraph"/>
        <w:numPr>
          <w:ilvl w:val="0"/>
          <w:numId w:val="2"/>
        </w:numPr>
        <w:spacing w:after="80"/>
      </w:pPr>
      <w:r>
        <w:rPr>
          <w:b/>
          <w:bCs/>
        </w:rPr>
        <w:t xml:space="preserve">Photo capture: medication bottles </w:t>
      </w:r>
      <w:r>
        <w:t xml:space="preserve">(optional; AI extracts drug names and doses)</w:t>
      </w:r>
    </w:p>
    <w:p>
      <w:pPr>
        <w:spacing w:after="160"/>
      </w:pPr>
      <w:r>
        <w:t xml:space="preserve">Save state works throughout. Patient can close and resume. Progress bar shows completion.</w:t>
      </w:r>
    </w:p>
    <w:p>
      <w:pPr>
        <w:pStyle w:val="Heading3"/>
      </w:pPr>
      <w:r>
        <w:t xml:space="preserve">Arrival (Kiosk Mode or Catch-Up)</w:t>
      </w:r>
    </w:p>
    <w:p>
      <w:pPr>
        <w:spacing w:after="160"/>
      </w:pPr>
      <w:r>
        <w:t xml:space="preserve">Patient arrives for appointment. If they completed the portal at home, the system shows a green “Intake Complete” badge on the dashboard. If they didn’t finish (or never started), the kiosk flow activates:</w:t>
      </w:r>
    </w:p>
    <w:p>
      <w:pPr>
        <w:pStyle w:val="ListParagraph"/>
        <w:numPr>
          <w:ilvl w:val="0"/>
          <w:numId w:val="2"/>
        </w:numPr>
        <w:spacing w:after="80"/>
      </w:pPr>
      <w:r>
        <w:rPr>
          <w:b/>
          <w:bCs/>
        </w:rPr>
        <w:t xml:space="preserve">Staff-initiated: </w:t>
      </w:r>
      <w:r>
        <w:t xml:space="preserve">Staff selects patient on an iPad, hands it to the patient</w:t>
      </w:r>
    </w:p>
    <w:p>
      <w:pPr>
        <w:pStyle w:val="ListParagraph"/>
        <w:numPr>
          <w:ilvl w:val="0"/>
          <w:numId w:val="2"/>
        </w:numPr>
        <w:spacing w:after="80"/>
      </w:pPr>
      <w:r>
        <w:rPr>
          <w:b/>
          <w:bCs/>
        </w:rPr>
        <w:t xml:space="preserve">Abbreviated flow: </w:t>
      </w:r>
      <w:r>
        <w:t xml:space="preserve">Skips education sections (OA explanation, weight management education). Goes straight to PROMs and structured questions.</w:t>
      </w:r>
    </w:p>
    <w:p>
      <w:pPr>
        <w:pStyle w:val="ListParagraph"/>
        <w:numPr>
          <w:ilvl w:val="0"/>
          <w:numId w:val="2"/>
        </w:numPr>
        <w:spacing w:after="80"/>
      </w:pPr>
      <w:r>
        <w:rPr>
          <w:b/>
          <w:bCs/>
        </w:rPr>
        <w:t xml:space="preserve">Completion target: </w:t>
      </w:r>
      <w:r>
        <w:t xml:space="preserve">10–15 minutes in waiting room. Enough for PROMs + comorbidities + conservative care basics.</w:t>
      </w:r>
    </w:p>
    <w:p>
      <w:pPr>
        <w:spacing w:after="160"/>
      </w:pPr>
      <w:r>
        <w:t xml:space="preserve">Published research on orthopedic PROM collection shows SMS reminder plus in-clinic tablet achieves 94% completion rates, vs. 35% with letter reminders alone.</w:t>
      </w:r>
    </w:p>
    <w:p>
      <w:pPr>
        <w:pStyle w:val="Heading3"/>
      </w:pPr>
      <w:r>
        <w:t xml:space="preserve">Surgeon Visit (Cockpit View)</w:t>
      </w:r>
    </w:p>
    <w:p>
      <w:pPr>
        <w:spacing w:after="160"/>
      </w:pPr>
      <w:r>
        <w:t xml:space="preserve">Surgeon opens SRO dashboard. The patient’s data is fully populated from whatever combination of home portal and kiosk the patient used. The cockpit shows:</w:t>
      </w:r>
    </w:p>
    <w:p>
      <w:pPr>
        <w:pStyle w:val="ListParagraph"/>
        <w:numPr>
          <w:ilvl w:val="0"/>
          <w:numId w:val="2"/>
        </w:numPr>
        <w:spacing w:after="80"/>
      </w:pPr>
      <w:r>
        <w:rPr>
          <w:b/>
          <w:bCs/>
        </w:rPr>
        <w:t xml:space="preserve">PROM scores </w:t>
      </w:r>
      <w:r>
        <w:t xml:space="preserve">with instrument labels and timestamps (Session 1 fix)</w:t>
      </w:r>
    </w:p>
    <w:p>
      <w:pPr>
        <w:pStyle w:val="ListParagraph"/>
        <w:numPr>
          <w:ilvl w:val="0"/>
          <w:numId w:val="2"/>
        </w:numPr>
        <w:spacing w:after="80"/>
      </w:pPr>
      <w:r>
        <w:rPr>
          <w:b/>
          <w:bCs/>
        </w:rPr>
        <w:t xml:space="preserve">Depression/anxiety flags </w:t>
      </w:r>
      <w:r>
        <w:t xml:space="preserve">(PHQ-2 ≥ 3, GAD-2 ≥ 3)</w:t>
      </w:r>
    </w:p>
    <w:p>
      <w:pPr>
        <w:pStyle w:val="ListParagraph"/>
        <w:numPr>
          <w:ilvl w:val="0"/>
          <w:numId w:val="2"/>
        </w:numPr>
        <w:spacing w:after="80"/>
      </w:pPr>
      <w:r>
        <w:rPr>
          <w:b/>
          <w:bCs/>
        </w:rPr>
        <w:t xml:space="preserve">Comorbidity badges </w:t>
      </w:r>
      <w:r>
        <w:t xml:space="preserve">with risk tier</w:t>
      </w:r>
    </w:p>
    <w:p>
      <w:pPr>
        <w:pStyle w:val="ListParagraph"/>
        <w:numPr>
          <w:ilvl w:val="0"/>
          <w:numId w:val="2"/>
        </w:numPr>
        <w:spacing w:after="80"/>
      </w:pPr>
      <w:r>
        <w:rPr>
          <w:b/>
          <w:bCs/>
        </w:rPr>
        <w:t xml:space="preserve">Conservative care completion badge </w:t>
      </w:r>
      <w:r>
        <w:t xml:space="preserve">with precert-ready summary</w:t>
      </w:r>
    </w:p>
    <w:p>
      <w:pPr>
        <w:pStyle w:val="ListParagraph"/>
        <w:numPr>
          <w:ilvl w:val="0"/>
          <w:numId w:val="2"/>
        </w:numPr>
        <w:spacing w:after="80"/>
      </w:pPr>
      <w:r>
        <w:rPr>
          <w:b/>
          <w:bCs/>
        </w:rPr>
        <w:t xml:space="preserve">Decision Tool </w:t>
      </w:r>
      <w:r>
        <w:t xml:space="preserve">pre-loaded with scores and comorbidity impact</w:t>
      </w:r>
    </w:p>
    <w:p>
      <w:pPr>
        <w:spacing w:after="160"/>
      </w:pPr>
      <w:r>
        <w:t xml:space="preserve">Surgeon makes a decision: non-op, injection, or surgical candidate. One click transitions the episode.</w:t>
      </w:r>
    </w:p>
    <w:p>
      <w:pPr>
        <w:pStyle w:val="Heading3"/>
      </w:pPr>
      <w:r>
        <w:t xml:space="preserve">Post-Op (Home Mode Again)</w:t>
      </w:r>
    </w:p>
    <w:p>
      <w:pPr>
        <w:spacing w:after="160"/>
      </w:pPr>
      <w:r>
        <w:t xml:space="preserve">Same token, same interface. After surgery, the portal switches to post-op check-in mode (pain, ROM, PT, warning signs, ER visits). This is the existing checkin.html flow—unified with the portal rather than being a separate system. PROM windows trigger automatically at 6 weeks, 3 months, and 1 year via SMS/email links.</w:t>
      </w:r>
    </w:p>
    <w:p>
      <w:r>
        <w:br w:type="page"/>
      </w:r>
    </w:p>
    <w:p>
      <w:pPr>
        <w:pStyle w:val="Heading2"/>
      </w:pPr>
      <w:r>
        <w:t xml:space="preserve">Architecture: How It Fits SRO’s Existing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after="60"/>
            </w:pPr>
            <w:r>
              <w:rPr>
                <w:rFonts w:ascii="Courier New" w:cs="Courier New" w:eastAsia="Courier New" w:hAnsi="Courier New"/>
                <w:b/>
                <w:bCs/>
                <w:sz w:val="20"/>
                <w:szCs w:val="20"/>
              </w:rPr>
              <w:t xml:space="preserve">PATIENT (at home or in clinic)</w:t>
            </w:r>
          </w:p>
          <w:p>
            <w:pPr>
              <w:spacing w:after="60"/>
            </w:pPr>
            <w:r>
              <w:rPr>
                <w:rFonts w:ascii="Courier New" w:cs="Courier New" w:eastAsia="Courier New" w:hAnsi="Courier New"/>
                <w:sz w:val="18"/>
                <w:szCs w:val="18"/>
              </w:rPr>
              <w:t xml:space="preserve">    │  Link from SMS / Email / MyChart / Kiosk</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b/>
                <w:bCs/>
                <w:sz w:val="20"/>
                <w:szCs w:val="20"/>
              </w:rPr>
              <w:t xml:space="preserve">SRO PORTAL (sro-cloud-relay on Render)</w:t>
            </w:r>
          </w:p>
          <w:p>
            <w:pPr>
              <w:spacing w:after="60"/>
            </w:pPr>
            <w:r>
              <w:rPr>
                <w:rFonts w:ascii="Courier New" w:cs="Courier New" w:eastAsia="Courier New" w:hAnsi="Courier New"/>
                <w:sz w:val="18"/>
                <w:szCs w:val="18"/>
              </w:rPr>
              <w:t xml:space="preserve">    portal.html?t=TOKEN&amp;mode=home|kiosk|staff</w:t>
            </w:r>
          </w:p>
          <w:p>
            <w:pPr>
              <w:spacing w:after="60"/>
            </w:pPr>
            <w:r>
              <w:rPr>
                <w:rFonts w:ascii="Courier New" w:cs="Courier New" w:eastAsia="Courier New" w:hAnsi="Courier New"/>
                <w:sz w:val="18"/>
                <w:szCs w:val="18"/>
              </w:rPr>
              <w:t xml:space="preserve">    Token + structured data only (NO PHI)</w:t>
            </w:r>
          </w:p>
          <w:p>
            <w:pPr>
              <w:spacing w:after="60"/>
            </w:pPr>
            <w:r>
              <w:rPr>
                <w:rFonts w:ascii="Courier New" w:cs="Courier New" w:eastAsia="Courier New" w:hAnsi="Courier New"/>
                <w:sz w:val="18"/>
                <w:szCs w:val="18"/>
              </w:rPr>
              <w:t xml:space="preserve">    Saves progress server-side for session resume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  NUC polls every 15 min (existing flow)</w:t>
            </w:r>
          </w:p>
          <w:p>
            <w:pPr>
              <w:spacing w:after="60"/>
            </w:pPr>
            <w:r>
              <w:rPr>
                <w:rFonts w:ascii="Courier New" w:cs="Courier New" w:eastAsia="Courier New" w:hAnsi="Courier New"/>
                <w:b/>
                <w:bCs/>
                <w:sz w:val="20"/>
                <w:szCs w:val="20"/>
              </w:rPr>
              <w:t xml:space="preserve">CLINIC NUC (sro-local)</w:t>
            </w:r>
          </w:p>
          <w:p>
            <w:pPr>
              <w:spacing w:after="60"/>
            </w:pPr>
            <w:r>
              <w:rPr>
                <w:rFonts w:ascii="Courier New" w:cs="Courier New" w:eastAsia="Courier New" w:hAnsi="Courier New"/>
                <w:sz w:val="18"/>
                <w:szCs w:val="18"/>
              </w:rPr>
              <w:t xml:space="preserve">    Token → Patient mapping (PHI stays here)</w:t>
            </w:r>
          </w:p>
          <w:p>
            <w:pPr>
              <w:spacing w:after="60"/>
            </w:pPr>
            <w:r>
              <w:rPr>
                <w:rFonts w:ascii="Courier New" w:cs="Courier New" w:eastAsia="Courier New" w:hAnsi="Courier New"/>
                <w:sz w:val="18"/>
                <w:szCs w:val="18"/>
              </w:rPr>
              <w:t xml:space="preserve">    Writes to: preop_assessments, pro_assessments,</w:t>
            </w:r>
          </w:p>
          <w:p>
            <w:pPr>
              <w:spacing w:after="60"/>
            </w:pPr>
            <w:r>
              <w:rPr>
                <w:rFonts w:ascii="Courier New" w:cs="Courier New" w:eastAsia="Courier New" w:hAnsi="Courier New"/>
                <w:sz w:val="18"/>
                <w:szCs w:val="18"/>
              </w:rPr>
              <w:t xml:space="preserve">    conservative_care (NEW), checkins, episodes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w:t>
            </w:r>
          </w:p>
          <w:p>
            <w:r>
              <w:rPr>
                <w:rFonts w:ascii="Courier New" w:cs="Courier New" w:eastAsia="Courier New" w:hAnsi="Courier New"/>
                <w:b/>
                <w:bCs/>
                <w:sz w:val="20"/>
                <w:szCs w:val="20"/>
              </w:rPr>
              <w:t xml:space="preserve">SURGEON DASHBOARD (cockpit)</w:t>
            </w:r>
          </w:p>
        </w:tc>
      </w:tr>
    </w:tbl>
    <w:p>
      <w:pPr>
        <w:spacing w:after="200"/>
      </w:pPr>
    </w:p>
    <w:p>
      <w:pPr>
        <w:spacing w:after="160"/>
      </w:pPr>
      <w:r>
        <w:rPr>
          <w:b/>
          <w:bCs/>
        </w:rPr>
        <w:t xml:space="preserve">Key point: </w:t>
      </w:r>
      <w:r>
        <w:t xml:space="preserve">This uses the exact same HIPAA architecture SRO already has. Token-based de-identification. Cloud relay stores no PHI. NUC polls and matches. The portal is just an expanded version of what checkin.html already does on sro-cloud-relay. The only new thing is that the cloud relay now needs to temporarily store progress state (which conservative care modules the patient has completed) in addition to the final submission data.</w:t>
      </w:r>
    </w:p>
    <w:p>
      <w:pPr>
        <w:pStyle w:val="Heading2"/>
      </w:pPr>
      <w:r>
        <w:t xml:space="preserve">The conservative_care Table — The One New Table</w:t>
      </w:r>
    </w:p>
    <w:p>
      <w:pPr>
        <w:spacing w:after="160"/>
      </w:pPr>
      <w:r>
        <w:t xml:space="preserve">The spec’s biggest contribution is the conservative care data model. This is genuinely new—SRO doesn’t have it. Here’s the refined version that uses existing SRO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episode_id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episodes 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symptom_duration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&lt;3mo, 3-6mo, 6-12mo, &gt;1yr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nsaid_attempted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Tried NSAIDs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nsaid_type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Ibuprofen, Naproxen, Meloxicam,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nsaid_duration_weeks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nsaid_response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 no_change, worse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pt_attempted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Supervised physical therapy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pt_duration_weeks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pt_home_exercise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exercise program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pt_adherence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moderate, good, excellent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injection_steroid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Corticosteroid injection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injection_steroid_date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 date (feeds hard stop)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injection_steroid_response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temporary, lasting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injection_ha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Hyaluronic acid injection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injection_ha_response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temporary, lasting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injection_prp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PRP injection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bracing_attempted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Brace or assistive device used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weight_loss_attempted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weight loss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weight_loss_duration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weight_loss_amount_lbs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Pounds lost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activity_modification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activities due to joint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activity_modification_details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activities given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completed_at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completion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portal_home, kiosk, staff_entry</w:t>
            </w:r>
          </w:p>
        </w:tc>
      </w:tr>
    </w:tbl>
    <w:p>
      <w:r>
        <w:br w:type="page"/>
      </w:r>
    </w:p>
    <w:p>
      <w:pPr>
        <w:pStyle w:val="Heading1"/>
      </w:pPr>
      <w:r>
        <w:t xml:space="preserve">Part 6: The Hospital IT Buy-In Story</w:t>
      </w:r>
    </w:p>
    <w:p>
      <w:pPr>
        <w:spacing w:after="160"/>
      </w:pPr>
      <w:r>
        <w:t xml:space="preserve">The spec’s instinct—that leveraging the hospital portal aids IT adoption—is correct. Here’s how to frame it accurately:</w:t>
      </w:r>
    </w:p>
    <w:p>
      <w:pPr>
        <w:pStyle w:val="Heading2"/>
      </w:pPr>
      <w:r>
        <w:t xml:space="preserve">What to Say to Hospital IT</w:t>
      </w:r>
    </w:p>
    <w:p>
      <w:pPr>
        <w:spacing w:after="160"/>
      </w:pPr>
      <w:r>
        <w:rPr>
          <w:b/>
          <w:bCs/>
        </w:rPr>
        <w:t xml:space="preserve">“SRO doesn’t replace or compete with your patient portal. </w:t>
      </w:r>
      <w:r>
        <w:t xml:space="preserve">It’s a surgical episode management tool that your portal can link to. Your patients start in their familiar MyChart/Meditech portal and click a link to complete their surgical intake. No custom code runs inside your portal. No data leaves your control without patient consent.”</w:t>
      </w:r>
    </w:p>
    <w:p>
      <w:pPr>
        <w:pStyle w:val="Heading2"/>
      </w:pPr>
      <w:r>
        <w:t xml:space="preserve">The Integration Ladder</w:t>
      </w:r>
    </w:p>
    <w:p>
      <w:pPr>
        <w:spacing w:after="160"/>
      </w:pPr>
      <w:r>
        <w:t xml:space="preserve">Present this as a phased approach. Each rung gives more value and requires more IT cooperation: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560"/>
        <w:gridCol w:w="260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 Effort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link (SMS/email)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IT involvement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today. Staff sends link manually.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in patient portal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adds a link tile to MyChart/Meditech patient dashboard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 starting point for patients. 30 minutes of IT work.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FHIR read (demographics)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registers SRO as a FHIR app, provides client credentials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SRO auto-fills name, DOB, allergies, meds from EHR. No re-entry.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FHIR write-back (PROMs)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approves write access for specific FHIR resources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 scores and episode summaries appear in the EHR chart.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on FHIR launch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registers SRO in App Orchard/Greenfield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Surgeon clicks button in EHR, SRO opens with patient context.</w:t>
            </w:r>
          </w:p>
        </w:tc>
      </w:tr>
    </w:tbl>
    <w:p>
      <w:pPr>
        <w:spacing w:after="200"/>
      </w:pPr>
    </w:p>
    <w:p>
      <w:pPr>
        <w:spacing w:after="160"/>
      </w:pPr>
      <w:r>
        <w:rPr>
          <w:b/>
          <w:bCs/>
        </w:rPr>
        <w:t xml:space="preserve">Start at Level 0 for pilot. Pitch Level 1 as the first “win.” </w:t>
      </w:r>
      <w:r>
        <w:t xml:space="preserve">A link tile in MyChart is trivial for IT but changes the patient’s perception completely—they’re accessing SRO from their trusted healthcare environment.</w:t>
      </w:r>
    </w:p>
    <w:p>
      <w:r>
        <w:br w:type="page"/>
      </w:r>
    </w:p>
    <w:p>
      <w:pPr>
        <w:pStyle w:val="Heading1"/>
      </w:pPr>
      <w:r>
        <w:t xml:space="preserve">Part 7: Recommended Build Order</w:t>
      </w:r>
    </w:p>
    <w:p>
      <w:pPr>
        <w:spacing w:after="160"/>
      </w:pPr>
      <w:r>
        <w:t xml:space="preserve">Integrating the portal spec, the kiosk need, and the data input efficiency research into one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37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conservative_care table + API endpoints in server.js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table. Only truly new schema item. Write it alongside the audit_logs table (HIPAA gap).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portal.html on sro-cloud-relay — unified patient interface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sessions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preop intake + conservative care wizard + post-op checkin into one adaptive flow. Reuse existing UX patterns (one-question-at-a-time, large targets, progress bar).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save/resume on cloud relay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 progress tracking in cloud relay so patients can close and resume. NUC polls completed sections, not just final submissions.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Kiosk mode (?mode=kiosk) — abbreviated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portal.html, shortened. Skip education sections. Staff-initiated from dashboard. iPad-optimized.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generatePrecertSummary() in server.js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 conservative_care + preop_assessments + x-ray findings into precert letter. Feed into existing Surg Prep Tab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integration — completion badges + cockpit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baseline_completed, conservative_completed flags on patient row. Precert badge when auto-generated.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capture: insurance card (Tier 2A from efficiency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API in portal.html → Claude vision API → structured insurance data. Biggest data entry savings.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capture: lab results (Tier 2B)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Nurse or patient photos faxed lab results. AI extracts values. Workup items auto-update.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voice dictation for free-text fields (Tier 1B)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Microphone button on all textarea fields site-wide. Web Speech API. Zero 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portal link tile (Level 1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with hospital IT to add SRO link to MyChart/Meditech portal. No code change in SRO.</w:t>
            </w:r>
          </w:p>
        </w:tc>
      </w:tr>
    </w:tbl>
    <w:p>
      <w:pPr>
        <w:spacing w:after="200"/>
      </w:pPr>
    </w:p>
    <w:p>
      <w:pPr>
        <w:pBdr>
          <w:bottom w:val="single" w:color="2c5aa0" w:sz="6" w:space="1"/>
        </w:pBdr>
        <w:spacing w:after="200" w:before="200"/>
      </w:pPr>
    </w:p>
    <w:p>
      <w:pPr>
        <w:pStyle w:val="Heading1"/>
      </w:pPr>
      <w:r>
        <w:t xml:space="preserve">The Design in One Sentence</w:t>
      </w:r>
    </w:p>
    <w:p>
      <w:pPr>
        <w:spacing w:after="160"/>
        <w:rPr>
          <w:b/>
          <w:bCs/>
          <w:sz w:val="24"/>
          <w:szCs w:val="24"/>
        </w:rPr>
      </w:pPr>
      <w:r>
        <w:t xml:space="preserve">SRO builds one adaptive patient web app on the cloud relay that serves as portal (home), kiosk (office), and check-in (post-op), all writing to the same database through the same de-identified token architecture, with photo and voice AI accelerating every input, and hospital portals providing a trusted entry point via link rather than trying to embed inside them.</w:t>
      </w:r>
    </w:p>
    <w:p>
      <w:pPr>
        <w:spacing w:after="200"/>
      </w:pPr>
    </w:p>
    <w:p>
      <w:pPr>
        <w:spacing w:after="160"/>
      </w:pPr>
      <w:r>
        <w:t xml:space="preserve">The spec’s vision is right. The implementation needs to be SRO’s own portal, not the hospital’s. That’s not a weakness—it’s freedom. SRO controls the UX, the data model, the deployment, and the pace. The hospital portal becomes a doorway, not a cage.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aa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2026-03-03T02:11:47.881Z</dcterms:created>
  <dcterms:modified xsi:type="dcterms:W3CDTF">2026-03-03T02:11:47.882Z</dcterms:modified>
</cp:coreProperties>
</file>

<file path=docProps/custom.xml><?xml version="1.0" encoding="utf-8"?>
<Properties xmlns="http://schemas.openxmlformats.org/officeDocument/2006/custom-properties" xmlns:vt="http://schemas.openxmlformats.org/officeDocument/2006/docPropsVTypes"/>
</file>