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6722" w:rsidRDefault="00536722" w:rsidP="00536722">
      <w:bookmarkStart w:id="0" w:name="_GoBack"/>
      <w:bookmarkEnd w:id="0"/>
      <w:r>
        <w:t>BMI INDICATOR:</w:t>
      </w:r>
    </w:p>
    <w:p w:rsidR="00536722" w:rsidRDefault="00536722" w:rsidP="00536722">
      <w:r>
        <w:t>A BMI greater than 40% at the physician’s office should warrant a dietary consult for weight reduction prior to surgery.  Patients should complete this intervention with compliance to appointments with the dietician and with 5% body weight reduction.  To be initiated and assessed by the surgeons office.</w:t>
      </w:r>
    </w:p>
    <w:p w:rsidR="00536722" w:rsidRDefault="00536722" w:rsidP="00536722">
      <w:r>
        <w:t>Ideally physicians’ offices should do height and weight and not stated heights and weights for the intervention to be accurate and based on factual numbers.</w:t>
      </w:r>
    </w:p>
    <w:p w:rsidR="00646502" w:rsidRDefault="00646502" w:rsidP="00536722">
      <w:proofErr w:type="gramStart"/>
      <w:r>
        <w:t>BMI  over</w:t>
      </w:r>
      <w:proofErr w:type="gramEnd"/>
      <w:r>
        <w:t xml:space="preserve"> 45% the patient will have to reach BMI of 40% or lose 5% of body weight to be considered for replacement.</w:t>
      </w:r>
    </w:p>
    <w:p w:rsidR="00536722" w:rsidRDefault="00536722" w:rsidP="00536722"/>
    <w:p w:rsidR="000E40F3" w:rsidRPr="000E40F3" w:rsidRDefault="00536722" w:rsidP="000E40F3">
      <w:pPr>
        <w:rPr>
          <w:sz w:val="18"/>
          <w:szCs w:val="18"/>
        </w:rPr>
      </w:pPr>
      <w:proofErr w:type="gramStart"/>
      <w:r w:rsidRPr="000E40F3">
        <w:rPr>
          <w:sz w:val="18"/>
          <w:szCs w:val="18"/>
        </w:rPr>
        <w:t>American Association of Orthopedic Surgeons</w:t>
      </w:r>
      <w:r w:rsidR="000E40F3" w:rsidRPr="000E40F3">
        <w:rPr>
          <w:sz w:val="18"/>
          <w:szCs w:val="18"/>
        </w:rPr>
        <w:t>.</w:t>
      </w:r>
      <w:proofErr w:type="gramEnd"/>
      <w:r w:rsidR="000E40F3" w:rsidRPr="000E40F3">
        <w:rPr>
          <w:sz w:val="18"/>
          <w:szCs w:val="18"/>
        </w:rPr>
        <w:t xml:space="preserve"> (2014). “Obesity Linked to Higher Hospital Charges, Longer Hospital Stays and Higher Rates of Surgical Intervention in </w:t>
      </w:r>
      <w:proofErr w:type="spellStart"/>
      <w:r w:rsidR="000E40F3" w:rsidRPr="000E40F3">
        <w:rPr>
          <w:sz w:val="18"/>
          <w:szCs w:val="18"/>
        </w:rPr>
        <w:t>Orthopaedic</w:t>
      </w:r>
      <w:proofErr w:type="spellEnd"/>
      <w:r w:rsidR="000E40F3" w:rsidRPr="000E40F3">
        <w:rPr>
          <w:sz w:val="18"/>
          <w:szCs w:val="18"/>
        </w:rPr>
        <w:t xml:space="preserve"> Trauma Patients”. Retrieved online September 29, 2014 from </w:t>
      </w:r>
      <w:hyperlink r:id="rId5" w:history="1">
        <w:r w:rsidR="000E40F3" w:rsidRPr="001C5DE4">
          <w:rPr>
            <w:rStyle w:val="Hyperlink"/>
            <w:sz w:val="18"/>
            <w:szCs w:val="18"/>
          </w:rPr>
          <w:t>http://www.aaos-annualmeeting-presskit.org/2014/news_briefs/index.shtml</w:t>
        </w:r>
      </w:hyperlink>
    </w:p>
    <w:p w:rsidR="00536722" w:rsidRDefault="00536722" w:rsidP="00536722"/>
    <w:p w:rsidR="000E40F3" w:rsidRDefault="000E40F3" w:rsidP="000E40F3">
      <w:pPr>
        <w:rPr>
          <w:sz w:val="18"/>
          <w:szCs w:val="18"/>
        </w:rPr>
      </w:pPr>
      <w:proofErr w:type="gramStart"/>
      <w:r w:rsidRPr="000E40F3">
        <w:rPr>
          <w:sz w:val="18"/>
          <w:szCs w:val="18"/>
        </w:rPr>
        <w:t>American Association of Orthopedic Surgeons.</w:t>
      </w:r>
      <w:proofErr w:type="gramEnd"/>
      <w:r w:rsidRPr="000E40F3">
        <w:rPr>
          <w:sz w:val="18"/>
          <w:szCs w:val="18"/>
        </w:rPr>
        <w:t xml:space="preserve"> (2014). “</w:t>
      </w:r>
      <w:r>
        <w:rPr>
          <w:sz w:val="18"/>
          <w:szCs w:val="18"/>
        </w:rPr>
        <w:t>Patients with Metabolic disorder may face higher complication risk following total joint replacement surgery</w:t>
      </w:r>
      <w:r w:rsidRPr="000E40F3">
        <w:rPr>
          <w:sz w:val="18"/>
          <w:szCs w:val="18"/>
        </w:rPr>
        <w:t xml:space="preserve">”. Retrieved online September 29, 2014 from </w:t>
      </w:r>
      <w:hyperlink r:id="rId6" w:history="1">
        <w:r w:rsidRPr="001C5DE4">
          <w:rPr>
            <w:rStyle w:val="Hyperlink"/>
            <w:sz w:val="18"/>
            <w:szCs w:val="18"/>
          </w:rPr>
          <w:t>http://www.aaos-annualmeeting-presskit.org/2014/news_briefs/index.shtml</w:t>
        </w:r>
      </w:hyperlink>
    </w:p>
    <w:p w:rsidR="000E40F3" w:rsidRDefault="000E40F3" w:rsidP="000E40F3">
      <w:pPr>
        <w:rPr>
          <w:sz w:val="18"/>
          <w:szCs w:val="18"/>
        </w:rPr>
      </w:pPr>
    </w:p>
    <w:p w:rsidR="00536722" w:rsidRPr="006C2ADF" w:rsidRDefault="006C2ADF" w:rsidP="006C2ADF">
      <w:pPr>
        <w:rPr>
          <w:sz w:val="18"/>
          <w:szCs w:val="18"/>
        </w:rPr>
      </w:pPr>
      <w:proofErr w:type="gramStart"/>
      <w:r w:rsidRPr="006C2ADF">
        <w:rPr>
          <w:sz w:val="18"/>
          <w:szCs w:val="18"/>
        </w:rPr>
        <w:t>Springer, Bryan D. (2013).</w:t>
      </w:r>
      <w:proofErr w:type="gramEnd"/>
      <w:r w:rsidRPr="006C2ADF">
        <w:rPr>
          <w:sz w:val="18"/>
          <w:szCs w:val="18"/>
        </w:rPr>
        <w:t xml:space="preserve"> Obesity and Total Joint Arthroplasty: A Literature Based Review. </w:t>
      </w:r>
      <w:r w:rsidRPr="006C2ADF">
        <w:rPr>
          <w:i/>
          <w:sz w:val="18"/>
          <w:szCs w:val="18"/>
        </w:rPr>
        <w:t xml:space="preserve">The Journal   of </w:t>
      </w:r>
      <w:proofErr w:type="gramStart"/>
      <w:r w:rsidRPr="006C2ADF">
        <w:rPr>
          <w:i/>
          <w:sz w:val="18"/>
          <w:szCs w:val="18"/>
        </w:rPr>
        <w:t>Arthroplasty ,</w:t>
      </w:r>
      <w:r w:rsidRPr="006C2ADF">
        <w:rPr>
          <w:sz w:val="18"/>
          <w:szCs w:val="18"/>
        </w:rPr>
        <w:t>28</w:t>
      </w:r>
      <w:proofErr w:type="gramEnd"/>
      <w:r w:rsidRPr="006C2ADF">
        <w:rPr>
          <w:sz w:val="18"/>
          <w:szCs w:val="18"/>
        </w:rPr>
        <w:t xml:space="preserve"> (5), 714-721</w:t>
      </w:r>
    </w:p>
    <w:p w:rsidR="00536722" w:rsidRDefault="00536722" w:rsidP="00536722"/>
    <w:p w:rsidR="00536722" w:rsidRDefault="00536722" w:rsidP="00536722"/>
    <w:p w:rsidR="00536722" w:rsidRDefault="00536722" w:rsidP="00536722"/>
    <w:p w:rsidR="00536722" w:rsidRDefault="00536722" w:rsidP="00536722">
      <w:r>
        <w:t>Diabetes indicator:</w:t>
      </w:r>
    </w:p>
    <w:p w:rsidR="00536722" w:rsidRDefault="00536722" w:rsidP="00536722">
      <w:r>
        <w:t>An A1C equal to or above 7.5% and /or Glu</w:t>
      </w:r>
      <w:r w:rsidR="00646502">
        <w:t>cose equal to or greater than 20</w:t>
      </w:r>
      <w:r>
        <w:t xml:space="preserve">0 should warrant a dietary consult prior to surgery.  These patients labs should be monitor via physicians office.   Patient should successfully complete dietary counseling with an A1C equal to or less than 7% and/or </w:t>
      </w:r>
      <w:proofErr w:type="gramStart"/>
      <w:r>
        <w:t>a glucose</w:t>
      </w:r>
      <w:proofErr w:type="gramEnd"/>
      <w:r>
        <w:t xml:space="preserve"> of 200 or less.</w:t>
      </w:r>
    </w:p>
    <w:p w:rsidR="006C2ADF" w:rsidRDefault="006C2ADF" w:rsidP="00536722">
      <w:pPr>
        <w:rPr>
          <w:sz w:val="18"/>
          <w:szCs w:val="18"/>
        </w:rPr>
      </w:pPr>
      <w:r>
        <w:t xml:space="preserve"> </w:t>
      </w:r>
    </w:p>
    <w:p w:rsidR="006C2ADF" w:rsidRDefault="006C2ADF" w:rsidP="00536722">
      <w:pPr>
        <w:rPr>
          <w:sz w:val="18"/>
          <w:szCs w:val="18"/>
        </w:rPr>
      </w:pPr>
    </w:p>
    <w:p w:rsidR="006C2ADF" w:rsidRDefault="006C2ADF" w:rsidP="00536722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Giori</w:t>
      </w:r>
      <w:proofErr w:type="spellEnd"/>
      <w:r>
        <w:rPr>
          <w:sz w:val="18"/>
          <w:szCs w:val="18"/>
        </w:rPr>
        <w:t xml:space="preserve">, </w:t>
      </w:r>
      <w:proofErr w:type="gramStart"/>
      <w:r>
        <w:rPr>
          <w:sz w:val="18"/>
          <w:szCs w:val="18"/>
        </w:rPr>
        <w:t>Nicholas.,</w:t>
      </w:r>
      <w:proofErr w:type="gramEnd"/>
      <w:r>
        <w:rPr>
          <w:sz w:val="18"/>
          <w:szCs w:val="18"/>
        </w:rPr>
        <w:t xml:space="preserve"> &amp; Harris, Alexander. (2013). Hemoglobin A1C is a marker for surgical Risk in Diabetic Patients undergoing Total Joint Arthroplasty. Retrieved from </w:t>
      </w:r>
      <w:hyperlink r:id="rId7" w:history="1">
        <w:r w:rsidRPr="001C5DE4">
          <w:rPr>
            <w:rStyle w:val="Hyperlink"/>
            <w:sz w:val="18"/>
            <w:szCs w:val="18"/>
          </w:rPr>
          <w:t>http://abstractsonline.com</w:t>
        </w:r>
      </w:hyperlink>
    </w:p>
    <w:p w:rsidR="006C2ADF" w:rsidRDefault="006C2ADF" w:rsidP="00536722">
      <w:pPr>
        <w:rPr>
          <w:sz w:val="18"/>
          <w:szCs w:val="18"/>
        </w:rPr>
      </w:pPr>
    </w:p>
    <w:p w:rsidR="006C2ADF" w:rsidRPr="00486B64" w:rsidRDefault="006C2ADF" w:rsidP="00536722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 xml:space="preserve">Richards, Justin E., Kauffmann, </w:t>
      </w:r>
      <w:proofErr w:type="spellStart"/>
      <w:r>
        <w:rPr>
          <w:sz w:val="18"/>
          <w:szCs w:val="18"/>
        </w:rPr>
        <w:t>Rondi</w:t>
      </w:r>
      <w:proofErr w:type="spellEnd"/>
      <w:r>
        <w:rPr>
          <w:sz w:val="18"/>
          <w:szCs w:val="18"/>
        </w:rPr>
        <w:t xml:space="preserve"> M., &amp; May, Addison K. (2012).</w:t>
      </w:r>
      <w:proofErr w:type="gramEnd"/>
      <w:r>
        <w:rPr>
          <w:sz w:val="18"/>
          <w:szCs w:val="18"/>
        </w:rPr>
        <w:t xml:space="preserve">  </w:t>
      </w:r>
      <w:proofErr w:type="gramStart"/>
      <w:r>
        <w:rPr>
          <w:sz w:val="18"/>
          <w:szCs w:val="18"/>
        </w:rPr>
        <w:t xml:space="preserve">Relationship of Hyperglycemia and Surgical- Site Infection in </w:t>
      </w:r>
      <w:proofErr w:type="spellStart"/>
      <w:r>
        <w:rPr>
          <w:sz w:val="18"/>
          <w:szCs w:val="18"/>
        </w:rPr>
        <w:t>Orthopaedic</w:t>
      </w:r>
      <w:proofErr w:type="spellEnd"/>
      <w:r>
        <w:rPr>
          <w:sz w:val="18"/>
          <w:szCs w:val="18"/>
        </w:rPr>
        <w:t xml:space="preserve"> Surgery</w:t>
      </w:r>
      <w:r w:rsidR="00486B64">
        <w:rPr>
          <w:sz w:val="18"/>
          <w:szCs w:val="18"/>
        </w:rPr>
        <w:t>.</w:t>
      </w:r>
      <w:proofErr w:type="gramEnd"/>
      <w:r w:rsidR="00486B64">
        <w:rPr>
          <w:sz w:val="18"/>
          <w:szCs w:val="18"/>
        </w:rPr>
        <w:t xml:space="preserve"> </w:t>
      </w:r>
      <w:r w:rsidR="00486B64">
        <w:rPr>
          <w:i/>
          <w:sz w:val="18"/>
          <w:szCs w:val="18"/>
        </w:rPr>
        <w:t xml:space="preserve">The Journal of Bone and Joint Surgery, </w:t>
      </w:r>
      <w:r w:rsidR="00486B64">
        <w:rPr>
          <w:sz w:val="18"/>
          <w:szCs w:val="18"/>
        </w:rPr>
        <w:t>94 (13): 1181-1186</w:t>
      </w:r>
    </w:p>
    <w:p w:rsidR="00536722" w:rsidRDefault="00536722" w:rsidP="00536722"/>
    <w:p w:rsidR="00536722" w:rsidRDefault="00536722" w:rsidP="00536722"/>
    <w:p w:rsidR="00536722" w:rsidRDefault="00536722" w:rsidP="00536722"/>
    <w:p w:rsidR="00536722" w:rsidRDefault="00536722" w:rsidP="00536722"/>
    <w:p w:rsidR="00536722" w:rsidRDefault="00536722" w:rsidP="00536722"/>
    <w:p w:rsidR="00536722" w:rsidRDefault="00536722" w:rsidP="00536722"/>
    <w:p w:rsidR="00536722" w:rsidRDefault="00536722" w:rsidP="00536722"/>
    <w:p w:rsidR="0010549D" w:rsidRDefault="0010549D"/>
    <w:sectPr w:rsidR="0010549D" w:rsidSect="00105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722"/>
    <w:rsid w:val="000E40F3"/>
    <w:rsid w:val="0010549D"/>
    <w:rsid w:val="00112C64"/>
    <w:rsid w:val="00486B64"/>
    <w:rsid w:val="00536722"/>
    <w:rsid w:val="00646502"/>
    <w:rsid w:val="006C2ADF"/>
    <w:rsid w:val="009E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722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40F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722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40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3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bstractsonline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aos-annualmeeting-presskit.org/2014/news_briefs/index.shtml" TargetMode="External"/><Relationship Id="rId5" Type="http://schemas.openxmlformats.org/officeDocument/2006/relationships/hyperlink" Target="http://www.aaos-annualmeeting-presskit.org/2014/news_briefs/index.s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White River Health System</Company>
  <LinksUpToDate>false</LinksUpToDate>
  <CharactersWithSpaces>2288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ljc</dc:creator>
  <cp:lastModifiedBy>Dr. Christopher Steel</cp:lastModifiedBy>
  <cp:revision>2</cp:revision>
  <dcterms:created xsi:type="dcterms:W3CDTF">2015-02-04T21:25:00Z</dcterms:created>
  <dcterms:modified xsi:type="dcterms:W3CDTF">2015-02-04T21:25:00Z</dcterms:modified>
</cp:coreProperties>
</file>