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SRO Intelligence</w:t>
      </w:r>
    </w:p>
    <w:p>
      <w:pPr>
        <w:spacing w:after="100"/>
        <w:jc w:val="center"/>
      </w:pPr>
      <w:r>
        <w:rPr>
          <w:rFonts w:ascii="Arial" w:cs="Arial" w:eastAsia="Arial" w:hAnsi="Arial"/>
          <w:color w:val="2C3E50"/>
          <w:sz w:val="36"/>
          <w:szCs w:val="36"/>
        </w:rPr>
        <w:t xml:space="preserve">Complete System Brief</w:t>
      </w:r>
    </w:p>
    <w:p>
      <w:pPr>
        <w:spacing w:after="600"/>
        <w:jc w:val="center"/>
      </w:pPr>
      <w:r>
        <w:rPr>
          <w:rFonts w:ascii="Arial" w:cs="Arial" w:eastAsia="Arial" w:hAnsi="Arial"/>
          <w:i/>
          <w:iCs/>
          <w:color w:val="7F8C8D"/>
          <w:sz w:val="24"/>
          <w:szCs w:val="24"/>
        </w:rPr>
        <w:t xml:space="preserve">Episode Command System for Orthopedic Joint Replacement</w:t>
      </w:r>
    </w:p>
    <w:p>
      <w:pPr>
        <w:spacing w:after="100"/>
        <w:jc w:val="center"/>
      </w:pPr>
      <w:r>
        <w:rPr>
          <w:rFonts w:ascii="Arial" w:cs="Arial" w:eastAsia="Arial" w:hAnsi="Arial"/>
          <w:sz w:val="22"/>
          <w:szCs w:val="22"/>
        </w:rPr>
        <w:t xml:space="preserve">Prepared for: Business Partner Review &amp; LLM-Assisted Analysis</w:t>
      </w:r>
    </w:p>
    <w:p>
      <w:pPr>
        <w:spacing w:after="100"/>
        <w:jc w:val="center"/>
      </w:pPr>
      <w:r>
        <w:rPr>
          <w:rFonts w:ascii="Arial" w:cs="Arial" w:eastAsia="Arial" w:hAnsi="Arial"/>
          <w:color w:val="7F8C8D"/>
          <w:sz w:val="22"/>
          <w:szCs w:val="22"/>
        </w:rPr>
        <w:t xml:space="preserve">February 2026  |  Version 1.0  |  All Core Phases Complete</w:t>
      </w:r>
    </w:p>
    <w:p>
      <w:pPr>
        <w:spacing w:after="100"/>
        <w:jc w:val="center"/>
      </w:pPr>
      <w:r>
        <w:rPr>
          <w:rFonts w:ascii="Arial" w:cs="Arial" w:eastAsia="Arial" w:hAnsi="Arial"/>
          <w:sz w:val="22"/>
          <w:szCs w:val="22"/>
        </w:rPr>
        <w:t xml:space="preserve">Contact: Jeff Angel  |  jangel@mpoc.cc</w:t>
      </w:r>
    </w:p>
    <w:p>
      <w:r>
        <w:br w:type="page"/>
      </w:r>
    </w:p>
    <w:p>
      <w:pPr>
        <w:pStyle w:val="Heading1"/>
        <w:spacing w:before="400" w:after="200"/>
      </w:pPr>
      <w:r>
        <w:rPr>
          <w:rFonts w:ascii="Arial" w:cs="Arial" w:eastAsia="Arial" w:hAnsi="Arial"/>
          <w:b/>
          <w:bCs/>
          <w:color w:val="1B4F72"/>
          <w:sz w:val="32"/>
          <w:szCs w:val="32"/>
        </w:rPr>
        <w:t xml:space="preserve">How to Use This Document</w:t>
      </w:r>
    </w:p>
    <w:p>
      <w:pPr>
        <w:spacing w:after="120"/>
      </w:pPr>
      <w:r>
        <w:rPr>
          <w:rFonts w:ascii="Arial" w:cs="Arial" w:eastAsia="Arial" w:hAnsi="Arial"/>
          <w:sz w:val="21"/>
          <w:szCs w:val="21"/>
        </w:rPr>
        <w:t xml:space="preserve">Paste this entire document into ChatGPT, Claude, Gemini, or any LLM. Then ask whatever you want. The LLM will have full context on the product, market, technology, and competitive landscape.</w:t>
      </w:r>
    </w:p>
    <w:p>
      <w:pPr>
        <w:spacing w:after="60"/>
      </w:pPr>
    </w:p>
    <w:p>
      <w:pPr>
        <w:spacing w:before="200" w:after="100"/>
      </w:pPr>
      <w:r>
        <w:rPr>
          <w:rFonts w:ascii="Arial" w:cs="Arial" w:eastAsia="Arial" w:hAnsi="Arial"/>
          <w:b/>
          <w:bCs/>
          <w:color w:val="1B4F72"/>
          <w:sz w:val="22"/>
          <w:szCs w:val="22"/>
        </w:rPr>
        <w:t xml:space="preserve">Example Prompts After Pasting</w:t>
      </w:r>
    </w:p>
    <w:p>
      <w:pPr>
        <w:pStyle w:val="ListParagraph"/>
        <w:numPr>
          <w:ilvl w:val="0"/>
          <w:numId w:val="2"/>
        </w:numPr>
        <w:spacing w:after="60"/>
      </w:pPr>
      <w:r>
        <w:rPr>
          <w:rFonts w:ascii="Arial" w:cs="Arial" w:eastAsia="Arial" w:hAnsi="Arial"/>
          <w:sz w:val="21"/>
          <w:szCs w:val="21"/>
        </w:rPr>
        <w:t xml:space="preserve">What is the strongest value proposition for hospital administrators?</w:t>
      </w:r>
    </w:p>
    <w:p>
      <w:pPr>
        <w:pStyle w:val="ListParagraph"/>
        <w:numPr>
          <w:ilvl w:val="0"/>
          <w:numId w:val="2"/>
        </w:numPr>
        <w:spacing w:after="60"/>
      </w:pPr>
      <w:r>
        <w:rPr>
          <w:rFonts w:ascii="Arial" w:cs="Arial" w:eastAsia="Arial" w:hAnsi="Arial"/>
          <w:sz w:val="21"/>
          <w:szCs w:val="21"/>
        </w:rPr>
        <w:t xml:space="preserve">Draft a one-page sales sheet for orthopedic practices</w:t>
      </w:r>
    </w:p>
    <w:p>
      <w:pPr>
        <w:pStyle w:val="ListParagraph"/>
        <w:numPr>
          <w:ilvl w:val="0"/>
          <w:numId w:val="2"/>
        </w:numPr>
        <w:spacing w:after="60"/>
      </w:pPr>
      <w:r>
        <w:rPr>
          <w:rFonts w:ascii="Arial" w:cs="Arial" w:eastAsia="Arial" w:hAnsi="Arial"/>
          <w:sz w:val="21"/>
          <w:szCs w:val="21"/>
        </w:rPr>
        <w:t xml:space="preserve">What are the biggest risks to this business model?</w:t>
      </w:r>
    </w:p>
    <w:p>
      <w:pPr>
        <w:pStyle w:val="ListParagraph"/>
        <w:numPr>
          <w:ilvl w:val="0"/>
          <w:numId w:val="2"/>
        </w:numPr>
        <w:spacing w:after="60"/>
      </w:pPr>
      <w:r>
        <w:rPr>
          <w:rFonts w:ascii="Arial" w:cs="Arial" w:eastAsia="Arial" w:hAnsi="Arial"/>
          <w:sz w:val="21"/>
          <w:szCs w:val="21"/>
        </w:rPr>
        <w:t xml:space="preserve">Compare this to Force Therapeutics and identify our advantages</w:t>
      </w:r>
    </w:p>
    <w:p>
      <w:pPr>
        <w:pStyle w:val="ListParagraph"/>
        <w:numPr>
          <w:ilvl w:val="0"/>
          <w:numId w:val="2"/>
        </w:numPr>
        <w:spacing w:after="60"/>
      </w:pPr>
      <w:r>
        <w:rPr>
          <w:rFonts w:ascii="Arial" w:cs="Arial" w:eastAsia="Arial" w:hAnsi="Arial"/>
          <w:sz w:val="21"/>
          <w:szCs w:val="21"/>
        </w:rPr>
        <w:t xml:space="preserve">Write an investor pitch deck outline</w:t>
      </w:r>
    </w:p>
    <w:p>
      <w:pPr>
        <w:pStyle w:val="ListParagraph"/>
        <w:numPr>
          <w:ilvl w:val="0"/>
          <w:numId w:val="2"/>
        </w:numPr>
        <w:spacing w:after="60"/>
      </w:pPr>
      <w:r>
        <w:rPr>
          <w:rFonts w:ascii="Arial" w:cs="Arial" w:eastAsia="Arial" w:hAnsi="Arial"/>
          <w:sz w:val="21"/>
          <w:szCs w:val="21"/>
        </w:rPr>
        <w:t xml:space="preserve">What should our pricing model be?</w:t>
      </w:r>
    </w:p>
    <w:p>
      <w:pPr>
        <w:pStyle w:val="ListParagraph"/>
        <w:numPr>
          <w:ilvl w:val="0"/>
          <w:numId w:val="2"/>
        </w:numPr>
        <w:spacing w:after="60"/>
      </w:pPr>
      <w:r>
        <w:rPr>
          <w:rFonts w:ascii="Arial" w:cs="Arial" w:eastAsia="Arial" w:hAnsi="Arial"/>
          <w:sz w:val="21"/>
          <w:szCs w:val="21"/>
        </w:rPr>
        <w:t xml:space="preserve">Identify regulatory risks and how to mitigate them</w:t>
      </w:r>
    </w:p>
    <w:p>
      <w:pPr>
        <w:pStyle w:val="ListParagraph"/>
        <w:numPr>
          <w:ilvl w:val="0"/>
          <w:numId w:val="2"/>
        </w:numPr>
        <w:spacing w:after="60"/>
      </w:pPr>
      <w:r>
        <w:rPr>
          <w:rFonts w:ascii="Arial" w:cs="Arial" w:eastAsia="Arial" w:hAnsi="Arial"/>
          <w:sz w:val="21"/>
          <w:szCs w:val="21"/>
        </w:rPr>
        <w:t xml:space="preserve">Draft marketing copy for the website</w:t>
      </w:r>
    </w:p>
    <w:p>
      <w:pPr>
        <w:pStyle w:val="ListParagraph"/>
        <w:numPr>
          <w:ilvl w:val="0"/>
          <w:numId w:val="2"/>
        </w:numPr>
        <w:spacing w:after="60"/>
      </w:pPr>
      <w:r>
        <w:rPr>
          <w:rFonts w:ascii="Arial" w:cs="Arial" w:eastAsia="Arial" w:hAnsi="Arial"/>
          <w:sz w:val="21"/>
          <w:szCs w:val="21"/>
        </w:rPr>
        <w:t xml:space="preserve">What is our TAM/SAM/SOM?</w:t>
      </w:r>
    </w:p>
    <w:p>
      <w:pPr>
        <w:pStyle w:val="ListParagraph"/>
        <w:numPr>
          <w:ilvl w:val="0"/>
          <w:numId w:val="2"/>
        </w:numPr>
        <w:spacing w:after="60"/>
      </w:pPr>
      <w:r>
        <w:rPr>
          <w:rFonts w:ascii="Arial" w:cs="Arial" w:eastAsia="Arial" w:hAnsi="Arial"/>
          <w:sz w:val="21"/>
          <w:szCs w:val="21"/>
        </w:rPr>
        <w:t xml:space="preserve">Write a cold email to an orthopedic practice administrator</w:t>
      </w:r>
    </w:p>
    <w:p>
      <w:pPr>
        <w:pStyle w:val="ListParagraph"/>
        <w:numPr>
          <w:ilvl w:val="0"/>
          <w:numId w:val="2"/>
        </w:numPr>
        <w:spacing w:after="60"/>
      </w:pPr>
      <w:r>
        <w:rPr>
          <w:rFonts w:ascii="Arial" w:cs="Arial" w:eastAsia="Arial" w:hAnsi="Arial"/>
          <w:sz w:val="21"/>
          <w:szCs w:val="21"/>
        </w:rPr>
        <w:t xml:space="preserve">What questions would a hospital CIO ask and how do we answer them?</w:t>
      </w:r>
    </w:p>
    <w:p>
      <w:pPr>
        <w:pStyle w:val="ListParagraph"/>
        <w:numPr>
          <w:ilvl w:val="0"/>
          <w:numId w:val="2"/>
        </w:numPr>
        <w:spacing w:after="60"/>
      </w:pPr>
      <w:r>
        <w:rPr>
          <w:rFonts w:ascii="Arial" w:cs="Arial" w:eastAsia="Arial" w:hAnsi="Arial"/>
          <w:sz w:val="21"/>
          <w:szCs w:val="21"/>
        </w:rPr>
        <w:t xml:space="preserve">Design a pilot program proposal for a 5-surgeon practice</w:t>
      </w:r>
    </w:p>
    <w:p>
      <w:r>
        <w:br w:type="page"/>
      </w:r>
    </w:p>
    <w:p>
      <w:pPr>
        <w:pStyle w:val="Heading1"/>
        <w:spacing w:before="400" w:after="200"/>
      </w:pPr>
      <w:r>
        <w:rPr>
          <w:rFonts w:ascii="Arial" w:cs="Arial" w:eastAsia="Arial" w:hAnsi="Arial"/>
          <w:b/>
          <w:bCs/>
          <w:color w:val="1B4F72"/>
          <w:sz w:val="32"/>
          <w:szCs w:val="32"/>
        </w:rPr>
        <w:t xml:space="preserve">Section 1: The Problem</w:t>
      </w:r>
    </w:p>
    <w:p>
      <w:pPr>
        <w:spacing w:after="120"/>
      </w:pPr>
      <w:r>
        <w:rPr>
          <w:rFonts w:ascii="Arial" w:cs="Arial" w:eastAsia="Arial" w:hAnsi="Arial"/>
          <w:sz w:val="21"/>
          <w:szCs w:val="21"/>
        </w:rPr>
        <w:t xml:space="preserve">Every total joint replacement (hip or knee) generates a 90-day episode of care. The US performs approximately 1.4 million total knee and total hip replacements per year, growing 4-6% annually as the population ages.</w:t>
      </w:r>
    </w:p>
    <w:p>
      <w:pPr>
        <w:spacing w:after="120"/>
      </w:pPr>
      <w:r>
        <w:rPr>
          <w:rFonts w:ascii="Arial" w:cs="Arial" w:eastAsia="Arial" w:hAnsi="Arial"/>
          <w:sz w:val="21"/>
          <w:szCs w:val="21"/>
        </w:rPr>
        <w:t xml:space="preserve">During each episode, CMS (Medicare) and commercial payers now require orthopedic practices to:</w:t>
      </w:r>
    </w:p>
    <w:p>
      <w:pPr>
        <w:pStyle w:val="ListParagraph"/>
        <w:numPr>
          <w:ilvl w:val="0"/>
          <w:numId w:val="3"/>
        </w:numPr>
        <w:spacing w:after="60"/>
      </w:pPr>
      <w:r>
        <w:rPr>
          <w:rFonts w:ascii="Arial" w:cs="Arial" w:eastAsia="Arial" w:hAnsi="Arial"/>
          <w:b/>
          <w:bCs/>
          <w:sz w:val="21"/>
          <w:szCs w:val="21"/>
        </w:rPr>
        <w:t xml:space="preserve">Collect PROMs </w:t>
      </w:r>
      <w:r>
        <w:rPr>
          <w:rFonts w:ascii="Arial" w:cs="Arial" w:eastAsia="Arial" w:hAnsi="Arial"/>
          <w:sz w:val="21"/>
          <w:szCs w:val="21"/>
        </w:rPr>
        <w:t xml:space="preserve">at specific time windows (pre-op, 6 weeks, 3 months, 1 year)</w:t>
      </w:r>
    </w:p>
    <w:p>
      <w:pPr>
        <w:pStyle w:val="ListParagraph"/>
        <w:numPr>
          <w:ilvl w:val="0"/>
          <w:numId w:val="3"/>
        </w:numPr>
        <w:spacing w:after="60"/>
      </w:pPr>
      <w:r>
        <w:rPr>
          <w:rFonts w:ascii="Arial" w:cs="Arial" w:eastAsia="Arial" w:hAnsi="Arial"/>
          <w:b/>
          <w:bCs/>
          <w:sz w:val="21"/>
          <w:szCs w:val="21"/>
        </w:rPr>
        <w:t xml:space="preserve">Monitor patients </w:t>
      </w:r>
      <w:r>
        <w:rPr>
          <w:rFonts w:ascii="Arial" w:cs="Arial" w:eastAsia="Arial" w:hAnsi="Arial"/>
          <w:sz w:val="21"/>
          <w:szCs w:val="21"/>
        </w:rPr>
        <w:t xml:space="preserve">remotely for complications, ER visits, and readmissions</w:t>
      </w:r>
    </w:p>
    <w:p>
      <w:pPr>
        <w:pStyle w:val="ListParagraph"/>
        <w:numPr>
          <w:ilvl w:val="0"/>
          <w:numId w:val="3"/>
        </w:numPr>
        <w:spacing w:after="60"/>
      </w:pPr>
      <w:r>
        <w:rPr>
          <w:rFonts w:ascii="Arial" w:cs="Arial" w:eastAsia="Arial" w:hAnsi="Arial"/>
          <w:b/>
          <w:bCs/>
          <w:sz w:val="21"/>
          <w:szCs w:val="21"/>
        </w:rPr>
        <w:t xml:space="preserve">Document shared decision-making </w:t>
      </w:r>
      <w:r>
        <w:rPr>
          <w:rFonts w:ascii="Arial" w:cs="Arial" w:eastAsia="Arial" w:hAnsi="Arial"/>
          <w:sz w:val="21"/>
          <w:szCs w:val="21"/>
        </w:rPr>
        <w:t xml:space="preserve">proving the patient participated in informed discussion</w:t>
      </w:r>
    </w:p>
    <w:p>
      <w:pPr>
        <w:pStyle w:val="ListParagraph"/>
        <w:numPr>
          <w:ilvl w:val="0"/>
          <w:numId w:val="3"/>
        </w:numPr>
        <w:spacing w:after="60"/>
      </w:pPr>
      <w:r>
        <w:rPr>
          <w:rFonts w:ascii="Arial" w:cs="Arial" w:eastAsia="Arial" w:hAnsi="Arial"/>
          <w:b/>
          <w:bCs/>
          <w:sz w:val="21"/>
          <w:szCs w:val="21"/>
        </w:rPr>
        <w:t xml:space="preserve">Optimize patients before surgery </w:t>
      </w:r>
      <w:r>
        <w:rPr>
          <w:rFonts w:ascii="Arial" w:cs="Arial" w:eastAsia="Arial" w:hAnsi="Arial"/>
          <w:sz w:val="21"/>
          <w:szCs w:val="21"/>
        </w:rPr>
        <w:t xml:space="preserve">by managing comorbidities and completing medical clearances</w:t>
      </w:r>
    </w:p>
    <w:p>
      <w:pPr>
        <w:pStyle w:val="ListParagraph"/>
        <w:numPr>
          <w:ilvl w:val="0"/>
          <w:numId w:val="3"/>
        </w:numPr>
        <w:spacing w:after="60"/>
      </w:pPr>
      <w:r>
        <w:rPr>
          <w:rFonts w:ascii="Arial" w:cs="Arial" w:eastAsia="Arial" w:hAnsi="Arial"/>
          <w:b/>
          <w:bCs/>
          <w:sz w:val="21"/>
          <w:szCs w:val="21"/>
        </w:rPr>
        <w:t xml:space="preserve">Report compliance data </w:t>
      </w:r>
      <w:r>
        <w:rPr>
          <w:rFonts w:ascii="Arial" w:cs="Arial" w:eastAsia="Arial" w:hAnsi="Arial"/>
          <w:sz w:val="21"/>
          <w:szCs w:val="21"/>
        </w:rPr>
        <w:t xml:space="preserve">to CMS programs or face financial penalties</w:t>
      </w:r>
    </w:p>
    <w:p>
      <w:pPr>
        <w:spacing w:after="60"/>
      </w:pPr>
    </w:p>
    <w:p>
      <w:pPr>
        <w:pStyle w:val="Heading2"/>
        <w:spacing w:before="300" w:after="150"/>
      </w:pPr>
      <w:r>
        <w:rPr>
          <w:rFonts w:ascii="Arial" w:cs="Arial" w:eastAsia="Arial" w:hAnsi="Arial"/>
          <w:b/>
          <w:bCs/>
          <w:color w:val="2C3E50"/>
          <w:sz w:val="26"/>
          <w:szCs w:val="26"/>
        </w:rPr>
        <w:t xml:space="preserve">Regulatory Programs Driving Demand</w:t>
      </w:r>
    </w:p>
    <w:p>
      <w:pPr>
        <w:pStyle w:val="ListParagraph"/>
        <w:numPr>
          <w:ilvl w:val="0"/>
          <w:numId w:val="4"/>
        </w:numPr>
        <w:spacing w:after="60"/>
      </w:pPr>
      <w:r>
        <w:rPr>
          <w:rFonts w:ascii="Arial" w:cs="Arial" w:eastAsia="Arial" w:hAnsi="Arial"/>
          <w:b/>
          <w:bCs/>
          <w:sz w:val="21"/>
          <w:szCs w:val="21"/>
        </w:rPr>
        <w:t xml:space="preserve">CMS TEAM: </w:t>
      </w:r>
      <w:r>
        <w:rPr>
          <w:rFonts w:ascii="Arial" w:cs="Arial" w:eastAsia="Arial" w:hAnsi="Arial"/>
          <w:sz w:val="21"/>
          <w:szCs w:val="21"/>
        </w:rPr>
        <w:t xml:space="preserve">Mandatory bundled payment model for hip/knee. Practices are financially accountable for the full episode cost and quality.</w:t>
      </w:r>
    </w:p>
    <w:p>
      <w:pPr>
        <w:pStyle w:val="ListParagraph"/>
        <w:numPr>
          <w:ilvl w:val="0"/>
          <w:numId w:val="4"/>
        </w:numPr>
        <w:spacing w:after="60"/>
      </w:pPr>
      <w:r>
        <w:rPr>
          <w:rFonts w:ascii="Arial" w:cs="Arial" w:eastAsia="Arial" w:hAnsi="Arial"/>
          <w:b/>
          <w:bCs/>
          <w:sz w:val="21"/>
          <w:szCs w:val="21"/>
        </w:rPr>
        <w:t xml:space="preserve">PRO-PM: </w:t>
      </w:r>
      <w:r>
        <w:rPr>
          <w:rFonts w:ascii="Arial" w:cs="Arial" w:eastAsia="Arial" w:hAnsi="Arial"/>
          <w:sz w:val="21"/>
          <w:szCs w:val="21"/>
        </w:rPr>
        <w:t xml:space="preserve">CMS requires PROM collection at pre-op and 1 year. Non-compliance affects quality scores and reimbursement.</w:t>
      </w:r>
    </w:p>
    <w:p>
      <w:pPr>
        <w:pStyle w:val="ListParagraph"/>
        <w:numPr>
          <w:ilvl w:val="0"/>
          <w:numId w:val="4"/>
        </w:numPr>
        <w:spacing w:after="60"/>
      </w:pPr>
      <w:r>
        <w:rPr>
          <w:rFonts w:ascii="Arial" w:cs="Arial" w:eastAsia="Arial" w:hAnsi="Arial"/>
          <w:b/>
          <w:bCs/>
          <w:sz w:val="21"/>
          <w:szCs w:val="21"/>
        </w:rPr>
        <w:t xml:space="preserve">BPCI-A: </w:t>
      </w:r>
      <w:r>
        <w:rPr>
          <w:rFonts w:ascii="Arial" w:cs="Arial" w:eastAsia="Arial" w:hAnsi="Arial"/>
          <w:sz w:val="21"/>
          <w:szCs w:val="21"/>
        </w:rPr>
        <w:t xml:space="preserve">Voluntary bundled payment model. Practices share savings or losses based on episode cost and quality.</w:t>
      </w:r>
    </w:p>
    <w:p>
      <w:pPr>
        <w:pStyle w:val="ListParagraph"/>
        <w:numPr>
          <w:ilvl w:val="0"/>
          <w:numId w:val="4"/>
        </w:numPr>
        <w:spacing w:after="60"/>
      </w:pPr>
      <w:r>
        <w:rPr>
          <w:rFonts w:ascii="Arial" w:cs="Arial" w:eastAsia="Arial" w:hAnsi="Arial"/>
          <w:b/>
          <w:bCs/>
          <w:sz w:val="21"/>
          <w:szCs w:val="21"/>
        </w:rPr>
        <w:t xml:space="preserve">Commercial bundles: </w:t>
      </w:r>
      <w:r>
        <w:rPr>
          <w:rFonts w:ascii="Arial" w:cs="Arial" w:eastAsia="Arial" w:hAnsi="Arial"/>
          <w:sz w:val="21"/>
          <w:szCs w:val="21"/>
        </w:rPr>
        <w:t xml:space="preserve">UHC, Aetna, Blue Cross increasingly requiring episode-level outcome reporting.</w:t>
      </w:r>
    </w:p>
    <w:p>
      <w:pPr>
        <w:spacing w:after="60"/>
      </w:pPr>
    </w:p>
    <w:p>
      <w:pPr>
        <w:pStyle w:val="Heading2"/>
        <w:spacing w:before="300" w:after="150"/>
      </w:pPr>
      <w:r>
        <w:rPr>
          <w:rFonts w:ascii="Arial" w:cs="Arial" w:eastAsia="Arial" w:hAnsi="Arial"/>
          <w:b/>
          <w:bCs/>
          <w:color w:val="2C3E50"/>
          <w:sz w:val="26"/>
          <w:szCs w:val="26"/>
        </w:rPr>
        <w:t xml:space="preserve">How Practices Manage This Today</w:t>
      </w:r>
    </w:p>
    <w:p>
      <w:pPr>
        <w:spacing w:after="120"/>
      </w:pPr>
      <w:r>
        <w:rPr>
          <w:rFonts w:ascii="Arial" w:cs="Arial" w:eastAsia="Arial" w:hAnsi="Arial"/>
          <w:sz w:val="21"/>
          <w:szCs w:val="21"/>
        </w:rPr>
        <w:t xml:space="preserve">Paper forms, Excel spreadsheets, sticky notes, and phone calls. Nurses spend hours calling patients to complete surveys. Surgeons review risk factors on paper charts during 10-minute pre-op visits. Nobody knows their PROM compliance rates until CMS audit time. Pre-operative clearances tracked on whiteboards. Insurance precertification letters typed from scratch.</w:t>
      </w:r>
    </w:p>
    <w:p>
      <w:pPr>
        <w:spacing w:after="120"/>
      </w:pPr>
      <w:r>
        <w:rPr>
          <w:rFonts w:ascii="Arial" w:cs="Arial" w:eastAsia="Arial" w:hAnsi="Arial"/>
          <w:sz w:val="21"/>
          <w:szCs w:val="21"/>
        </w:rPr>
        <w:t xml:space="preserve">A practice doing 500 joints per year needs a dedicated staff person just to manage PROM collection, and most still achieve below 50% compliance.</w:t>
      </w:r>
    </w:p>
    <w:p>
      <w:r>
        <w:br w:type="page"/>
      </w:r>
    </w:p>
    <w:p>
      <w:pPr>
        <w:pStyle w:val="Heading1"/>
        <w:spacing w:before="400" w:after="200"/>
      </w:pPr>
      <w:r>
        <w:rPr>
          <w:rFonts w:ascii="Arial" w:cs="Arial" w:eastAsia="Arial" w:hAnsi="Arial"/>
          <w:b/>
          <w:bCs/>
          <w:color w:val="1B4F72"/>
          <w:sz w:val="32"/>
          <w:szCs w:val="32"/>
        </w:rPr>
        <w:t xml:space="preserve">Section 2: The Solution</w:t>
      </w:r>
    </w:p>
    <w:p>
      <w:pPr>
        <w:pStyle w:val="Heading2"/>
        <w:spacing w:before="300" w:after="150"/>
      </w:pPr>
      <w:r>
        <w:rPr>
          <w:rFonts w:ascii="Arial" w:cs="Arial" w:eastAsia="Arial" w:hAnsi="Arial"/>
          <w:b/>
          <w:bCs/>
          <w:color w:val="2C3E50"/>
          <w:sz w:val="26"/>
          <w:szCs w:val="26"/>
        </w:rPr>
        <w:t xml:space="preserve">What SRO Intelligence Is</w:t>
      </w:r>
    </w:p>
    <w:p>
      <w:pPr>
        <w:spacing w:after="120"/>
      </w:pPr>
      <w:r>
        <w:rPr>
          <w:rFonts w:ascii="Arial" w:cs="Arial" w:eastAsia="Arial" w:hAnsi="Arial"/>
          <w:sz w:val="21"/>
          <w:szCs w:val="21"/>
        </w:rPr>
        <w:t xml:space="preserve">SRO Intelligence is a purpose-built episode command system for orthopedic joint replacement practices. It connects three stakeholders — the patient, the surgeon, and the nursing staff — across the complete surgical episode, from first office visit through 1-year post-operative follow-up.</w:t>
      </w:r>
    </w:p>
    <w:p>
      <w:pPr>
        <w:spacing w:after="120"/>
      </w:pPr>
      <w:r>
        <w:rPr>
          <w:rFonts w:ascii="Arial" w:cs="Arial" w:eastAsia="Arial" w:hAnsi="Arial"/>
          <w:sz w:val="21"/>
          <w:szCs w:val="21"/>
        </w:rPr>
        <w:t xml:space="preserve">It is NOT an electronic health record (EHR). It sits alongside the practice’s existing EHR as a specialized episode management layer that handles everything the EHR doesn’t do well.</w:t>
      </w:r>
    </w:p>
    <w:p>
      <w:pPr>
        <w:spacing w:after="60"/>
      </w:pPr>
    </w:p>
    <w:p>
      <w:pPr>
        <w:pStyle w:val="Heading2"/>
        <w:spacing w:before="300" w:after="150"/>
      </w:pPr>
      <w:r>
        <w:rPr>
          <w:rFonts w:ascii="Arial" w:cs="Arial" w:eastAsia="Arial" w:hAnsi="Arial"/>
          <w:b/>
          <w:bCs/>
          <w:color w:val="2C3E50"/>
          <w:sz w:val="26"/>
          <w:szCs w:val="26"/>
        </w:rPr>
        <w:t xml:space="preserve">What Makes It Different</w:t>
      </w:r>
    </w:p>
    <w:p>
      <w:pPr>
        <w:spacing w:after="120"/>
      </w:pPr>
      <w:r>
        <w:rPr>
          <w:rFonts w:ascii="Arial" w:cs="Arial" w:eastAsia="Arial" w:hAnsi="Arial"/>
          <w:sz w:val="21"/>
          <w:szCs w:val="21"/>
        </w:rPr>
        <w:t xml:space="preserve">SRO is the only system that covers BOTH sides of the surgical episode in one platform:</w:t>
      </w:r>
    </w:p>
    <w:p>
      <w:pPr>
        <w:spacing w:after="60"/>
      </w:pPr>
    </w:p>
    <w:p>
      <w:pPr>
        <w:spacing w:before="200" w:after="100"/>
      </w:pPr>
      <w:r>
        <w:rPr>
          <w:rFonts w:ascii="Arial" w:cs="Arial" w:eastAsia="Arial" w:hAnsi="Arial"/>
          <w:b/>
          <w:bCs/>
          <w:color w:val="1B4F72"/>
          <w:sz w:val="22"/>
          <w:szCs w:val="22"/>
        </w:rPr>
        <w:t xml:space="preserve">Pre-Operative Side (No Competitor Does This)</w:t>
      </w:r>
    </w:p>
    <w:p>
      <w:pPr>
        <w:pStyle w:val="ListParagraph"/>
        <w:numPr>
          <w:ilvl w:val="0"/>
          <w:numId w:val="5"/>
        </w:numPr>
        <w:spacing w:after="60"/>
      </w:pPr>
      <w:r>
        <w:rPr>
          <w:rFonts w:ascii="Arial" w:cs="Arial" w:eastAsia="Arial" w:hAnsi="Arial"/>
          <w:sz w:val="21"/>
          <w:szCs w:val="21"/>
        </w:rPr>
        <w:t xml:space="preserve">Patient intake with 6 validated outcome instruments (KOOS Jr, HOOS Jr, PROMIS-10, PHQ-2, GAD-2, STOP-BANG)</w:t>
      </w:r>
    </w:p>
    <w:p>
      <w:pPr>
        <w:pStyle w:val="ListParagraph"/>
        <w:numPr>
          <w:ilvl w:val="0"/>
          <w:numId w:val="5"/>
        </w:numPr>
        <w:spacing w:after="60"/>
      </w:pPr>
      <w:r>
        <w:rPr>
          <w:rFonts w:ascii="Arial" w:cs="Arial" w:eastAsia="Arial" w:hAnsi="Arial"/>
          <w:sz w:val="21"/>
          <w:szCs w:val="21"/>
        </w:rPr>
        <w:t xml:space="preserve">19-category comorbidity assessment with evidence-based outcome impact scoring</w:t>
      </w:r>
    </w:p>
    <w:p>
      <w:pPr>
        <w:pStyle w:val="ListParagraph"/>
        <w:numPr>
          <w:ilvl w:val="0"/>
          <w:numId w:val="5"/>
        </w:numPr>
        <w:spacing w:after="60"/>
      </w:pPr>
      <w:r>
        <w:rPr>
          <w:rFonts w:ascii="Arial" w:cs="Arial" w:eastAsia="Arial" w:hAnsi="Arial"/>
          <w:sz w:val="21"/>
          <w:szCs w:val="21"/>
        </w:rPr>
        <w:t xml:space="preserve">Clinical decision support tool predicting patient-specific post-operative outcomes</w:t>
      </w:r>
    </w:p>
    <w:p>
      <w:pPr>
        <w:pStyle w:val="ListParagraph"/>
        <w:numPr>
          <w:ilvl w:val="0"/>
          <w:numId w:val="5"/>
        </w:numPr>
        <w:spacing w:after="60"/>
      </w:pPr>
      <w:r>
        <w:rPr>
          <w:rFonts w:ascii="Arial" w:cs="Arial" w:eastAsia="Arial" w:hAnsi="Arial"/>
          <w:sz w:val="21"/>
          <w:szCs w:val="21"/>
        </w:rPr>
        <w:t xml:space="preserve">Shared decision-making infographics meeting CMS documentation requirements</w:t>
      </w:r>
    </w:p>
    <w:p>
      <w:pPr>
        <w:pStyle w:val="ListParagraph"/>
        <w:numPr>
          <w:ilvl w:val="0"/>
          <w:numId w:val="5"/>
        </w:numPr>
        <w:spacing w:after="60"/>
      </w:pPr>
      <w:r>
        <w:rPr>
          <w:rFonts w:ascii="Arial" w:cs="Arial" w:eastAsia="Arial" w:hAnsi="Arial"/>
          <w:sz w:val="21"/>
          <w:szCs w:val="21"/>
        </w:rPr>
        <w:t xml:space="preserve">Readmission and mortality risk scoring with printable patient-facing cards</w:t>
      </w:r>
    </w:p>
    <w:p>
      <w:pPr>
        <w:pStyle w:val="ListParagraph"/>
        <w:numPr>
          <w:ilvl w:val="0"/>
          <w:numId w:val="5"/>
        </w:numPr>
        <w:spacing w:after="60"/>
      </w:pPr>
      <w:r>
        <w:rPr>
          <w:rFonts w:ascii="Arial" w:cs="Arial" w:eastAsia="Arial" w:hAnsi="Arial"/>
          <w:sz w:val="21"/>
          <w:szCs w:val="21"/>
        </w:rPr>
        <w:t xml:space="preserve">10-tab surgical preparation workflow (history/PE, x-ray documentation, prosthesis calculator, equipment lists, precertification letter, patient contract, informed consent, insurance, surgical setting recommendation, prehab, patient education)</w:t>
      </w:r>
    </w:p>
    <w:p>
      <w:pPr>
        <w:pStyle w:val="ListParagraph"/>
        <w:numPr>
          <w:ilvl w:val="0"/>
          <w:numId w:val="5"/>
        </w:numPr>
        <w:spacing w:after="60"/>
      </w:pPr>
      <w:r>
        <w:rPr>
          <w:rFonts w:ascii="Arial" w:cs="Arial" w:eastAsia="Arial" w:hAnsi="Arial"/>
          <w:sz w:val="21"/>
          <w:szCs w:val="21"/>
        </w:rPr>
        <w:t xml:space="preserve">Non-operative treatment plan module based on AAOS clinical practice guidelines</w:t>
      </w:r>
    </w:p>
    <w:p>
      <w:pPr>
        <w:pStyle w:val="ListParagraph"/>
        <w:numPr>
          <w:ilvl w:val="0"/>
          <w:numId w:val="5"/>
        </w:numPr>
        <w:spacing w:after="60"/>
      </w:pPr>
      <w:r>
        <w:rPr>
          <w:rFonts w:ascii="Arial" w:cs="Arial" w:eastAsia="Arial" w:hAnsi="Arial"/>
          <w:sz w:val="21"/>
          <w:szCs w:val="21"/>
        </w:rPr>
        <w:t xml:space="preserve">Pre-op workup tracking with auto-generated clearance requirements</w:t>
      </w:r>
    </w:p>
    <w:p>
      <w:pPr>
        <w:spacing w:after="60"/>
      </w:pPr>
    </w:p>
    <w:p>
      <w:pPr>
        <w:spacing w:before="200" w:after="100"/>
      </w:pPr>
      <w:r>
        <w:rPr>
          <w:rFonts w:ascii="Arial" w:cs="Arial" w:eastAsia="Arial" w:hAnsi="Arial"/>
          <w:b/>
          <w:bCs/>
          <w:color w:val="1B4F72"/>
          <w:sz w:val="22"/>
          <w:szCs w:val="22"/>
        </w:rPr>
        <w:t xml:space="preserve">Post-Operative Side</w:t>
      </w:r>
    </w:p>
    <w:p>
      <w:pPr>
        <w:pStyle w:val="ListParagraph"/>
        <w:numPr>
          <w:ilvl w:val="0"/>
          <w:numId w:val="6"/>
        </w:numPr>
        <w:spacing w:after="60"/>
      </w:pPr>
      <w:r>
        <w:rPr>
          <w:rFonts w:ascii="Arial" w:cs="Arial" w:eastAsia="Arial" w:hAnsi="Arial"/>
          <w:sz w:val="21"/>
          <w:szCs w:val="21"/>
        </w:rPr>
        <w:t xml:space="preserve">Patient home check-ins via phone browser — no app, no login, no PHI in URL</w:t>
      </w:r>
    </w:p>
    <w:p>
      <w:pPr>
        <w:pStyle w:val="ListParagraph"/>
        <w:numPr>
          <w:ilvl w:val="0"/>
          <w:numId w:val="6"/>
        </w:numPr>
        <w:spacing w:after="60"/>
      </w:pPr>
      <w:r>
        <w:rPr>
          <w:rFonts w:ascii="Arial" w:cs="Arial" w:eastAsia="Arial" w:hAnsi="Arial"/>
          <w:sz w:val="21"/>
          <w:szCs w:val="21"/>
        </w:rPr>
        <w:t xml:space="preserve">PROM collection scheduling at pre-op, 6-week, 3-month, and 1-year windows</w:t>
      </w:r>
    </w:p>
    <w:p>
      <w:pPr>
        <w:pStyle w:val="ListParagraph"/>
        <w:numPr>
          <w:ilvl w:val="0"/>
          <w:numId w:val="6"/>
        </w:numPr>
        <w:spacing w:after="60"/>
      </w:pPr>
      <w:r>
        <w:rPr>
          <w:rFonts w:ascii="Arial" w:cs="Arial" w:eastAsia="Arial" w:hAnsi="Arial"/>
          <w:sz w:val="21"/>
          <w:szCs w:val="21"/>
        </w:rPr>
        <w:t xml:space="preserve">PROM compliance tracking and reporting dashboard (the monetization wedge)</w:t>
      </w:r>
    </w:p>
    <w:p>
      <w:pPr>
        <w:pStyle w:val="ListParagraph"/>
        <w:numPr>
          <w:ilvl w:val="0"/>
          <w:numId w:val="6"/>
        </w:numPr>
        <w:spacing w:after="60"/>
      </w:pPr>
      <w:r>
        <w:rPr>
          <w:rFonts w:ascii="Arial" w:cs="Arial" w:eastAsia="Arial" w:hAnsi="Arial"/>
          <w:sz w:val="21"/>
          <w:szCs w:val="21"/>
        </w:rPr>
        <w:t xml:space="preserve">Nurse priority queue ranked by clinical urgency</w:t>
      </w:r>
    </w:p>
    <w:p>
      <w:pPr>
        <w:pStyle w:val="ListParagraph"/>
        <w:numPr>
          <w:ilvl w:val="0"/>
          <w:numId w:val="6"/>
        </w:numPr>
        <w:spacing w:after="60"/>
      </w:pPr>
      <w:r>
        <w:rPr>
          <w:rFonts w:ascii="Arial" w:cs="Arial" w:eastAsia="Arial" w:hAnsi="Arial"/>
          <w:sz w:val="21"/>
          <w:szCs w:val="21"/>
        </w:rPr>
        <w:t xml:space="preserve">ER visit and readmission capture for CMS TEAM reporting</w:t>
      </w:r>
    </w:p>
    <w:p>
      <w:pPr>
        <w:pStyle w:val="ListParagraph"/>
        <w:numPr>
          <w:ilvl w:val="0"/>
          <w:numId w:val="6"/>
        </w:numPr>
        <w:spacing w:after="60"/>
      </w:pPr>
      <w:r>
        <w:rPr>
          <w:rFonts w:ascii="Arial" w:cs="Arial" w:eastAsia="Arial" w:hAnsi="Arial"/>
          <w:sz w:val="21"/>
          <w:szCs w:val="21"/>
        </w:rPr>
        <w:t xml:space="preserve">Nursing notes, task management, RPM time tracking for billing</w:t>
      </w:r>
    </w:p>
    <w:p>
      <w:pPr>
        <w:pStyle w:val="ListParagraph"/>
        <w:numPr>
          <w:ilvl w:val="0"/>
          <w:numId w:val="6"/>
        </w:numPr>
        <w:spacing w:after="60"/>
      </w:pPr>
      <w:r>
        <w:rPr>
          <w:rFonts w:ascii="Arial" w:cs="Arial" w:eastAsia="Arial" w:hAnsi="Arial"/>
          <w:sz w:val="21"/>
          <w:szCs w:val="21"/>
        </w:rPr>
        <w:t xml:space="preserve">Episode timeline, PDF export, analytics with surgeon comparison</w:t>
      </w:r>
    </w:p>
    <w:p>
      <w:r>
        <w:br w:type="page"/>
      </w:r>
    </w:p>
    <w:p>
      <w:pPr>
        <w:pStyle w:val="Heading1"/>
        <w:spacing w:before="400" w:after="200"/>
      </w:pPr>
      <w:r>
        <w:rPr>
          <w:rFonts w:ascii="Arial" w:cs="Arial" w:eastAsia="Arial" w:hAnsi="Arial"/>
          <w:b/>
          <w:bCs/>
          <w:color w:val="1B4F72"/>
          <w:sz w:val="32"/>
          <w:szCs w:val="32"/>
        </w:rPr>
        <w:t xml:space="preserve">Section 3: Three Users, Three Experiences</w:t>
      </w:r>
    </w:p>
    <w:p>
      <w:pPr>
        <w:pStyle w:val="Heading2"/>
        <w:spacing w:before="300" w:after="150"/>
      </w:pPr>
      <w:r>
        <w:rPr>
          <w:rFonts w:ascii="Arial" w:cs="Arial" w:eastAsia="Arial" w:hAnsi="Arial"/>
          <w:b/>
          <w:bCs/>
          <w:color w:val="2C3E50"/>
          <w:sz w:val="26"/>
          <w:szCs w:val="26"/>
        </w:rPr>
        <w:t xml:space="preserve">The Surgeon — “Show Me the Story in 30 Seconds”</w:t>
      </w:r>
    </w:p>
    <w:p>
      <w:pPr>
        <w:spacing w:after="120"/>
      </w:pPr>
      <w:r>
        <w:rPr>
          <w:rFonts w:ascii="Arial" w:cs="Arial" w:eastAsia="Arial" w:hAnsi="Arial"/>
          <w:sz w:val="21"/>
          <w:szCs w:val="21"/>
        </w:rPr>
        <w:t xml:space="preserve">Click any patient and a summary card shows everything on one screen: current pain with trend arrow, BMI, joint function score (KOOS Jr or HOOS Jr), projected surgical outcome, risk tier badge (Low/Moderate/High/Very High), visual comorbidity badges for 18+ high-risk conditions, ER visits and readmissions, PROM status.</w:t>
      </w:r>
    </w:p>
    <w:p>
      <w:pPr>
        <w:spacing w:after="120"/>
      </w:pPr>
      <w:r>
        <w:rPr>
          <w:rFonts w:ascii="Arial" w:cs="Arial" w:eastAsia="Arial" w:hAnsi="Arial"/>
          <w:sz w:val="21"/>
          <w:szCs w:val="21"/>
        </w:rPr>
        <w:t xml:space="preserve">One-click buttons to open Pre-Op Assessment, Non-Op Treatment Plan, Surgical Prep, Pain Trend, PROM Trend, and Episode Timeline. Zero data entry for the surgeon.</w:t>
      </w:r>
    </w:p>
    <w:p>
      <w:pPr>
        <w:pStyle w:val="Heading2"/>
        <w:spacing w:before="300" w:after="150"/>
      </w:pPr>
      <w:r>
        <w:rPr>
          <w:rFonts w:ascii="Arial" w:cs="Arial" w:eastAsia="Arial" w:hAnsi="Arial"/>
          <w:b/>
          <w:bCs/>
          <w:color w:val="2C3E50"/>
          <w:sz w:val="26"/>
          <w:szCs w:val="26"/>
        </w:rPr>
        <w:t xml:space="preserve">The Nurse — “What Do I Need to Chase Today?”</w:t>
      </w:r>
    </w:p>
    <w:p>
      <w:pPr>
        <w:spacing w:after="120"/>
      </w:pPr>
      <w:r>
        <w:rPr>
          <w:rFonts w:ascii="Arial" w:cs="Arial" w:eastAsia="Arial" w:hAnsi="Arial"/>
          <w:sz w:val="21"/>
          <w:szCs w:val="21"/>
        </w:rPr>
        <w:t xml:space="preserve">The nurse sees “Today’s Priorities” — a ranked action queue sorted by urgency:</w:t>
      </w:r>
    </w:p>
    <w:p>
      <w:pPr>
        <w:pStyle w:val="ListParagraph"/>
        <w:numPr>
          <w:ilvl w:val="0"/>
          <w:numId w:val="7"/>
        </w:numPr>
        <w:spacing w:after="60"/>
      </w:pPr>
      <w:r>
        <w:rPr>
          <w:rFonts w:ascii="Arial" w:cs="Arial" w:eastAsia="Arial" w:hAnsi="Arial"/>
          <w:b/>
          <w:bCs/>
          <w:sz w:val="21"/>
          <w:szCs w:val="21"/>
        </w:rPr>
        <w:t xml:space="preserve">Red (Critical): </w:t>
      </w:r>
      <w:r>
        <w:rPr>
          <w:rFonts w:ascii="Arial" w:cs="Arial" w:eastAsia="Arial" w:hAnsi="Arial"/>
          <w:sz w:val="21"/>
          <w:szCs w:val="21"/>
        </w:rPr>
        <w:t xml:space="preserve">Readmissions, ER visits, high pain ≥7, incomplete workups with surgery approaching</w:t>
      </w:r>
    </w:p>
    <w:p>
      <w:pPr>
        <w:pStyle w:val="ListParagraph"/>
        <w:numPr>
          <w:ilvl w:val="0"/>
          <w:numId w:val="7"/>
        </w:numPr>
        <w:spacing w:after="60"/>
      </w:pPr>
      <w:r>
        <w:rPr>
          <w:rFonts w:ascii="Arial" w:cs="Arial" w:eastAsia="Arial" w:hAnsi="Arial"/>
          <w:b/>
          <w:bCs/>
          <w:sz w:val="21"/>
          <w:szCs w:val="21"/>
        </w:rPr>
        <w:t xml:space="preserve">Yellow (Warning): </w:t>
      </w:r>
      <w:r>
        <w:rPr>
          <w:rFonts w:ascii="Arial" w:cs="Arial" w:eastAsia="Arial" w:hAnsi="Arial"/>
          <w:sz w:val="21"/>
          <w:szCs w:val="21"/>
        </w:rPr>
        <w:t xml:space="preserve">Check-in overdue &gt;3 days, PROM overdue, workup items pending</w:t>
      </w:r>
    </w:p>
    <w:p>
      <w:pPr>
        <w:pStyle w:val="ListParagraph"/>
        <w:numPr>
          <w:ilvl w:val="0"/>
          <w:numId w:val="7"/>
        </w:numPr>
        <w:spacing w:after="60"/>
      </w:pPr>
      <w:r>
        <w:rPr>
          <w:rFonts w:ascii="Arial" w:cs="Arial" w:eastAsia="Arial" w:hAnsi="Arial"/>
          <w:b/>
          <w:bCs/>
          <w:sz w:val="21"/>
          <w:szCs w:val="21"/>
        </w:rPr>
        <w:t xml:space="preserve">Green (Info): </w:t>
      </w:r>
      <w:r>
        <w:rPr>
          <w:rFonts w:ascii="Arial" w:cs="Arial" w:eastAsia="Arial" w:hAnsi="Arial"/>
          <w:sz w:val="21"/>
          <w:szCs w:val="21"/>
        </w:rPr>
        <w:t xml:space="preserve">Upcoming PROMs due within 14 days, routine follow-ups</w:t>
      </w:r>
    </w:p>
    <w:p>
      <w:pPr>
        <w:spacing w:after="120"/>
      </w:pPr>
      <w:r>
        <w:rPr>
          <w:rFonts w:ascii="Arial" w:cs="Arial" w:eastAsia="Arial" w:hAnsi="Arial"/>
          <w:sz w:val="21"/>
          <w:szCs w:val="21"/>
        </w:rPr>
        <w:t xml:space="preserve">Quick-action buttons: copy check-in link, add nursing note, view patient detail. The nurse does NOT see analytics, decision tools, or prosthesis calculator.</w:t>
      </w:r>
    </w:p>
    <w:p>
      <w:pPr>
        <w:pStyle w:val="Heading2"/>
        <w:spacing w:before="300" w:after="150"/>
      </w:pPr>
      <w:r>
        <w:rPr>
          <w:rFonts w:ascii="Arial" w:cs="Arial" w:eastAsia="Arial" w:hAnsi="Arial"/>
          <w:b/>
          <w:bCs/>
          <w:color w:val="2C3E50"/>
          <w:sz w:val="26"/>
          <w:szCs w:val="26"/>
        </w:rPr>
        <w:t xml:space="preserve">The Admin — “Are We Compliant? Are We Getting Paid?”</w:t>
      </w:r>
    </w:p>
    <w:p>
      <w:pPr>
        <w:spacing w:after="120"/>
      </w:pPr>
      <w:r>
        <w:rPr>
          <w:rFonts w:ascii="Arial" w:cs="Arial" w:eastAsia="Arial" w:hAnsi="Arial"/>
          <w:sz w:val="21"/>
          <w:szCs w:val="21"/>
        </w:rPr>
        <w:t xml:space="preserve">Practice-wide KPIs: PROM compliance rate (the number hospitals pay for), check-in adherence, RPM-eligible patients, per-surgeon compliance comparison bars, RPM billing summary, exportable data for CMS submissions.</w:t>
      </w:r>
    </w:p>
    <w:p>
      <w:r>
        <w:br w:type="page"/>
      </w:r>
    </w:p>
    <w:p>
      <w:pPr>
        <w:pStyle w:val="Heading1"/>
        <w:spacing w:before="400" w:after="200"/>
      </w:pPr>
      <w:r>
        <w:rPr>
          <w:rFonts w:ascii="Arial" w:cs="Arial" w:eastAsia="Arial" w:hAnsi="Arial"/>
          <w:b/>
          <w:bCs/>
          <w:color w:val="1B4F72"/>
          <w:sz w:val="32"/>
          <w:szCs w:val="32"/>
        </w:rPr>
        <w:t xml:space="preserve">Section 4: Detailed Feature Inventory</w:t>
      </w:r>
    </w:p>
    <w:p>
      <w:pPr>
        <w:pStyle w:val="Heading2"/>
        <w:spacing w:before="300" w:after="150"/>
      </w:pPr>
      <w:r>
        <w:rPr>
          <w:rFonts w:ascii="Arial" w:cs="Arial" w:eastAsia="Arial" w:hAnsi="Arial"/>
          <w:b/>
          <w:bCs/>
          <w:color w:val="2C3E50"/>
          <w:sz w:val="26"/>
          <w:szCs w:val="26"/>
        </w:rPr>
        <w:t xml:space="preserve">Patient Intake</w:t>
      </w:r>
    </w:p>
    <w:p>
      <w:pPr>
        <w:spacing w:after="120"/>
      </w:pPr>
      <w:r>
        <w:rPr>
          <w:rFonts w:ascii="Arial" w:cs="Arial" w:eastAsia="Arial" w:hAnsi="Arial"/>
          <w:sz w:val="21"/>
          <w:szCs w:val="21"/>
        </w:rPr>
        <w:t xml:space="preserve">Full-screen, one-question-at-a-time interface designed for elderly patients. Large fonts, no scrolling, no complex forms.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Instrument</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KOOS Jr (7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Knee function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HSS Rasch conversion, 0-100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HOOS Jr (6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Hip function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HSS Rasch conversion, 0-100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PROMIS-10 (10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health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 Mental Health T-scores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PHQ-2 (2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Depression screen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≥3 flags for follow-up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GAD-2 (2 questions)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Anxiety screen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≥3 flags for follow-up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STOP-BANG (8 items)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 apnea screen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intermediate, ≥5 high 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Height, weight, home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BMI auto-calculated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Nutrition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Diet, GLP-1 meds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GLP-1 flagged for surgical hold</w:t>
            </w:r>
          </w:p>
        </w:tc>
      </w:tr>
    </w:tbl>
    <w:p>
      <w:pPr>
        <w:spacing w:after="60"/>
      </w:pPr>
    </w:p>
    <w:p>
      <w:pPr>
        <w:pStyle w:val="Heading2"/>
        <w:spacing w:before="300" w:after="150"/>
      </w:pPr>
      <w:r>
        <w:rPr>
          <w:rFonts w:ascii="Arial" w:cs="Arial" w:eastAsia="Arial" w:hAnsi="Arial"/>
          <w:b/>
          <w:bCs/>
          <w:color w:val="2C3E50"/>
          <w:sz w:val="26"/>
          <w:szCs w:val="26"/>
        </w:rPr>
        <w:t xml:space="preserve">Comorbidity Assessment (19 Categories)</w:t>
      </w:r>
    </w:p>
    <w:p>
      <w:pPr>
        <w:spacing w:after="120"/>
      </w:pPr>
      <w:r>
        <w:rPr>
          <w:rFonts w:ascii="Arial" w:cs="Arial" w:eastAsia="Arial" w:hAnsi="Arial"/>
          <w:sz w:val="21"/>
          <w:szCs w:val="21"/>
        </w:rPr>
        <w:t xml:space="preserve">Each comorbidity has: ICD-10 code, HCC code, evidence-based outcome reduction (1-3 points), workup requirements. Auto-populated from intake where possible.</w:t>
      </w:r>
    </w:p>
    <w:p>
      <w:pPr>
        <w:spacing w:after="120"/>
      </w:pPr>
      <w:r>
        <w:rPr>
          <w:rFonts w:ascii="Arial" w:cs="Arial" w:eastAsia="Arial" w:hAnsi="Arial"/>
          <w:sz w:val="21"/>
          <w:szCs w:val="21"/>
        </w:rPr>
        <w:t xml:space="preserve">Categories: CHF, CAD, Afib (Cardiovascular group), Diabetes, CKD, COPD, Liver disease, Depression, Anxiety, Chronic opioid use, Morbid obesity, Active smoking, Anemia, Rheumatoid arthritis, Anticoagulant use, Low back pain, Sleep apnea, Dental problems, Urinary issues. Plus free-text “Other” field.</w:t>
      </w:r>
    </w:p>
    <w:p>
      <w:pPr>
        <w:spacing w:after="60"/>
      </w:pPr>
    </w:p>
    <w:p>
      <w:pPr>
        <w:pStyle w:val="Heading2"/>
        <w:spacing w:before="300" w:after="150"/>
      </w:pPr>
      <w:r>
        <w:rPr>
          <w:rFonts w:ascii="Arial" w:cs="Arial" w:eastAsia="Arial" w:hAnsi="Arial"/>
          <w:b/>
          <w:bCs/>
          <w:color w:val="2C3E50"/>
          <w:sz w:val="26"/>
          <w:szCs w:val="26"/>
        </w:rPr>
        <w:t xml:space="preserve">Clinical Decision Tool</w:t>
      </w:r>
    </w:p>
    <w:p>
      <w:pPr>
        <w:spacing w:after="120"/>
      </w:pPr>
      <w:r>
        <w:rPr>
          <w:rFonts w:ascii="Arial" w:cs="Arial" w:eastAsia="Arial" w:hAnsi="Arial"/>
          <w:sz w:val="21"/>
          <w:szCs w:val="21"/>
        </w:rPr>
        <w:t xml:space="preserve">Target-based outcome prediction:</w:t>
      </w:r>
    </w:p>
    <w:p>
      <w:pPr>
        <w:pStyle w:val="ListParagraph"/>
        <w:numPr>
          <w:ilvl w:val="0"/>
          <w:numId w:val="8"/>
        </w:numPr>
        <w:spacing w:after="60"/>
      </w:pPr>
      <w:r>
        <w:rPr>
          <w:rFonts w:ascii="Arial" w:cs="Arial" w:eastAsia="Arial" w:hAnsi="Arial"/>
          <w:b/>
          <w:bCs/>
          <w:sz w:val="21"/>
          <w:szCs w:val="21"/>
        </w:rPr>
        <w:t xml:space="preserve">TKA target: </w:t>
      </w:r>
      <w:r>
        <w:rPr>
          <w:rFonts w:ascii="Arial" w:cs="Arial" w:eastAsia="Arial" w:hAnsi="Arial"/>
          <w:sz w:val="21"/>
          <w:szCs w:val="21"/>
        </w:rPr>
        <w:t xml:space="preserve">77 KOOS Jr  |  THA target: 81 HOOS Jr</w:t>
      </w:r>
    </w:p>
    <w:p>
      <w:pPr>
        <w:pStyle w:val="ListParagraph"/>
        <w:numPr>
          <w:ilvl w:val="0"/>
          <w:numId w:val="8"/>
        </w:numPr>
        <w:spacing w:after="60"/>
      </w:pPr>
      <w:r>
        <w:rPr>
          <w:rFonts w:ascii="Arial" w:cs="Arial" w:eastAsia="Arial" w:hAnsi="Arial"/>
          <w:b/>
          <w:bCs/>
          <w:sz w:val="21"/>
          <w:szCs w:val="21"/>
        </w:rPr>
        <w:t xml:space="preserve">SCB (Substantial Clinical Benefit): </w:t>
      </w:r>
      <w:r>
        <w:rPr>
          <w:rFonts w:ascii="Arial" w:cs="Arial" w:eastAsia="Arial" w:hAnsi="Arial"/>
          <w:sz w:val="21"/>
          <w:szCs w:val="21"/>
        </w:rPr>
        <w:t xml:space="preserve">≥20 point improvement KOOS Jr, ≥22 HOOS Jr</w:t>
      </w:r>
    </w:p>
    <w:p>
      <w:pPr>
        <w:pStyle w:val="ListParagraph"/>
        <w:numPr>
          <w:ilvl w:val="0"/>
          <w:numId w:val="8"/>
        </w:numPr>
        <w:spacing w:after="60"/>
      </w:pPr>
      <w:r>
        <w:rPr>
          <w:rFonts w:ascii="Arial" w:cs="Arial" w:eastAsia="Arial" w:hAnsi="Arial"/>
          <w:b/>
          <w:bCs/>
          <w:sz w:val="21"/>
          <w:szCs w:val="21"/>
        </w:rPr>
        <w:t xml:space="preserve">PASS (Patient-Acceptable Symptom State): </w:t>
      </w:r>
      <w:r>
        <w:rPr>
          <w:rFonts w:ascii="Arial" w:cs="Arial" w:eastAsia="Arial" w:hAnsi="Arial"/>
          <w:sz w:val="21"/>
          <w:szCs w:val="21"/>
        </w:rPr>
        <w:t xml:space="preserve">71 KOOS Jr, 81 HOOS Jr</w:t>
      </w:r>
    </w:p>
    <w:p>
      <w:pPr>
        <w:pStyle w:val="ListParagraph"/>
        <w:numPr>
          <w:ilvl w:val="0"/>
          <w:numId w:val="8"/>
        </w:numPr>
        <w:spacing w:after="60"/>
      </w:pPr>
      <w:r>
        <w:rPr>
          <w:rFonts w:ascii="Arial" w:cs="Arial" w:eastAsia="Arial" w:hAnsi="Arial"/>
          <w:sz w:val="21"/>
          <w:szCs w:val="21"/>
        </w:rPr>
        <w:t xml:space="preserve">Predicted post-op = Target minus comorbidity reductions (1-3 points each)</w:t>
      </w:r>
    </w:p>
    <w:p>
      <w:pPr>
        <w:pStyle w:val="ListParagraph"/>
        <w:numPr>
          <w:ilvl w:val="0"/>
          <w:numId w:val="8"/>
        </w:numPr>
        <w:spacing w:after="60"/>
      </w:pPr>
      <w:r>
        <w:rPr>
          <w:rFonts w:ascii="Arial" w:cs="Arial" w:eastAsia="Arial" w:hAnsi="Arial"/>
          <w:sz w:val="21"/>
          <w:szCs w:val="21"/>
        </w:rPr>
        <w:t xml:space="preserve">Risk tier, SCB probability, PASS probability displayed</w:t>
      </w:r>
    </w:p>
    <w:p>
      <w:pPr>
        <w:pStyle w:val="ListParagraph"/>
        <w:numPr>
          <w:ilvl w:val="0"/>
          <w:numId w:val="8"/>
        </w:numPr>
        <w:spacing w:after="60"/>
      </w:pPr>
      <w:r>
        <w:rPr>
          <w:rFonts w:ascii="Arial" w:cs="Arial" w:eastAsia="Arial" w:hAnsi="Arial"/>
          <w:sz w:val="21"/>
          <w:szCs w:val="21"/>
        </w:rPr>
        <w:t xml:space="preserve">Surgeon justification field feeds directly into precertification letter</w:t>
      </w:r>
    </w:p>
    <w:p>
      <w:pPr>
        <w:spacing w:after="60"/>
      </w:pPr>
    </w:p>
    <w:p>
      <w:pPr>
        <w:pStyle w:val="Heading2"/>
        <w:spacing w:before="300" w:after="150"/>
      </w:pPr>
      <w:r>
        <w:rPr>
          <w:rFonts w:ascii="Arial" w:cs="Arial" w:eastAsia="Arial" w:hAnsi="Arial"/>
          <w:b/>
          <w:bCs/>
          <w:color w:val="2C3E50"/>
          <w:sz w:val="26"/>
          <w:szCs w:val="26"/>
        </w:rPr>
        <w:t xml:space="preserve">10-Tab Surgical Preparation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History &amp; 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Diagnosis, surgical history, prior treatments, allergies, medications, full X-ray assessment modal (knee vs hip auto-switches)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Prosthesis Calculator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decision logic for implant selection: fixation, bearing type, constraint, stems. Full rationale. Knee and hip 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Equipment List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OR supply list from prosthesis recommendation. Printable.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Precertification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letter of medical necessity with CPT/ICD-10, x-ray findings, conservative care, PROM scores, surgeon 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Patient Contract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responsibilities, survey commitment, emergency contacts, signature capture. Printable.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Informed Consent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Procedure-specific risks, readmission/mortality data auto-populated, signature fields. Printable.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Insurance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 type, quality programs auto-selected, prior auth tracking with status badges.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Post-Op Disposition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Surgical setting score (ASC vs HOPD vs Inpatient) + discharge destination recommendation.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Prehab/Prep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pre-op plan from comorbidity profile: labs, meds, exercise, nutrition. Printable handout.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Patient Education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 care, nutrition, supplements, exercises (knee vs hip), medication stop/continue lists, home prep. Printable.</w:t>
            </w:r>
          </w:p>
        </w:tc>
      </w:tr>
    </w:tbl>
    <w:p>
      <w:pPr>
        <w:spacing w:after="60"/>
      </w:pPr>
    </w:p>
    <w:p>
      <w:pPr>
        <w:pStyle w:val="Heading2"/>
        <w:spacing w:before="300" w:after="150"/>
      </w:pPr>
      <w:r>
        <w:rPr>
          <w:rFonts w:ascii="Arial" w:cs="Arial" w:eastAsia="Arial" w:hAnsi="Arial"/>
          <w:b/>
          <w:bCs/>
          <w:color w:val="2C3E50"/>
          <w:sz w:val="26"/>
          <w:szCs w:val="26"/>
        </w:rPr>
        <w:t xml:space="preserve">Non-Operative Treatment Plan</w:t>
      </w:r>
    </w:p>
    <w:p>
      <w:pPr>
        <w:spacing w:after="120"/>
      </w:pPr>
      <w:r>
        <w:rPr>
          <w:rFonts w:ascii="Arial" w:cs="Arial" w:eastAsia="Arial" w:hAnsi="Arial"/>
          <w:sz w:val="21"/>
          <w:szCs w:val="21"/>
        </w:rPr>
        <w:t xml:space="preserve">Standalone module for patients not having surgery. Based on AAOS Clinical Practice Guidelines for knee OA (3rd Edition, 2021) and hip OA (2nd Edition, 2023). Toggle between knee and hip — content auto-adjusts. Every treatment shows AAOS evidence strength badge (Strong, Moderate, Limited, Consensus, Not Recommended, Not Covered by Insurance).</w:t>
      </w:r>
    </w:p>
    <w:p>
      <w:pPr>
        <w:spacing w:after="120"/>
      </w:pPr>
      <w:r>
        <w:rPr>
          <w:rFonts w:ascii="Arial" w:cs="Arial" w:eastAsia="Arial" w:hAnsi="Arial"/>
          <w:sz w:val="21"/>
          <w:szCs w:val="21"/>
        </w:rPr>
        <w:t xml:space="preserve">Covers: weight management, PT/exercise, medications (oral and topical NSAIDs, acetaminophen, opioids flagged NOT RECOMMENDED), bracing, corticosteroid injections with injection history tracker, hyaluronic acid, PRP (with insurance disclaimer and cost), stem cell/orthobiologics (with FDA status and cost), acupuncture, aquatic therapy, supplements. Printable patient handout.</w:t>
      </w:r>
    </w:p>
    <w:p>
      <w:pPr>
        <w:spacing w:after="60"/>
      </w:pPr>
    </w:p>
    <w:p>
      <w:pPr>
        <w:pStyle w:val="Heading2"/>
        <w:spacing w:before="300" w:after="150"/>
      </w:pPr>
      <w:r>
        <w:rPr>
          <w:rFonts w:ascii="Arial" w:cs="Arial" w:eastAsia="Arial" w:hAnsi="Arial"/>
          <w:b/>
          <w:bCs/>
          <w:color w:val="2C3E50"/>
          <w:sz w:val="26"/>
          <w:szCs w:val="26"/>
        </w:rPr>
        <w:t xml:space="preserve">Patient Home Check-Ins</w:t>
      </w:r>
    </w:p>
    <w:p>
      <w:pPr>
        <w:spacing w:after="120"/>
      </w:pPr>
      <w:r>
        <w:rPr>
          <w:rFonts w:ascii="Arial" w:cs="Arial" w:eastAsia="Arial" w:hAnsi="Arial"/>
          <w:sz w:val="21"/>
          <w:szCs w:val="21"/>
        </w:rPr>
        <w:t xml:space="preserve">Patient receives a link via text or email. No app download, no login, no PHI in the URL. Full-screen, one question at a time:</w:t>
      </w:r>
    </w:p>
    <w:p>
      <w:pPr>
        <w:pStyle w:val="ListParagraph"/>
        <w:numPr>
          <w:ilvl w:val="0"/>
          <w:numId w:val="9"/>
        </w:numPr>
        <w:spacing w:after="60"/>
      </w:pPr>
      <w:r>
        <w:rPr>
          <w:rFonts w:ascii="Arial" w:cs="Arial" w:eastAsia="Arial" w:hAnsi="Arial"/>
          <w:sz w:val="21"/>
          <w:szCs w:val="21"/>
        </w:rPr>
        <w:t xml:space="preserve">Pain level (0-10 slider with color gradient and emoji faces)</w:t>
      </w:r>
    </w:p>
    <w:p>
      <w:pPr>
        <w:pStyle w:val="ListParagraph"/>
        <w:numPr>
          <w:ilvl w:val="0"/>
          <w:numId w:val="9"/>
        </w:numPr>
        <w:spacing w:after="60"/>
      </w:pPr>
      <w:r>
        <w:rPr>
          <w:rFonts w:ascii="Arial" w:cs="Arial" w:eastAsia="Arial" w:hAnsi="Arial"/>
          <w:sz w:val="21"/>
          <w:szCs w:val="21"/>
        </w:rPr>
        <w:t xml:space="preserve">PT exercise compliance</w:t>
      </w:r>
    </w:p>
    <w:p>
      <w:pPr>
        <w:pStyle w:val="ListParagraph"/>
        <w:numPr>
          <w:ilvl w:val="0"/>
          <w:numId w:val="9"/>
        </w:numPr>
        <w:spacing w:after="60"/>
      </w:pPr>
      <w:r>
        <w:rPr>
          <w:rFonts w:ascii="Arial" w:cs="Arial" w:eastAsia="Arial" w:hAnsi="Arial"/>
          <w:sz w:val="21"/>
          <w:szCs w:val="21"/>
        </w:rPr>
        <w:t xml:space="preserve">Swelling assessment</w:t>
      </w:r>
    </w:p>
    <w:p>
      <w:pPr>
        <w:pStyle w:val="ListParagraph"/>
        <w:numPr>
          <w:ilvl w:val="0"/>
          <w:numId w:val="9"/>
        </w:numPr>
        <w:spacing w:after="60"/>
      </w:pPr>
      <w:r>
        <w:rPr>
          <w:rFonts w:ascii="Arial" w:cs="Arial" w:eastAsia="Arial" w:hAnsi="Arial"/>
          <w:sz w:val="21"/>
          <w:szCs w:val="21"/>
        </w:rPr>
        <w:t xml:space="preserve">ROM measurement (drag cartoon leg, independent flexion/extension peak tracking)</w:t>
      </w:r>
    </w:p>
    <w:p>
      <w:pPr>
        <w:pStyle w:val="ListParagraph"/>
        <w:numPr>
          <w:ilvl w:val="0"/>
          <w:numId w:val="9"/>
        </w:numPr>
        <w:spacing w:after="60"/>
      </w:pPr>
      <w:r>
        <w:rPr>
          <w:rFonts w:ascii="Arial" w:cs="Arial" w:eastAsia="Arial" w:hAnsi="Arial"/>
          <w:sz w:val="21"/>
          <w:szCs w:val="21"/>
        </w:rPr>
        <w:t xml:space="preserve">Warning signs (chest pain, breathing difficulty, calf swelling, fever, wound drainage)</w:t>
      </w:r>
    </w:p>
    <w:p>
      <w:pPr>
        <w:pStyle w:val="ListParagraph"/>
        <w:numPr>
          <w:ilvl w:val="0"/>
          <w:numId w:val="9"/>
        </w:numPr>
        <w:spacing w:after="60"/>
      </w:pPr>
      <w:r>
        <w:rPr>
          <w:rFonts w:ascii="Arial" w:cs="Arial" w:eastAsia="Arial" w:hAnsi="Arial"/>
          <w:sz w:val="21"/>
          <w:szCs w:val="21"/>
        </w:rPr>
        <w:t xml:space="preserve">ER visit / readmission capture (critical for CMS TEAM)</w:t>
      </w:r>
    </w:p>
    <w:p>
      <w:pPr>
        <w:pStyle w:val="ListParagraph"/>
        <w:numPr>
          <w:ilvl w:val="0"/>
          <w:numId w:val="9"/>
        </w:numPr>
        <w:spacing w:after="60"/>
      </w:pPr>
      <w:r>
        <w:rPr>
          <w:rFonts w:ascii="Arial" w:cs="Arial" w:eastAsia="Arial" w:hAnsi="Arial"/>
          <w:sz w:val="21"/>
          <w:szCs w:val="21"/>
        </w:rPr>
        <w:t xml:space="preserve">Medication compliance and free-text concerns</w:t>
      </w:r>
    </w:p>
    <w:p>
      <w:pPr>
        <w:pStyle w:val="ListParagraph"/>
        <w:numPr>
          <w:ilvl w:val="0"/>
          <w:numId w:val="9"/>
        </w:numPr>
        <w:spacing w:after="60"/>
      </w:pPr>
      <w:r>
        <w:rPr>
          <w:rFonts w:ascii="Arial" w:cs="Arial" w:eastAsia="Arial" w:hAnsi="Arial"/>
          <w:sz w:val="21"/>
          <w:szCs w:val="21"/>
        </w:rPr>
        <w:t xml:space="preserve">Progress chart showing their pain trend over time</w:t>
      </w:r>
    </w:p>
    <w:p>
      <w:pPr>
        <w:spacing w:after="60"/>
      </w:pPr>
    </w:p>
    <w:p>
      <w:pPr>
        <w:pStyle w:val="Heading2"/>
        <w:spacing w:before="300" w:after="150"/>
      </w:pPr>
      <w:r>
        <w:rPr>
          <w:rFonts w:ascii="Arial" w:cs="Arial" w:eastAsia="Arial" w:hAnsi="Arial"/>
          <w:b/>
          <w:bCs/>
          <w:color w:val="2C3E50"/>
          <w:sz w:val="26"/>
          <w:szCs w:val="26"/>
        </w:rPr>
        <w:t xml:space="preserve">Printable Documents Generated by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Education Packet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to patient at pre-op visit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Prehab Plan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Personalized pre-op preparation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Equipment/Supply List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 to OR staff for case setup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Precertification Letter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to insurance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Contract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signature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Informed Consent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signature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Path Infographic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decision-making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Surgery Safety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discussion with patient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Pre-op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Non-Op Treatment Plan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handout for conservative care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visit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Episode PDF Summary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referrals, audits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Anytime</w:t>
            </w:r>
          </w:p>
        </w:tc>
      </w:tr>
    </w:tbl>
    <w:p>
      <w:r>
        <w:br w:type="page"/>
      </w:r>
    </w:p>
    <w:p>
      <w:pPr>
        <w:pStyle w:val="Heading1"/>
        <w:spacing w:before="400" w:after="200"/>
      </w:pPr>
      <w:r>
        <w:rPr>
          <w:rFonts w:ascii="Arial" w:cs="Arial" w:eastAsia="Arial" w:hAnsi="Arial"/>
          <w:b/>
          <w:bCs/>
          <w:color w:val="1B4F72"/>
          <w:sz w:val="32"/>
          <w:szCs w:val="32"/>
        </w:rPr>
        <w:t xml:space="preserve">Section 5: Technical Architecture</w:t>
      </w:r>
    </w:p>
    <w:p>
      <w:pPr>
        <w:pStyle w:val="Heading2"/>
        <w:spacing w:before="300" w:after="150"/>
      </w:pPr>
      <w:r>
        <w:rPr>
          <w:rFonts w:ascii="Arial" w:cs="Arial" w:eastAsia="Arial" w:hAnsi="Arial"/>
          <w:b/>
          <w:bCs/>
          <w:color w:val="2C3E50"/>
          <w:sz w:val="26"/>
          <w:szCs w:val="26"/>
        </w:rPr>
        <w:t xml:space="preserve">HIPAA Compliance — Near Zero Cloud Liability</w:t>
      </w:r>
    </w:p>
    <w:p>
      <w:pPr>
        <w:spacing w:after="120"/>
      </w:pPr>
      <w:r>
        <w:rPr>
          <w:rFonts w:ascii="Arial" w:cs="Arial" w:eastAsia="Arial" w:hAnsi="Arial"/>
          <w:b/>
          <w:bCs/>
          <w:sz w:val="21"/>
          <w:szCs w:val="21"/>
        </w:rPr>
        <w:t xml:space="preserve">Clinic NUC: </w:t>
      </w:r>
      <w:r>
        <w:rPr>
          <w:rFonts w:ascii="Arial" w:cs="Arial" w:eastAsia="Arial" w:hAnsi="Arial"/>
          <w:sz w:val="21"/>
          <w:szCs w:val="21"/>
        </w:rPr>
        <w:t xml:space="preserve">Intel NUC mini PC (~$400) runs the main application. ALL patient data (PHI) stays on this local machine. Staff access via browser on clinic network.</w:t>
      </w:r>
    </w:p>
    <w:p>
      <w:pPr>
        <w:spacing w:after="120"/>
      </w:pPr>
      <w:r>
        <w:rPr>
          <w:rFonts w:ascii="Arial" w:cs="Arial" w:eastAsia="Arial" w:hAnsi="Arial"/>
          <w:b/>
          <w:bCs/>
          <w:sz w:val="21"/>
          <w:szCs w:val="21"/>
        </w:rPr>
        <w:t xml:space="preserve">Cloud Relay: </w:t>
      </w:r>
      <w:r>
        <w:rPr>
          <w:rFonts w:ascii="Arial" w:cs="Arial" w:eastAsia="Arial" w:hAnsi="Arial"/>
          <w:sz w:val="21"/>
          <w:szCs w:val="21"/>
        </w:rPr>
        <w:t xml:space="preserve">ONLY handles patient home check-ins. ONLY stores: random token + pain number + PT boolean + ROM degrees. NO names, NO dates of birth, NO medical record numbers. Auto-deletes within 24 hours.</w:t>
      </w:r>
    </w:p>
    <w:p>
      <w:pPr>
        <w:spacing w:after="120"/>
      </w:pPr>
      <w:r>
        <w:rPr>
          <w:rFonts w:ascii="Arial" w:cs="Arial" w:eastAsia="Arial" w:hAnsi="Arial"/>
          <w:b/>
          <w:bCs/>
          <w:sz w:val="21"/>
          <w:szCs w:val="21"/>
        </w:rPr>
        <w:t xml:space="preserve">Result: </w:t>
      </w:r>
      <w:r>
        <w:rPr>
          <w:rFonts w:ascii="Arial" w:cs="Arial" w:eastAsia="Arial" w:hAnsi="Arial"/>
          <w:sz w:val="21"/>
          <w:szCs w:val="21"/>
        </w:rPr>
        <w:t xml:space="preserve">Even if the cloud server were completely compromised, an attacker would get random tokens and numbers. No way to identify any patient. More secure than cloud-first platforms.</w:t>
      </w:r>
    </w:p>
    <w:p>
      <w:pPr>
        <w:spacing w:after="60"/>
      </w:pPr>
    </w:p>
    <w:p>
      <w:pPr>
        <w:pStyle w:val="Heading2"/>
        <w:spacing w:before="300" w:after="150"/>
      </w:pPr>
      <w:r>
        <w:rPr>
          <w:rFonts w:ascii="Arial" w:cs="Arial" w:eastAsia="Arial" w:hAnsi="Arial"/>
          <w:b/>
          <w:bCs/>
          <w:color w:val="2C3E50"/>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 Express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(better-sqlite3) — single file, no DB server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Plain HTML/CSS/JavaScript — no React, no build step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Render.com free tier (relay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 NUC or any mini PC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one-time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lines across 8 main 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Startup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SRO-Start.bat on desktop</w:t>
            </w:r>
          </w:p>
        </w:tc>
      </w:tr>
    </w:tbl>
    <w:p>
      <w:r>
        <w:br w:type="page"/>
      </w:r>
    </w:p>
    <w:p>
      <w:pPr>
        <w:pStyle w:val="Heading1"/>
        <w:spacing w:before="400" w:after="200"/>
      </w:pPr>
      <w:r>
        <w:rPr>
          <w:rFonts w:ascii="Arial" w:cs="Arial" w:eastAsia="Arial" w:hAnsi="Arial"/>
          <w:b/>
          <w:bCs/>
          <w:color w:val="1B4F72"/>
          <w:sz w:val="32"/>
          <w:szCs w:val="32"/>
        </w:rPr>
        <w:t xml:space="preserve">Section 6: Competitive Landscape</w:t>
      </w:r>
    </w:p>
    <w:p>
      <w:pPr>
        <w:pStyle w:val="Heading2"/>
        <w:spacing w:before="300" w:after="150"/>
      </w:pPr>
      <w:r>
        <w:rPr>
          <w:rFonts w:ascii="Arial" w:cs="Arial" w:eastAsia="Arial" w:hAnsi="Arial"/>
          <w:b/>
          <w:bCs/>
          <w:color w:val="2C3E50"/>
          <w:sz w:val="26"/>
          <w:szCs w:val="26"/>
        </w:rPr>
        <w:t xml:space="preserve">The Key Insight: Nobody Does Both Sides</w:t>
      </w:r>
    </w:p>
    <w:p>
      <w:pPr>
        <w:spacing w:after="120"/>
      </w:pPr>
      <w:r>
        <w:rPr>
          <w:rFonts w:ascii="Arial" w:cs="Arial" w:eastAsia="Arial" w:hAnsi="Arial"/>
          <w:sz w:val="21"/>
          <w:szCs w:val="21"/>
        </w:rPr>
        <w:t xml:space="preserve">The market is fragmented into silos. No single product covers the full surgical episode the way SRO does. Every competitor addresses one slice.</w:t>
      </w:r>
    </w:p>
    <w:p>
      <w:pPr>
        <w:pStyle w:val="Heading2"/>
        <w:spacing w:before="300" w:after="150"/>
      </w:pPr>
      <w:r>
        <w:rPr>
          <w:rFonts w:ascii="Arial" w:cs="Arial" w:eastAsia="Arial" w:hAnsi="Arial"/>
          <w:b/>
          <w:bCs/>
          <w:color w:val="2C3E50"/>
          <w:sz w:val="26"/>
          <w:szCs w:val="26"/>
        </w:rPr>
        <w:t xml:space="preserve">Closest Competitor: Force Therapeutics</w:t>
      </w:r>
    </w:p>
    <w:p>
      <w:pPr>
        <w:spacing w:after="120"/>
      </w:pPr>
      <w:r>
        <w:rPr>
          <w:rFonts w:ascii="Arial" w:cs="Arial" w:eastAsia="Arial" w:hAnsi="Arial"/>
          <w:sz w:val="21"/>
          <w:szCs w:val="21"/>
        </w:rPr>
        <w:t xml:space="preserve">Force is a digital care management platform focused on surgical episodes. Strong on the POST-OPERATIVE side: PROM collection, patient education (video-based), care pathway automation, risk stratification, nurse navigator workflows, CMS compliance, bidirectional messaging, wound image uploads, RTM billing, AJRR registry submission, EHR integration (Epic, Cerner). Used by Northwell, Geisinger, Scripps, Vanderbilt, Hartford HealthCare. 165+ publications. Claims 89% patient opt-in.</w:t>
      </w:r>
    </w:p>
    <w:p>
      <w:pPr>
        <w:spacing w:after="60"/>
      </w:pPr>
    </w:p>
    <w:p>
      <w:pPr>
        <w:spacing w:before="200" w:after="100"/>
      </w:pPr>
      <w:r>
        <w:rPr>
          <w:rFonts w:ascii="Arial" w:cs="Arial" w:eastAsia="Arial" w:hAnsi="Arial"/>
          <w:b/>
          <w:bCs/>
          <w:color w:val="1B4F72"/>
          <w:sz w:val="22"/>
          <w:szCs w:val="22"/>
        </w:rPr>
        <w:t xml:space="preserve">What Force Does NOT Do (and SRO Does)</w:t>
      </w:r>
    </w:p>
    <w:p>
      <w:pPr>
        <w:pStyle w:val="ListParagraph"/>
        <w:numPr>
          <w:ilvl w:val="0"/>
          <w:numId w:val="2"/>
        </w:numPr>
        <w:spacing w:after="60"/>
      </w:pPr>
      <w:r>
        <w:rPr>
          <w:rFonts w:ascii="Arial" w:cs="Arial" w:eastAsia="Arial" w:hAnsi="Arial"/>
          <w:sz w:val="21"/>
          <w:szCs w:val="21"/>
        </w:rPr>
        <w:t xml:space="preserve">No prosthesis calculator with clinical decision logic</w:t>
      </w:r>
    </w:p>
    <w:p>
      <w:pPr>
        <w:pStyle w:val="ListParagraph"/>
        <w:numPr>
          <w:ilvl w:val="0"/>
          <w:numId w:val="2"/>
        </w:numPr>
        <w:spacing w:after="60"/>
      </w:pPr>
      <w:r>
        <w:rPr>
          <w:rFonts w:ascii="Arial" w:cs="Arial" w:eastAsia="Arial" w:hAnsi="Arial"/>
          <w:sz w:val="21"/>
          <w:szCs w:val="21"/>
        </w:rPr>
        <w:t xml:space="preserve">No x-ray assessment documentation</w:t>
      </w:r>
    </w:p>
    <w:p>
      <w:pPr>
        <w:pStyle w:val="ListParagraph"/>
        <w:numPr>
          <w:ilvl w:val="0"/>
          <w:numId w:val="2"/>
        </w:numPr>
        <w:spacing w:after="60"/>
      </w:pPr>
      <w:r>
        <w:rPr>
          <w:rFonts w:ascii="Arial" w:cs="Arial" w:eastAsia="Arial" w:hAnsi="Arial"/>
          <w:sz w:val="21"/>
          <w:szCs w:val="21"/>
        </w:rPr>
        <w:t xml:space="preserve">No auto-generated equipment/supply lists</w:t>
      </w:r>
    </w:p>
    <w:p>
      <w:pPr>
        <w:pStyle w:val="ListParagraph"/>
        <w:numPr>
          <w:ilvl w:val="0"/>
          <w:numId w:val="2"/>
        </w:numPr>
        <w:spacing w:after="60"/>
      </w:pPr>
      <w:r>
        <w:rPr>
          <w:rFonts w:ascii="Arial" w:cs="Arial" w:eastAsia="Arial" w:hAnsi="Arial"/>
          <w:sz w:val="21"/>
          <w:szCs w:val="21"/>
        </w:rPr>
        <w:t xml:space="preserve">No precertification letter generation</w:t>
      </w:r>
    </w:p>
    <w:p>
      <w:pPr>
        <w:pStyle w:val="ListParagraph"/>
        <w:numPr>
          <w:ilvl w:val="0"/>
          <w:numId w:val="2"/>
        </w:numPr>
        <w:spacing w:after="60"/>
      </w:pPr>
      <w:r>
        <w:rPr>
          <w:rFonts w:ascii="Arial" w:cs="Arial" w:eastAsia="Arial" w:hAnsi="Arial"/>
          <w:sz w:val="21"/>
          <w:szCs w:val="21"/>
        </w:rPr>
        <w:t xml:space="preserve">No comorbidity-based outcome prediction</w:t>
      </w:r>
    </w:p>
    <w:p>
      <w:pPr>
        <w:pStyle w:val="ListParagraph"/>
        <w:numPr>
          <w:ilvl w:val="0"/>
          <w:numId w:val="2"/>
        </w:numPr>
        <w:spacing w:after="60"/>
      </w:pPr>
      <w:r>
        <w:rPr>
          <w:rFonts w:ascii="Arial" w:cs="Arial" w:eastAsia="Arial" w:hAnsi="Arial"/>
          <w:sz w:val="21"/>
          <w:szCs w:val="21"/>
        </w:rPr>
        <w:t xml:space="preserve">No shared decision infographic with score trajectory</w:t>
      </w:r>
    </w:p>
    <w:p>
      <w:pPr>
        <w:pStyle w:val="ListParagraph"/>
        <w:numPr>
          <w:ilvl w:val="0"/>
          <w:numId w:val="2"/>
        </w:numPr>
        <w:spacing w:after="60"/>
      </w:pPr>
      <w:r>
        <w:rPr>
          <w:rFonts w:ascii="Arial" w:cs="Arial" w:eastAsia="Arial" w:hAnsi="Arial"/>
          <w:sz w:val="21"/>
          <w:szCs w:val="21"/>
        </w:rPr>
        <w:t xml:space="preserve">No readmission/mortality risk scoring</w:t>
      </w:r>
    </w:p>
    <w:p>
      <w:pPr>
        <w:pStyle w:val="ListParagraph"/>
        <w:numPr>
          <w:ilvl w:val="0"/>
          <w:numId w:val="2"/>
        </w:numPr>
        <w:spacing w:after="60"/>
      </w:pPr>
      <w:r>
        <w:rPr>
          <w:rFonts w:ascii="Arial" w:cs="Arial" w:eastAsia="Arial" w:hAnsi="Arial"/>
          <w:sz w:val="21"/>
          <w:szCs w:val="21"/>
        </w:rPr>
        <w:t xml:space="preserve">No surgical setting recommendation (ASC vs HOPD vs Inpatient)</w:t>
      </w:r>
    </w:p>
    <w:p>
      <w:pPr>
        <w:pStyle w:val="ListParagraph"/>
        <w:numPr>
          <w:ilvl w:val="0"/>
          <w:numId w:val="2"/>
        </w:numPr>
        <w:spacing w:after="60"/>
      </w:pPr>
      <w:r>
        <w:rPr>
          <w:rFonts w:ascii="Arial" w:cs="Arial" w:eastAsia="Arial" w:hAnsi="Arial"/>
          <w:sz w:val="21"/>
          <w:szCs w:val="21"/>
        </w:rPr>
        <w:t xml:space="preserve">No prehab plan generation from comorbidity profile</w:t>
      </w:r>
    </w:p>
    <w:p>
      <w:pPr>
        <w:pStyle w:val="ListParagraph"/>
        <w:numPr>
          <w:ilvl w:val="0"/>
          <w:numId w:val="2"/>
        </w:numPr>
        <w:spacing w:after="60"/>
      </w:pPr>
      <w:r>
        <w:rPr>
          <w:rFonts w:ascii="Arial" w:cs="Arial" w:eastAsia="Arial" w:hAnsi="Arial"/>
          <w:sz w:val="21"/>
          <w:szCs w:val="21"/>
        </w:rPr>
        <w:t xml:space="preserve">No patient education with medication stop/continue lists</w:t>
      </w:r>
    </w:p>
    <w:p>
      <w:pPr>
        <w:pStyle w:val="ListParagraph"/>
        <w:numPr>
          <w:ilvl w:val="0"/>
          <w:numId w:val="2"/>
        </w:numPr>
        <w:spacing w:after="60"/>
      </w:pPr>
      <w:r>
        <w:rPr>
          <w:rFonts w:ascii="Arial" w:cs="Arial" w:eastAsia="Arial" w:hAnsi="Arial"/>
          <w:sz w:val="21"/>
          <w:szCs w:val="21"/>
        </w:rPr>
        <w:t xml:space="preserve">No non-operative treatment plan module</w:t>
      </w:r>
    </w:p>
    <w:p>
      <w:pPr>
        <w:pStyle w:val="ListParagraph"/>
        <w:numPr>
          <w:ilvl w:val="0"/>
          <w:numId w:val="2"/>
        </w:numPr>
        <w:spacing w:after="60"/>
      </w:pPr>
      <w:r>
        <w:rPr>
          <w:rFonts w:ascii="Arial" w:cs="Arial" w:eastAsia="Arial" w:hAnsi="Arial"/>
          <w:sz w:val="21"/>
          <w:szCs w:val="21"/>
        </w:rPr>
        <w:t xml:space="preserve">No STOP-BANG sleep apnea or PHQ-2/GAD-2 mental health screening in intake</w:t>
      </w:r>
    </w:p>
    <w:p>
      <w:pPr>
        <w:spacing w:after="60"/>
      </w:pPr>
    </w:p>
    <w:p>
      <w:pPr>
        <w:spacing w:after="120"/>
      </w:pPr>
      <w:r>
        <w:rPr>
          <w:rFonts w:ascii="Arial" w:cs="Arial" w:eastAsia="Arial" w:hAnsi="Arial"/>
          <w:i/>
          <w:iCs/>
          <w:sz w:val="21"/>
          <w:szCs w:val="21"/>
        </w:rPr>
        <w:t xml:space="preserve">Force is fundamentally a patient engagement and monitoring platform. It excels post-operatively. It does not touch the surgeon’s pre-operative clinical workflow at all.</w:t>
      </w:r>
    </w:p>
    <w:p>
      <w:pPr>
        <w:spacing w:after="60"/>
      </w:pPr>
    </w:p>
    <w:p>
      <w:pPr>
        <w:pStyle w:val="Heading2"/>
        <w:spacing w:before="300" w:after="150"/>
      </w:pPr>
      <w:r>
        <w:rPr>
          <w:rFonts w:ascii="Arial" w:cs="Arial" w:eastAsia="Arial" w:hAnsi="Arial"/>
          <w:b/>
          <w:bCs/>
          <w:color w:val="2C3E50"/>
          <w:sz w:val="26"/>
          <w:szCs w:val="26"/>
        </w:rPr>
        <w:t xml:space="preserve">SRO’s Positioning</w:t>
      </w:r>
    </w:p>
    <w:p>
      <w:pPr>
        <w:spacing w:after="120"/>
      </w:pPr>
      <w:r>
        <w:rPr>
          <w:rFonts w:ascii="Arial" w:cs="Arial" w:eastAsia="Arial" w:hAnsi="Arial"/>
          <w:sz w:val="21"/>
          <w:szCs w:val="21"/>
        </w:rPr>
        <w:t xml:space="preserve">SRO is the only system treating the entire surgical episode — from evaluation to 1-year follow-up — as one integrated workflow. The market forces practices to buy Force for post-op, TraumaCad for implant planning, their EHR for documentation, and a prior auth tool for insurance, then manually stitch them together. SRO replaces the stitching.</w:t>
      </w:r>
    </w:p>
    <w:p>
      <w:r>
        <w:br w:type="page"/>
      </w:r>
    </w:p>
    <w:p>
      <w:pPr>
        <w:pStyle w:val="Heading1"/>
        <w:spacing w:before="400" w:after="200"/>
      </w:pPr>
      <w:r>
        <w:rPr>
          <w:rFonts w:ascii="Arial" w:cs="Arial" w:eastAsia="Arial" w:hAnsi="Arial"/>
          <w:b/>
          <w:bCs/>
          <w:color w:val="1B4F72"/>
          <w:sz w:val="32"/>
          <w:szCs w:val="32"/>
        </w:rPr>
        <w:t xml:space="preserve">Section 7: Monetization &amp; Business Model</w:t>
      </w:r>
    </w:p>
    <w:p>
      <w:pPr>
        <w:pStyle w:val="Heading2"/>
        <w:spacing w:before="300" w:after="150"/>
      </w:pPr>
      <w:r>
        <w:rPr>
          <w:rFonts w:ascii="Arial" w:cs="Arial" w:eastAsia="Arial" w:hAnsi="Arial"/>
          <w:b/>
          <w:bCs/>
          <w:color w:val="2C3E50"/>
          <w:sz w:val="26"/>
          <w:szCs w:val="26"/>
        </w:rPr>
        <w:t xml:space="preserve">The Wedge: PROM Compliance</w:t>
      </w:r>
    </w:p>
    <w:p>
      <w:pPr>
        <w:spacing w:after="120"/>
      </w:pPr>
      <w:r>
        <w:rPr>
          <w:rFonts w:ascii="Arial" w:cs="Arial" w:eastAsia="Arial" w:hAnsi="Arial"/>
          <w:sz w:val="21"/>
          <w:szCs w:val="21"/>
        </w:rPr>
        <w:t xml:space="preserve">The first thing hospitals and practices will pay for is PROM compliance tracking and reporting. CMS is tightening requirements. Practices that cannot prove PROM collection at required intervals face financial penalties under TEAM and quality score reductions under MIPS/PRO-PM.</w:t>
      </w:r>
    </w:p>
    <w:p>
      <w:pPr>
        <w:spacing w:after="120"/>
      </w:pPr>
      <w:r>
        <w:rPr>
          <w:rFonts w:ascii="Arial" w:cs="Arial" w:eastAsia="Arial" w:hAnsi="Arial"/>
          <w:sz w:val="21"/>
          <w:szCs w:val="21"/>
        </w:rPr>
        <w:t xml:space="preserve">A practice doing 500 joints/year that improves PROM compliance from 40% to 85% could avoid significant CMS penalties and qualify for quality bonuses.</w:t>
      </w:r>
    </w:p>
    <w:p>
      <w:pPr>
        <w:pStyle w:val="Heading2"/>
        <w:spacing w:before="300" w:after="150"/>
      </w:pPr>
      <w:r>
        <w:rPr>
          <w:rFonts w:ascii="Arial" w:cs="Arial" w:eastAsia="Arial" w:hAnsi="Arial"/>
          <w:b/>
          <w:bCs/>
          <w:color w:val="2C3E50"/>
          <w:sz w:val="26"/>
          <w:szCs w:val="26"/>
        </w:rPr>
        <w:t xml:space="preserve">Revenue Streams</w:t>
      </w:r>
    </w:p>
    <w:p>
      <w:pPr>
        <w:pStyle w:val="ListParagraph"/>
        <w:numPr>
          <w:ilvl w:val="0"/>
          <w:numId w:val="2"/>
        </w:numPr>
        <w:spacing w:after="60"/>
      </w:pPr>
      <w:r>
        <w:rPr>
          <w:rFonts w:ascii="Arial" w:cs="Arial" w:eastAsia="Arial" w:hAnsi="Arial"/>
          <w:sz w:val="21"/>
          <w:szCs w:val="21"/>
        </w:rPr>
        <w:t xml:space="preserve">SaaS subscription per practice — monthly fee for the platform</w:t>
      </w:r>
    </w:p>
    <w:p>
      <w:pPr>
        <w:pStyle w:val="ListParagraph"/>
        <w:numPr>
          <w:ilvl w:val="0"/>
          <w:numId w:val="2"/>
        </w:numPr>
        <w:spacing w:after="60"/>
      </w:pPr>
      <w:r>
        <w:rPr>
          <w:rFonts w:ascii="Arial" w:cs="Arial" w:eastAsia="Arial" w:hAnsi="Arial"/>
          <w:sz w:val="21"/>
          <w:szCs w:val="21"/>
        </w:rPr>
        <w:t xml:space="preserve">Per-episode fee — charge per surgical episode managed</w:t>
      </w:r>
    </w:p>
    <w:p>
      <w:pPr>
        <w:pStyle w:val="ListParagraph"/>
        <w:numPr>
          <w:ilvl w:val="0"/>
          <w:numId w:val="2"/>
        </w:numPr>
        <w:spacing w:after="60"/>
      </w:pPr>
      <w:r>
        <w:rPr>
          <w:rFonts w:ascii="Arial" w:cs="Arial" w:eastAsia="Arial" w:hAnsi="Arial"/>
          <w:sz w:val="21"/>
          <w:szCs w:val="21"/>
        </w:rPr>
        <w:t xml:space="preserve">RPM billing enablement — CPT 99457/99458 at $50-75 per patient/month can exceed software cost</w:t>
      </w:r>
    </w:p>
    <w:p>
      <w:pPr>
        <w:pStyle w:val="ListParagraph"/>
        <w:numPr>
          <w:ilvl w:val="0"/>
          <w:numId w:val="2"/>
        </w:numPr>
        <w:spacing w:after="60"/>
      </w:pPr>
      <w:r>
        <w:rPr>
          <w:rFonts w:ascii="Arial" w:cs="Arial" w:eastAsia="Arial" w:hAnsi="Arial"/>
          <w:sz w:val="21"/>
          <w:szCs w:val="21"/>
        </w:rPr>
        <w:t xml:space="preserve">Implementation + training fees</w:t>
      </w:r>
    </w:p>
    <w:p>
      <w:pPr>
        <w:pStyle w:val="ListParagraph"/>
        <w:numPr>
          <w:ilvl w:val="0"/>
          <w:numId w:val="2"/>
        </w:numPr>
        <w:spacing w:after="60"/>
      </w:pPr>
      <w:r>
        <w:rPr>
          <w:rFonts w:ascii="Arial" w:cs="Arial" w:eastAsia="Arial" w:hAnsi="Arial"/>
          <w:sz w:val="21"/>
          <w:szCs w:val="21"/>
        </w:rPr>
        <w:t xml:space="preserve">Hardware margin — pre-configured NUC appliance with SRO pre-installed</w:t>
      </w:r>
    </w:p>
    <w:p>
      <w:pPr>
        <w:pStyle w:val="Heading2"/>
        <w:spacing w:before="300" w:after="150"/>
      </w:pPr>
      <w:r>
        <w:rPr>
          <w:rFonts w:ascii="Arial" w:cs="Arial" w:eastAsia="Arial" w:hAnsi="Arial"/>
          <w:b/>
          <w:bCs/>
          <w:color w:val="2C3E50"/>
          <w:sz w:val="26"/>
          <w:szCs w:val="26"/>
        </w:rPr>
        <w:t xml:space="preserve">Revenue Opportunity Per Practice</w:t>
      </w:r>
    </w:p>
    <w:p>
      <w:pPr>
        <w:spacing w:after="120"/>
      </w:pPr>
      <w:r>
        <w:rPr>
          <w:rFonts w:ascii="Arial" w:cs="Arial" w:eastAsia="Arial" w:hAnsi="Arial"/>
          <w:sz w:val="21"/>
          <w:szCs w:val="21"/>
        </w:rPr>
        <w:t xml:space="preserve">A 5-surgeon practice doing 800 joints/year: RPM billing on 400 patients at $50/month for 3 months = $60,000/year in RPM revenue enabled. Plus avoided CMS penalties, plus 1-2 FTEs of staff time savings for PROM chasing, precertification, manual tracking.</w:t>
      </w:r>
    </w:p>
    <w:p>
      <w:pPr>
        <w:pStyle w:val="Heading2"/>
        <w:spacing w:before="300" w:after="150"/>
      </w:pPr>
      <w:r>
        <w:rPr>
          <w:rFonts w:ascii="Arial" w:cs="Arial" w:eastAsia="Arial" w:hAnsi="Arial"/>
          <w:b/>
          <w:bCs/>
          <w:color w:val="2C3E50"/>
          <w:sz w:val="26"/>
          <w:szCs w:val="26"/>
        </w:rPr>
        <w:t xml:space="preserve">Market Size</w:t>
      </w:r>
    </w:p>
    <w:p>
      <w:pPr>
        <w:pStyle w:val="ListParagraph"/>
        <w:numPr>
          <w:ilvl w:val="0"/>
          <w:numId w:val="2"/>
        </w:numPr>
        <w:spacing w:after="60"/>
      </w:pPr>
      <w:r>
        <w:rPr>
          <w:rFonts w:ascii="Arial" w:cs="Arial" w:eastAsia="Arial" w:hAnsi="Arial"/>
          <w:sz w:val="21"/>
          <w:szCs w:val="21"/>
        </w:rPr>
        <w:t xml:space="preserve">~1.4 million TKA + THA per year in the US</w:t>
      </w:r>
    </w:p>
    <w:p>
      <w:pPr>
        <w:pStyle w:val="ListParagraph"/>
        <w:numPr>
          <w:ilvl w:val="0"/>
          <w:numId w:val="2"/>
        </w:numPr>
        <w:spacing w:after="60"/>
      </w:pPr>
      <w:r>
        <w:rPr>
          <w:rFonts w:ascii="Arial" w:cs="Arial" w:eastAsia="Arial" w:hAnsi="Arial"/>
          <w:sz w:val="21"/>
          <w:szCs w:val="21"/>
        </w:rPr>
        <w:t xml:space="preserve">~6,000+ orthopedic practices</w:t>
      </w:r>
    </w:p>
    <w:p>
      <w:pPr>
        <w:pStyle w:val="ListParagraph"/>
        <w:numPr>
          <w:ilvl w:val="0"/>
          <w:numId w:val="2"/>
        </w:numPr>
        <w:spacing w:after="60"/>
      </w:pPr>
      <w:r>
        <w:rPr>
          <w:rFonts w:ascii="Arial" w:cs="Arial" w:eastAsia="Arial" w:hAnsi="Arial"/>
          <w:sz w:val="21"/>
          <w:szCs w:val="21"/>
        </w:rPr>
        <w:t xml:space="preserve">Growing 4-6% annually</w:t>
      </w:r>
    </w:p>
    <w:p>
      <w:pPr>
        <w:pStyle w:val="ListParagraph"/>
        <w:numPr>
          <w:ilvl w:val="0"/>
          <w:numId w:val="2"/>
        </w:numPr>
        <w:spacing w:after="60"/>
      </w:pPr>
      <w:r>
        <w:rPr>
          <w:rFonts w:ascii="Arial" w:cs="Arial" w:eastAsia="Arial" w:hAnsi="Arial"/>
          <w:sz w:val="21"/>
          <w:szCs w:val="21"/>
        </w:rPr>
        <w:t xml:space="preserve">CMS TEAM making compliance mandatory — this is a forcing function</w:t>
      </w:r>
    </w:p>
    <w:p>
      <w:r>
        <w:br w:type="page"/>
      </w:r>
    </w:p>
    <w:p>
      <w:pPr>
        <w:pStyle w:val="Heading1"/>
        <w:spacing w:before="400" w:after="200"/>
      </w:pPr>
      <w:r>
        <w:rPr>
          <w:rFonts w:ascii="Arial" w:cs="Arial" w:eastAsia="Arial" w:hAnsi="Arial"/>
          <w:b/>
          <w:bCs/>
          <w:color w:val="1B4F72"/>
          <w:sz w:val="32"/>
          <w:szCs w:val="32"/>
        </w:rPr>
        <w:t xml:space="preserve">Section 8: SWOT Analysis</w:t>
      </w:r>
    </w:p>
    <w:p>
      <w:pPr>
        <w:pStyle w:val="Heading2"/>
        <w:spacing w:before="300" w:after="150"/>
      </w:pPr>
      <w:r>
        <w:rPr>
          <w:rFonts w:ascii="Arial" w:cs="Arial" w:eastAsia="Arial" w:hAnsi="Arial"/>
          <w:b/>
          <w:bCs/>
          <w:color w:val="2C3E50"/>
          <w:sz w:val="26"/>
          <w:szCs w:val="26"/>
        </w:rPr>
        <w:t xml:space="preserve">Strengths</w:t>
      </w:r>
    </w:p>
    <w:p>
      <w:pPr>
        <w:pStyle w:val="ListParagraph"/>
        <w:numPr>
          <w:ilvl w:val="0"/>
          <w:numId w:val="2"/>
        </w:numPr>
        <w:spacing w:after="60"/>
      </w:pPr>
      <w:r>
        <w:rPr>
          <w:rFonts w:ascii="Arial" w:cs="Arial" w:eastAsia="Arial" w:hAnsi="Arial"/>
          <w:sz w:val="21"/>
          <w:szCs w:val="21"/>
        </w:rPr>
        <w:t xml:space="preserve">Only product covering full episode (pre-op clinical workflow through post-op monitoring)</w:t>
      </w:r>
    </w:p>
    <w:p>
      <w:pPr>
        <w:pStyle w:val="ListParagraph"/>
        <w:numPr>
          <w:ilvl w:val="0"/>
          <w:numId w:val="2"/>
        </w:numPr>
        <w:spacing w:after="60"/>
      </w:pPr>
      <w:r>
        <w:rPr>
          <w:rFonts w:ascii="Arial" w:cs="Arial" w:eastAsia="Arial" w:hAnsi="Arial"/>
          <w:sz w:val="21"/>
          <w:szCs w:val="21"/>
        </w:rPr>
        <w:t xml:space="preserve">HIPAA architecture with near-zero cloud liability</w:t>
      </w:r>
    </w:p>
    <w:p>
      <w:pPr>
        <w:pStyle w:val="ListParagraph"/>
        <w:numPr>
          <w:ilvl w:val="0"/>
          <w:numId w:val="2"/>
        </w:numPr>
        <w:spacing w:after="60"/>
      </w:pPr>
      <w:r>
        <w:rPr>
          <w:rFonts w:ascii="Arial" w:cs="Arial" w:eastAsia="Arial" w:hAnsi="Arial"/>
          <w:sz w:val="21"/>
          <w:szCs w:val="21"/>
        </w:rPr>
        <w:t xml:space="preserve">Low deployment cost (~$400 hardware, open-source stack)</w:t>
      </w:r>
    </w:p>
    <w:p>
      <w:pPr>
        <w:pStyle w:val="ListParagraph"/>
        <w:numPr>
          <w:ilvl w:val="0"/>
          <w:numId w:val="2"/>
        </w:numPr>
        <w:spacing w:after="60"/>
      </w:pPr>
      <w:r>
        <w:rPr>
          <w:rFonts w:ascii="Arial" w:cs="Arial" w:eastAsia="Arial" w:hAnsi="Arial"/>
          <w:sz w:val="21"/>
          <w:szCs w:val="21"/>
        </w:rPr>
        <w:t xml:space="preserve">Evidence-based clinical content (AAOS guidelines, HSS scoring, published literature)</w:t>
      </w:r>
    </w:p>
    <w:p>
      <w:pPr>
        <w:pStyle w:val="ListParagraph"/>
        <w:numPr>
          <w:ilvl w:val="0"/>
          <w:numId w:val="2"/>
        </w:numPr>
        <w:spacing w:after="60"/>
      </w:pPr>
      <w:r>
        <w:rPr>
          <w:rFonts w:ascii="Arial" w:cs="Arial" w:eastAsia="Arial" w:hAnsi="Arial"/>
          <w:sz w:val="21"/>
          <w:szCs w:val="21"/>
        </w:rPr>
        <w:t xml:space="preserve">No framework dependencies — simple, maintainable code</w:t>
      </w:r>
    </w:p>
    <w:p>
      <w:pPr>
        <w:pStyle w:val="ListParagraph"/>
        <w:numPr>
          <w:ilvl w:val="0"/>
          <w:numId w:val="2"/>
        </w:numPr>
        <w:spacing w:after="60"/>
      </w:pPr>
      <w:r>
        <w:rPr>
          <w:rFonts w:ascii="Arial" w:cs="Arial" w:eastAsia="Arial" w:hAnsi="Arial"/>
          <w:sz w:val="21"/>
          <w:szCs w:val="21"/>
        </w:rPr>
        <w:t xml:space="preserve">Works without internet for all clinical functions</w:t>
      </w:r>
    </w:p>
    <w:p>
      <w:pPr>
        <w:pStyle w:val="Heading2"/>
        <w:spacing w:before="300" w:after="150"/>
      </w:pPr>
      <w:r>
        <w:rPr>
          <w:rFonts w:ascii="Arial" w:cs="Arial" w:eastAsia="Arial" w:hAnsi="Arial"/>
          <w:b/>
          <w:bCs/>
          <w:color w:val="2C3E50"/>
          <w:sz w:val="26"/>
          <w:szCs w:val="26"/>
        </w:rPr>
        <w:t xml:space="preserve">Weaknesses</w:t>
      </w:r>
    </w:p>
    <w:p>
      <w:pPr>
        <w:pStyle w:val="ListParagraph"/>
        <w:numPr>
          <w:ilvl w:val="0"/>
          <w:numId w:val="2"/>
        </w:numPr>
        <w:spacing w:after="60"/>
      </w:pPr>
      <w:r>
        <w:rPr>
          <w:rFonts w:ascii="Arial" w:cs="Arial" w:eastAsia="Arial" w:hAnsi="Arial"/>
          <w:sz w:val="21"/>
          <w:szCs w:val="21"/>
        </w:rPr>
        <w:t xml:space="preserve">Single developer — bus factor of 1</w:t>
      </w:r>
    </w:p>
    <w:p>
      <w:pPr>
        <w:pStyle w:val="ListParagraph"/>
        <w:numPr>
          <w:ilvl w:val="0"/>
          <w:numId w:val="2"/>
        </w:numPr>
        <w:spacing w:after="60"/>
      </w:pPr>
      <w:r>
        <w:rPr>
          <w:rFonts w:ascii="Arial" w:cs="Arial" w:eastAsia="Arial" w:hAnsi="Arial"/>
          <w:sz w:val="21"/>
          <w:szCs w:val="21"/>
        </w:rPr>
        <w:t xml:space="preserve">No EHR integration yet (manual data entry for demographics)</w:t>
      </w:r>
    </w:p>
    <w:p>
      <w:pPr>
        <w:pStyle w:val="ListParagraph"/>
        <w:numPr>
          <w:ilvl w:val="0"/>
          <w:numId w:val="2"/>
        </w:numPr>
        <w:spacing w:after="60"/>
      </w:pPr>
      <w:r>
        <w:rPr>
          <w:rFonts w:ascii="Arial" w:cs="Arial" w:eastAsia="Arial" w:hAnsi="Arial"/>
          <w:sz w:val="21"/>
          <w:szCs w:val="21"/>
        </w:rPr>
        <w:t xml:space="preserve">No mobile native app</w:t>
      </w:r>
    </w:p>
    <w:p>
      <w:pPr>
        <w:pStyle w:val="ListParagraph"/>
        <w:numPr>
          <w:ilvl w:val="0"/>
          <w:numId w:val="2"/>
        </w:numPr>
        <w:spacing w:after="60"/>
      </w:pPr>
      <w:r>
        <w:rPr>
          <w:rFonts w:ascii="Arial" w:cs="Arial" w:eastAsia="Arial" w:hAnsi="Arial"/>
          <w:sz w:val="21"/>
          <w:szCs w:val="21"/>
        </w:rPr>
        <w:t xml:space="preserve">No automated patient reminders (clipboard copy only)</w:t>
      </w:r>
    </w:p>
    <w:p>
      <w:pPr>
        <w:pStyle w:val="ListParagraph"/>
        <w:numPr>
          <w:ilvl w:val="0"/>
          <w:numId w:val="2"/>
        </w:numPr>
        <w:spacing w:after="60"/>
      </w:pPr>
      <w:r>
        <w:rPr>
          <w:rFonts w:ascii="Arial" w:cs="Arial" w:eastAsia="Arial" w:hAnsi="Arial"/>
          <w:sz w:val="21"/>
          <w:szCs w:val="21"/>
        </w:rPr>
        <w:t xml:space="preserve">No published clinical validation studies yet</w:t>
      </w:r>
    </w:p>
    <w:p>
      <w:pPr>
        <w:pStyle w:val="Heading2"/>
        <w:spacing w:before="300" w:after="150"/>
      </w:pPr>
      <w:r>
        <w:rPr>
          <w:rFonts w:ascii="Arial" w:cs="Arial" w:eastAsia="Arial" w:hAnsi="Arial"/>
          <w:b/>
          <w:bCs/>
          <w:color w:val="2C3E50"/>
          <w:sz w:val="26"/>
          <w:szCs w:val="26"/>
        </w:rPr>
        <w:t xml:space="preserve">Opportunities</w:t>
      </w:r>
    </w:p>
    <w:p>
      <w:pPr>
        <w:pStyle w:val="ListParagraph"/>
        <w:numPr>
          <w:ilvl w:val="0"/>
          <w:numId w:val="2"/>
        </w:numPr>
        <w:spacing w:after="60"/>
      </w:pPr>
      <w:r>
        <w:rPr>
          <w:rFonts w:ascii="Arial" w:cs="Arial" w:eastAsia="Arial" w:hAnsi="Arial"/>
          <w:sz w:val="21"/>
          <w:szCs w:val="21"/>
        </w:rPr>
        <w:t xml:space="preserve">CMS TEAM making episode accountability mandatory — massive demand driver</w:t>
      </w:r>
    </w:p>
    <w:p>
      <w:pPr>
        <w:pStyle w:val="ListParagraph"/>
        <w:numPr>
          <w:ilvl w:val="0"/>
          <w:numId w:val="2"/>
        </w:numPr>
        <w:spacing w:after="60"/>
      </w:pPr>
      <w:r>
        <w:rPr>
          <w:rFonts w:ascii="Arial" w:cs="Arial" w:eastAsia="Arial" w:hAnsi="Arial"/>
          <w:sz w:val="21"/>
          <w:szCs w:val="21"/>
        </w:rPr>
        <w:t xml:space="preserve">No competitor covers the pre-operative clinical workflow</w:t>
      </w:r>
    </w:p>
    <w:p>
      <w:pPr>
        <w:pStyle w:val="ListParagraph"/>
        <w:numPr>
          <w:ilvl w:val="0"/>
          <w:numId w:val="2"/>
        </w:numPr>
        <w:spacing w:after="60"/>
      </w:pPr>
      <w:r>
        <w:rPr>
          <w:rFonts w:ascii="Arial" w:cs="Arial" w:eastAsia="Arial" w:hAnsi="Arial"/>
          <w:sz w:val="21"/>
          <w:szCs w:val="21"/>
        </w:rPr>
        <w:t xml:space="preserve">RPM billing creates revenue that pays for the system</w:t>
      </w:r>
    </w:p>
    <w:p>
      <w:pPr>
        <w:pStyle w:val="ListParagraph"/>
        <w:numPr>
          <w:ilvl w:val="0"/>
          <w:numId w:val="2"/>
        </w:numPr>
        <w:spacing w:after="60"/>
      </w:pPr>
      <w:r>
        <w:rPr>
          <w:rFonts w:ascii="Arial" w:cs="Arial" w:eastAsia="Arial" w:hAnsi="Arial"/>
          <w:sz w:val="21"/>
          <w:szCs w:val="21"/>
        </w:rPr>
        <w:t xml:space="preserve">AI features could become major differentiator</w:t>
      </w:r>
    </w:p>
    <w:p>
      <w:pPr>
        <w:pStyle w:val="ListParagraph"/>
        <w:numPr>
          <w:ilvl w:val="0"/>
          <w:numId w:val="2"/>
        </w:numPr>
        <w:spacing w:after="60"/>
      </w:pPr>
      <w:r>
        <w:rPr>
          <w:rFonts w:ascii="Arial" w:cs="Arial" w:eastAsia="Arial" w:hAnsi="Arial"/>
          <w:sz w:val="21"/>
          <w:szCs w:val="21"/>
        </w:rPr>
        <w:t xml:space="preserve">Could expand beyond joints to spine, shoulder, sports medicine</w:t>
      </w:r>
    </w:p>
    <w:p>
      <w:pPr>
        <w:pStyle w:val="Heading2"/>
        <w:spacing w:before="300" w:after="150"/>
      </w:pPr>
      <w:r>
        <w:rPr>
          <w:rFonts w:ascii="Arial" w:cs="Arial" w:eastAsia="Arial" w:hAnsi="Arial"/>
          <w:b/>
          <w:bCs/>
          <w:color w:val="2C3E50"/>
          <w:sz w:val="26"/>
          <w:szCs w:val="26"/>
        </w:rPr>
        <w:t xml:space="preserve">Threats</w:t>
      </w:r>
    </w:p>
    <w:p>
      <w:pPr>
        <w:pStyle w:val="ListParagraph"/>
        <w:numPr>
          <w:ilvl w:val="0"/>
          <w:numId w:val="2"/>
        </w:numPr>
        <w:spacing w:after="60"/>
      </w:pPr>
      <w:r>
        <w:rPr>
          <w:rFonts w:ascii="Arial" w:cs="Arial" w:eastAsia="Arial" w:hAnsi="Arial"/>
          <w:sz w:val="21"/>
          <w:szCs w:val="21"/>
        </w:rPr>
        <w:t xml:space="preserve">Force Therapeutics could build pre-op features (they have 15 years and VC funding)</w:t>
      </w:r>
    </w:p>
    <w:p>
      <w:pPr>
        <w:pStyle w:val="ListParagraph"/>
        <w:numPr>
          <w:ilvl w:val="0"/>
          <w:numId w:val="2"/>
        </w:numPr>
        <w:spacing w:after="60"/>
      </w:pPr>
      <w:r>
        <w:rPr>
          <w:rFonts w:ascii="Arial" w:cs="Arial" w:eastAsia="Arial" w:hAnsi="Arial"/>
          <w:sz w:val="21"/>
          <w:szCs w:val="21"/>
        </w:rPr>
        <w:t xml:space="preserve">EHR vendors (Epic, Cerner) could add episode management modules</w:t>
      </w:r>
    </w:p>
    <w:p>
      <w:pPr>
        <w:pStyle w:val="ListParagraph"/>
        <w:numPr>
          <w:ilvl w:val="0"/>
          <w:numId w:val="2"/>
        </w:numPr>
        <w:spacing w:after="60"/>
      </w:pPr>
      <w:r>
        <w:rPr>
          <w:rFonts w:ascii="Arial" w:cs="Arial" w:eastAsia="Arial" w:hAnsi="Arial"/>
          <w:sz w:val="21"/>
          <w:szCs w:val="21"/>
        </w:rPr>
        <w:t xml:space="preserve">Practice inertia — resistance to change from paper workflows</w:t>
      </w:r>
    </w:p>
    <w:p>
      <w:pPr>
        <w:pStyle w:val="ListParagraph"/>
        <w:numPr>
          <w:ilvl w:val="0"/>
          <w:numId w:val="2"/>
        </w:numPr>
        <w:spacing w:after="60"/>
      </w:pPr>
      <w:r>
        <w:rPr>
          <w:rFonts w:ascii="Arial" w:cs="Arial" w:eastAsia="Arial" w:hAnsi="Arial"/>
          <w:sz w:val="21"/>
          <w:szCs w:val="21"/>
        </w:rPr>
        <w:t xml:space="preserve">Larger health IT companies could acquire competitors and bundle</w:t>
      </w:r>
    </w:p>
    <w:p>
      <w:r>
        <w:br w:type="page"/>
      </w:r>
    </w:p>
    <w:p>
      <w:pPr>
        <w:pStyle w:val="Heading1"/>
        <w:spacing w:before="400" w:after="200"/>
      </w:pPr>
      <w:r>
        <w:rPr>
          <w:rFonts w:ascii="Arial" w:cs="Arial" w:eastAsia="Arial" w:hAnsi="Arial"/>
          <w:b/>
          <w:bCs/>
          <w:color w:val="1B4F72"/>
          <w:sz w:val="32"/>
          <w:szCs w:val="32"/>
        </w:rPr>
        <w:t xml:space="preserve">Section 9: Current Status &amp; Roadmap</w:t>
      </w:r>
    </w:p>
    <w:p>
      <w:pPr>
        <w:pStyle w:val="Heading2"/>
        <w:spacing w:before="300" w:after="150"/>
      </w:pPr>
      <w:r>
        <w:rPr>
          <w:rFonts w:ascii="Arial" w:cs="Arial" w:eastAsia="Arial" w:hAnsi="Arial"/>
          <w:b/>
          <w:bCs/>
          <w:color w:val="2C3E50"/>
          <w:sz w:val="26"/>
          <w:szCs w:val="26"/>
        </w:rPr>
        <w:t xml:space="preserve">What’s Built and Working (February 2026)</w:t>
      </w:r>
    </w:p>
    <w:p>
      <w:pPr>
        <w:spacing w:after="120"/>
      </w:pPr>
      <w:r>
        <w:rPr>
          <w:rFonts w:ascii="Arial" w:cs="Arial" w:eastAsia="Arial" w:hAnsi="Arial"/>
          <w:sz w:val="21"/>
          <w:szCs w:val="21"/>
        </w:rPr>
        <w:t xml:space="preserve">All core development phases (A through F) are complete. The system is functional end-to-end:</w:t>
      </w:r>
    </w:p>
    <w:p>
      <w:pPr>
        <w:pStyle w:val="ListParagraph"/>
        <w:numPr>
          <w:ilvl w:val="0"/>
          <w:numId w:val="2"/>
        </w:numPr>
        <w:spacing w:after="60"/>
      </w:pPr>
      <w:r>
        <w:rPr>
          <w:rFonts w:ascii="Arial" w:cs="Arial" w:eastAsia="Arial" w:hAnsi="Arial"/>
          <w:sz w:val="21"/>
          <w:szCs w:val="21"/>
        </w:rPr>
        <w:t xml:space="preserve">Patient intake with 6 validated instruments</w:t>
      </w:r>
    </w:p>
    <w:p>
      <w:pPr>
        <w:pStyle w:val="ListParagraph"/>
        <w:numPr>
          <w:ilvl w:val="0"/>
          <w:numId w:val="2"/>
        </w:numPr>
        <w:spacing w:after="60"/>
      </w:pPr>
      <w:r>
        <w:rPr>
          <w:rFonts w:ascii="Arial" w:cs="Arial" w:eastAsia="Arial" w:hAnsi="Arial"/>
          <w:sz w:val="21"/>
          <w:szCs w:val="21"/>
        </w:rPr>
        <w:t xml:space="preserve">19-category comorbidity assessment with auto-population</w:t>
      </w:r>
    </w:p>
    <w:p>
      <w:pPr>
        <w:pStyle w:val="ListParagraph"/>
        <w:numPr>
          <w:ilvl w:val="0"/>
          <w:numId w:val="2"/>
        </w:numPr>
        <w:spacing w:after="60"/>
      </w:pPr>
      <w:r>
        <w:rPr>
          <w:rFonts w:ascii="Arial" w:cs="Arial" w:eastAsia="Arial" w:hAnsi="Arial"/>
          <w:sz w:val="21"/>
          <w:szCs w:val="21"/>
        </w:rPr>
        <w:t xml:space="preserve">Clinical decision tool with target-based outcome prediction</w:t>
      </w:r>
    </w:p>
    <w:p>
      <w:pPr>
        <w:pStyle w:val="ListParagraph"/>
        <w:numPr>
          <w:ilvl w:val="0"/>
          <w:numId w:val="2"/>
        </w:numPr>
        <w:spacing w:after="60"/>
      </w:pPr>
      <w:r>
        <w:rPr>
          <w:rFonts w:ascii="Arial" w:cs="Arial" w:eastAsia="Arial" w:hAnsi="Arial"/>
          <w:sz w:val="21"/>
          <w:szCs w:val="21"/>
        </w:rPr>
        <w:t xml:space="preserve">Shared decision-making infographics (recovery path + safety)</w:t>
      </w:r>
    </w:p>
    <w:p>
      <w:pPr>
        <w:pStyle w:val="ListParagraph"/>
        <w:numPr>
          <w:ilvl w:val="0"/>
          <w:numId w:val="2"/>
        </w:numPr>
        <w:spacing w:after="60"/>
      </w:pPr>
      <w:r>
        <w:rPr>
          <w:rFonts w:ascii="Arial" w:cs="Arial" w:eastAsia="Arial" w:hAnsi="Arial"/>
          <w:sz w:val="21"/>
          <w:szCs w:val="21"/>
        </w:rPr>
        <w:t xml:space="preserve">10-tab surgical preparation workflow (including prosthesis calculator for knee AND hip)</w:t>
      </w:r>
    </w:p>
    <w:p>
      <w:pPr>
        <w:pStyle w:val="ListParagraph"/>
        <w:numPr>
          <w:ilvl w:val="0"/>
          <w:numId w:val="2"/>
        </w:numPr>
        <w:spacing w:after="60"/>
      </w:pPr>
      <w:r>
        <w:rPr>
          <w:rFonts w:ascii="Arial" w:cs="Arial" w:eastAsia="Arial" w:hAnsi="Arial"/>
          <w:sz w:val="21"/>
          <w:szCs w:val="21"/>
        </w:rPr>
        <w:t xml:space="preserve">Non-operative treatment plan (AAOS guideline-based)</w:t>
      </w:r>
    </w:p>
    <w:p>
      <w:pPr>
        <w:pStyle w:val="ListParagraph"/>
        <w:numPr>
          <w:ilvl w:val="0"/>
          <w:numId w:val="2"/>
        </w:numPr>
        <w:spacing w:after="60"/>
      </w:pPr>
      <w:r>
        <w:rPr>
          <w:rFonts w:ascii="Arial" w:cs="Arial" w:eastAsia="Arial" w:hAnsi="Arial"/>
          <w:sz w:val="21"/>
          <w:szCs w:val="21"/>
        </w:rPr>
        <w:t xml:space="preserve">Patient home check-ins via de-identified cloud relay</w:t>
      </w:r>
    </w:p>
    <w:p>
      <w:pPr>
        <w:pStyle w:val="ListParagraph"/>
        <w:numPr>
          <w:ilvl w:val="0"/>
          <w:numId w:val="2"/>
        </w:numPr>
        <w:spacing w:after="60"/>
      </w:pPr>
      <w:r>
        <w:rPr>
          <w:rFonts w:ascii="Arial" w:cs="Arial" w:eastAsia="Arial" w:hAnsi="Arial"/>
          <w:sz w:val="21"/>
          <w:szCs w:val="21"/>
        </w:rPr>
        <w:t xml:space="preserve">PROM scheduling, tracking, and compliance dashboard</w:t>
      </w:r>
    </w:p>
    <w:p>
      <w:pPr>
        <w:pStyle w:val="ListParagraph"/>
        <w:numPr>
          <w:ilvl w:val="0"/>
          <w:numId w:val="2"/>
        </w:numPr>
        <w:spacing w:after="60"/>
      </w:pPr>
      <w:r>
        <w:rPr>
          <w:rFonts w:ascii="Arial" w:cs="Arial" w:eastAsia="Arial" w:hAnsi="Arial"/>
          <w:sz w:val="21"/>
          <w:szCs w:val="21"/>
        </w:rPr>
        <w:t xml:space="preserve">Role-based dashboards (surgeon, nurse, admin)</w:t>
      </w:r>
    </w:p>
    <w:p>
      <w:pPr>
        <w:pStyle w:val="ListParagraph"/>
        <w:numPr>
          <w:ilvl w:val="0"/>
          <w:numId w:val="2"/>
        </w:numPr>
        <w:spacing w:after="60"/>
      </w:pPr>
      <w:r>
        <w:rPr>
          <w:rFonts w:ascii="Arial" w:cs="Arial" w:eastAsia="Arial" w:hAnsi="Arial"/>
          <w:sz w:val="21"/>
          <w:szCs w:val="21"/>
        </w:rPr>
        <w:t xml:space="preserve">Nurse priority queue with alert ranking</w:t>
      </w:r>
    </w:p>
    <w:p>
      <w:pPr>
        <w:pStyle w:val="ListParagraph"/>
        <w:numPr>
          <w:ilvl w:val="0"/>
          <w:numId w:val="2"/>
        </w:numPr>
        <w:spacing w:after="60"/>
      </w:pPr>
      <w:r>
        <w:rPr>
          <w:rFonts w:ascii="Arial" w:cs="Arial" w:eastAsia="Arial" w:hAnsi="Arial"/>
          <w:sz w:val="21"/>
          <w:szCs w:val="21"/>
        </w:rPr>
        <w:t xml:space="preserve">ER visit / readmission capture, adverse event tracking</w:t>
      </w:r>
    </w:p>
    <w:p>
      <w:pPr>
        <w:pStyle w:val="ListParagraph"/>
        <w:numPr>
          <w:ilvl w:val="0"/>
          <w:numId w:val="2"/>
        </w:numPr>
        <w:spacing w:after="60"/>
      </w:pPr>
      <w:r>
        <w:rPr>
          <w:rFonts w:ascii="Arial" w:cs="Arial" w:eastAsia="Arial" w:hAnsi="Arial"/>
          <w:sz w:val="21"/>
          <w:szCs w:val="21"/>
        </w:rPr>
        <w:t xml:space="preserve">Nursing notes, task management, RPM time tracking and billing</w:t>
      </w:r>
    </w:p>
    <w:p>
      <w:pPr>
        <w:pStyle w:val="ListParagraph"/>
        <w:numPr>
          <w:ilvl w:val="0"/>
          <w:numId w:val="2"/>
        </w:numPr>
        <w:spacing w:after="60"/>
      </w:pPr>
      <w:r>
        <w:rPr>
          <w:rFonts w:ascii="Arial" w:cs="Arial" w:eastAsia="Arial" w:hAnsi="Arial"/>
          <w:sz w:val="21"/>
          <w:szCs w:val="21"/>
        </w:rPr>
        <w:t xml:space="preserve">Episode timeline, PDF export, analytics with CMS outcomes</w:t>
      </w:r>
    </w:p>
    <w:p>
      <w:pPr>
        <w:pStyle w:val="ListParagraph"/>
        <w:numPr>
          <w:ilvl w:val="0"/>
          <w:numId w:val="2"/>
        </w:numPr>
        <w:spacing w:after="60"/>
      </w:pPr>
      <w:r>
        <w:rPr>
          <w:rFonts w:ascii="Arial" w:cs="Arial" w:eastAsia="Arial" w:hAnsi="Arial"/>
          <w:sz w:val="21"/>
          <w:szCs w:val="21"/>
        </w:rPr>
        <w:t xml:space="preserve">~12,000 lines of code, fully functional</w:t>
      </w:r>
    </w:p>
    <w:p>
      <w:pPr>
        <w:pStyle w:val="Heading2"/>
        <w:spacing w:before="300" w:after="150"/>
      </w:pPr>
      <w:r>
        <w:rPr>
          <w:rFonts w:ascii="Arial" w:cs="Arial" w:eastAsia="Arial" w:hAnsi="Arial"/>
          <w:b/>
          <w:bCs/>
          <w:color w:val="2C3E50"/>
          <w:sz w:val="26"/>
          <w:szCs w:val="26"/>
        </w:rPr>
        <w:t xml:space="preserve">What’s Not Built Yet</w:t>
      </w:r>
    </w:p>
    <w:p>
      <w:pPr>
        <w:pStyle w:val="ListParagraph"/>
        <w:numPr>
          <w:ilvl w:val="0"/>
          <w:numId w:val="2"/>
        </w:numPr>
        <w:spacing w:after="60"/>
      </w:pPr>
      <w:r>
        <w:rPr>
          <w:rFonts w:ascii="Arial" w:cs="Arial" w:eastAsia="Arial" w:hAnsi="Arial"/>
          <w:sz w:val="21"/>
          <w:szCs w:val="21"/>
        </w:rPr>
        <w:t xml:space="preserve">SMS/email reminders via Twilio (currently staff copies links to clipboard)</w:t>
      </w:r>
    </w:p>
    <w:p>
      <w:pPr>
        <w:pStyle w:val="ListParagraph"/>
        <w:numPr>
          <w:ilvl w:val="0"/>
          <w:numId w:val="2"/>
        </w:numPr>
        <w:spacing w:after="60"/>
      </w:pPr>
      <w:r>
        <w:rPr>
          <w:rFonts w:ascii="Arial" w:cs="Arial" w:eastAsia="Arial" w:hAnsi="Arial"/>
          <w:sz w:val="21"/>
          <w:szCs w:val="21"/>
        </w:rPr>
        <w:t xml:space="preserve">EHR integration (HL7/FHIR) — system operates standalone</w:t>
      </w:r>
    </w:p>
    <w:p>
      <w:pPr>
        <w:pStyle w:val="ListParagraph"/>
        <w:numPr>
          <w:ilvl w:val="0"/>
          <w:numId w:val="2"/>
        </w:numPr>
        <w:spacing w:after="60"/>
      </w:pPr>
      <w:r>
        <w:rPr>
          <w:rFonts w:ascii="Arial" w:cs="Arial" w:eastAsia="Arial" w:hAnsi="Arial"/>
          <w:sz w:val="21"/>
          <w:szCs w:val="21"/>
        </w:rPr>
        <w:t xml:space="preserve">Shoulder surgery support (selectable but no procedure-specific content)</w:t>
      </w:r>
    </w:p>
    <w:p>
      <w:pPr>
        <w:pStyle w:val="ListParagraph"/>
        <w:numPr>
          <w:ilvl w:val="0"/>
          <w:numId w:val="2"/>
        </w:numPr>
        <w:spacing w:after="60"/>
      </w:pPr>
      <w:r>
        <w:rPr>
          <w:rFonts w:ascii="Arial" w:cs="Arial" w:eastAsia="Arial" w:hAnsi="Arial"/>
          <w:sz w:val="21"/>
          <w:szCs w:val="21"/>
        </w:rPr>
        <w:t xml:space="preserve">Revision surgery logic (uses primary surgery logic currently)</w:t>
      </w:r>
    </w:p>
    <w:p>
      <w:pPr>
        <w:pStyle w:val="ListParagraph"/>
        <w:numPr>
          <w:ilvl w:val="0"/>
          <w:numId w:val="2"/>
        </w:numPr>
        <w:spacing w:after="60"/>
      </w:pPr>
      <w:r>
        <w:rPr>
          <w:rFonts w:ascii="Arial" w:cs="Arial" w:eastAsia="Arial" w:hAnsi="Arial"/>
          <w:sz w:val="21"/>
          <w:szCs w:val="21"/>
        </w:rPr>
        <w:t xml:space="preserve">Mobile native app (works on phone browsers but no native app)</w:t>
      </w:r>
    </w:p>
    <w:p>
      <w:pPr>
        <w:pStyle w:val="ListParagraph"/>
        <w:numPr>
          <w:ilvl w:val="0"/>
          <w:numId w:val="2"/>
        </w:numPr>
        <w:spacing w:after="60"/>
      </w:pPr>
      <w:r>
        <w:rPr>
          <w:rFonts w:ascii="Arial" w:cs="Arial" w:eastAsia="Arial" w:hAnsi="Arial"/>
          <w:sz w:val="21"/>
          <w:szCs w:val="21"/>
        </w:rPr>
        <w:t xml:space="preserve">AI features (predictive modeling, smart alerts, NLP precertification)</w:t>
      </w:r>
    </w:p>
    <w:p>
      <w:pPr>
        <w:pStyle w:val="Heading2"/>
        <w:spacing w:before="300" w:after="150"/>
      </w:pPr>
      <w:r>
        <w:rPr>
          <w:rFonts w:ascii="Arial" w:cs="Arial" w:eastAsia="Arial" w:hAnsi="Arial"/>
          <w:b/>
          <w:bCs/>
          <w:color w:val="2C3E50"/>
          <w:sz w:val="26"/>
          <w:szCs w:val="26"/>
        </w:rPr>
        <w:t xml:space="preserve">Roadmap</w:t>
      </w:r>
    </w:p>
    <w:p>
      <w:pPr>
        <w:spacing w:after="120"/>
      </w:pPr>
      <w:r>
        <w:rPr>
          <w:rFonts w:ascii="Arial" w:cs="Arial" w:eastAsia="Arial" w:hAnsi="Arial"/>
          <w:b/>
          <w:bCs/>
          <w:sz w:val="21"/>
          <w:szCs w:val="21"/>
        </w:rPr>
        <w:t xml:space="preserve">Near-term: </w:t>
      </w:r>
      <w:r>
        <w:rPr>
          <w:rFonts w:ascii="Arial" w:cs="Arial" w:eastAsia="Arial" w:hAnsi="Arial"/>
          <w:sz w:val="21"/>
          <w:szCs w:val="21"/>
        </w:rPr>
        <w:t xml:space="preserve">SMS integration, demo environment for presentations, seed data for demos</w:t>
      </w:r>
    </w:p>
    <w:p>
      <w:pPr>
        <w:spacing w:after="120"/>
      </w:pPr>
      <w:r>
        <w:rPr>
          <w:rFonts w:ascii="Arial" w:cs="Arial" w:eastAsia="Arial" w:hAnsi="Arial"/>
          <w:b/>
          <w:bCs/>
          <w:sz w:val="21"/>
          <w:szCs w:val="21"/>
        </w:rPr>
        <w:t xml:space="preserve">Medium-term: </w:t>
      </w:r>
      <w:r>
        <w:rPr>
          <w:rFonts w:ascii="Arial" w:cs="Arial" w:eastAsia="Arial" w:hAnsi="Arial"/>
          <w:sz w:val="21"/>
          <w:szCs w:val="21"/>
        </w:rPr>
        <w:t xml:space="preserve">EHR integration, shoulder/revision support, AI-powered outcome prediction</w:t>
      </w:r>
    </w:p>
    <w:p>
      <w:pPr>
        <w:spacing w:after="120"/>
      </w:pPr>
      <w:r>
        <w:rPr>
          <w:rFonts w:ascii="Arial" w:cs="Arial" w:eastAsia="Arial" w:hAnsi="Arial"/>
          <w:b/>
          <w:bCs/>
          <w:sz w:val="21"/>
          <w:szCs w:val="21"/>
        </w:rPr>
        <w:t xml:space="preserve">Long-term: </w:t>
      </w:r>
      <w:r>
        <w:rPr>
          <w:rFonts w:ascii="Arial" w:cs="Arial" w:eastAsia="Arial" w:hAnsi="Arial"/>
          <w:sz w:val="21"/>
          <w:szCs w:val="21"/>
        </w:rPr>
        <w:t xml:space="preserve">Multi-site deployment, payer integration, national outcome benchmarking, AJRR registry submission</w:t>
      </w:r>
    </w:p>
    <w:p>
      <w:r>
        <w:br w:type="page"/>
      </w:r>
    </w:p>
    <w:p>
      <w:pPr>
        <w:pStyle w:val="Heading1"/>
        <w:spacing w:before="400" w:after="200"/>
      </w:pPr>
      <w:r>
        <w:rPr>
          <w:rFonts w:ascii="Arial" w:cs="Arial" w:eastAsia="Arial" w:hAnsi="Arial"/>
          <w:b/>
          <w:bCs/>
          <w:color w:val="1B4F72"/>
          <w:sz w:val="32"/>
          <w:szCs w:val="32"/>
        </w:rPr>
        <w:t xml:space="preserve">Section 10: Clinical Standards</w:t>
      </w:r>
    </w:p>
    <w:p>
      <w:pPr>
        <w:spacing w:after="120"/>
      </w:pPr>
      <w:r>
        <w:rPr>
          <w:rFonts w:ascii="Arial" w:cs="Arial" w:eastAsia="Arial" w:hAnsi="Arial"/>
          <w:sz w:val="21"/>
          <w:szCs w:val="21"/>
        </w:rPr>
        <w:t xml:space="preserve">These are non-negotiable clinical standards built into the system. Any marketing or sales materials must accurately represent:</w:t>
      </w:r>
    </w:p>
    <w:p>
      <w:pPr>
        <w:pStyle w:val="ListParagraph"/>
        <w:numPr>
          <w:ilvl w:val="0"/>
          <w:numId w:val="2"/>
        </w:numPr>
        <w:spacing w:after="60"/>
      </w:pPr>
      <w:r>
        <w:rPr>
          <w:rFonts w:ascii="Arial" w:cs="Arial" w:eastAsia="Arial" w:hAnsi="Arial"/>
          <w:sz w:val="21"/>
          <w:szCs w:val="21"/>
        </w:rPr>
        <w:t xml:space="preserve">KOOS Jr and HOOS Jr use official HSS Rasch conversion tables — NOT percentage scoring</w:t>
      </w:r>
    </w:p>
    <w:p>
      <w:pPr>
        <w:pStyle w:val="ListParagraph"/>
        <w:numPr>
          <w:ilvl w:val="0"/>
          <w:numId w:val="2"/>
        </w:numPr>
        <w:spacing w:after="60"/>
      </w:pPr>
      <w:r>
        <w:rPr>
          <w:rFonts w:ascii="Arial" w:cs="Arial" w:eastAsia="Arial" w:hAnsi="Arial"/>
          <w:sz w:val="21"/>
          <w:szCs w:val="21"/>
        </w:rPr>
        <w:t xml:space="preserve">Comorbidity outcome reductions are 1-3 points each — based on published literature, not inflated</w:t>
      </w:r>
    </w:p>
    <w:p>
      <w:pPr>
        <w:pStyle w:val="ListParagraph"/>
        <w:numPr>
          <w:ilvl w:val="0"/>
          <w:numId w:val="2"/>
        </w:numPr>
        <w:spacing w:after="60"/>
      </w:pPr>
      <w:r>
        <w:rPr>
          <w:rFonts w:ascii="Arial" w:cs="Arial" w:eastAsia="Arial" w:hAnsi="Arial"/>
          <w:sz w:val="21"/>
          <w:szCs w:val="21"/>
        </w:rPr>
        <w:t xml:space="preserve">TKA target: 77 KOOS Jr  |  THA target: 81 HOOS Jr</w:t>
      </w:r>
    </w:p>
    <w:p>
      <w:pPr>
        <w:pStyle w:val="ListParagraph"/>
        <w:numPr>
          <w:ilvl w:val="0"/>
          <w:numId w:val="2"/>
        </w:numPr>
        <w:spacing w:after="60"/>
      </w:pPr>
      <w:r>
        <w:rPr>
          <w:rFonts w:ascii="Arial" w:cs="Arial" w:eastAsia="Arial" w:hAnsi="Arial"/>
          <w:sz w:val="21"/>
          <w:szCs w:val="21"/>
        </w:rPr>
        <w:t xml:space="preserve">SCB thresholds: ≥20 KOOS Jr improvement, ≥22 HOOS Jr improvement</w:t>
      </w:r>
    </w:p>
    <w:p>
      <w:pPr>
        <w:pStyle w:val="ListParagraph"/>
        <w:numPr>
          <w:ilvl w:val="0"/>
          <w:numId w:val="2"/>
        </w:numPr>
        <w:spacing w:after="60"/>
      </w:pPr>
      <w:r>
        <w:rPr>
          <w:rFonts w:ascii="Arial" w:cs="Arial" w:eastAsia="Arial" w:hAnsi="Arial"/>
          <w:sz w:val="21"/>
          <w:szCs w:val="21"/>
        </w:rPr>
        <w:t xml:space="preserve">PASS thresholds: 71 KOOS Jr, 81 HOOS Jr</w:t>
      </w:r>
    </w:p>
    <w:p>
      <w:pPr>
        <w:pStyle w:val="ListParagraph"/>
        <w:numPr>
          <w:ilvl w:val="0"/>
          <w:numId w:val="2"/>
        </w:numPr>
        <w:spacing w:after="60"/>
      </w:pPr>
      <w:r>
        <w:rPr>
          <w:rFonts w:ascii="Arial" w:cs="Arial" w:eastAsia="Arial" w:hAnsi="Arial"/>
          <w:sz w:val="21"/>
          <w:szCs w:val="21"/>
        </w:rPr>
        <w:t xml:space="preserve">Non-operative recommendations cite AAOS Clinical Practice Guidelines</w:t>
      </w:r>
    </w:p>
    <w:p>
      <w:pPr>
        <w:pStyle w:val="ListParagraph"/>
        <w:numPr>
          <w:ilvl w:val="0"/>
          <w:numId w:val="2"/>
        </w:numPr>
        <w:spacing w:after="60"/>
      </w:pPr>
      <w:r>
        <w:rPr>
          <w:rFonts w:ascii="Arial" w:cs="Arial" w:eastAsia="Arial" w:hAnsi="Arial"/>
          <w:sz w:val="21"/>
          <w:szCs w:val="21"/>
        </w:rPr>
        <w:t xml:space="preserve">The system provides clinical decision SUPPORT — it does NOT make treatment decisions</w:t>
      </w:r>
    </w:p>
    <w:p>
      <w:pPr>
        <w:spacing w:after="60"/>
      </w:pPr>
    </w:p>
    <w:p>
      <w:pPr>
        <w:pStyle w:val="Heading1"/>
        <w:spacing w:before="400" w:after="200"/>
      </w:pPr>
      <w:r>
        <w:rPr>
          <w:rFonts w:ascii="Arial" w:cs="Arial" w:eastAsia="Arial" w:hAnsi="Arial"/>
          <w:b/>
          <w:bCs/>
          <w:color w:val="1B4F72"/>
          <w:sz w:val="32"/>
          <w:szCs w:val="32"/>
        </w:rPr>
        <w:t xml:space="preserve">Section 11: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 NUC in clinic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one-time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deployment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ngrok tunnel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demo on a call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Render.com cloud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or $7/month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demo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(DigitalOcean)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$5-10/month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demo environment</w:t>
            </w:r>
          </w:p>
        </w:tc>
      </w:tr>
    </w:tbl>
    <w:p>
      <w:pPr>
        <w:spacing w:after="60"/>
      </w:pPr>
    </w:p>
    <w:p>
      <w:pPr>
        <w:spacing w:after="120"/>
      </w:pPr>
      <w:r>
        <w:rPr>
          <w:rFonts w:ascii="Arial" w:cs="Arial" w:eastAsia="Arial" w:hAnsi="Arial"/>
          <w:sz w:val="21"/>
          <w:szCs w:val="21"/>
        </w:rPr>
        <w:t xml:space="preserve">The production architecture (NUC in clinic) is also the most HIPAA-secure option. Cloud deployments are for demos and development only.</w:t>
      </w:r>
    </w:p>
    <w:p>
      <w:pPr>
        <w:spacing w:after="60"/>
      </w:pPr>
    </w:p>
    <w:p>
      <w:pPr>
        <w:spacing w:after="60"/>
      </w:pPr>
    </w:p>
    <w:p>
      <w:pPr>
        <w:pBdr>
          <w:top w:val="single" w:color="1B4F72" w:sz="2"/>
        </w:pBdr>
        <w:spacing w:before="400"/>
        <w:jc w:val="center"/>
      </w:pPr>
      <w:r>
        <w:rPr>
          <w:rFonts w:ascii="Arial" w:cs="Arial" w:eastAsia="Arial" w:hAnsi="Arial"/>
          <w:i/>
          <w:iCs/>
          <w:color w:val="7F8C8D"/>
          <w:sz w:val="22"/>
          <w:szCs w:val="22"/>
        </w:rPr>
        <w:t xml:space="preserve">End of System Brief. Paste into any LLM and start asking questions.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2026-02-19T04:24:26.902Z</dcterms:created>
  <dcterms:modified xsi:type="dcterms:W3CDTF">2026-02-19T04:24:26.903Z</dcterms:modified>
</cp:coreProperties>
</file>

<file path=docProps/custom.xml><?xml version="1.0" encoding="utf-8"?>
<Properties xmlns="http://schemas.openxmlformats.org/officeDocument/2006/custom-properties" xmlns:vt="http://schemas.openxmlformats.org/officeDocument/2006/docPropsVTypes"/>
</file>