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rFonts w:ascii="Playfair Display Regular" w:cs="Playfair Display Regular" w:eastAsia="Playfair Display Regular" w:hAnsi="Playfair Display Regular"/>
          <w:sz w:val="48"/>
          <w:szCs w:val="48"/>
        </w:rPr>
      </w:pPr>
      <w:r w:rsidDel="00000000" w:rsidR="00000000" w:rsidRPr="00000000">
        <w:rPr>
          <w:rFonts w:ascii="Playfair Display Regular" w:cs="Playfair Display Regular" w:eastAsia="Playfair Display Regular" w:hAnsi="Playfair Display Regular"/>
          <w:sz w:val="48"/>
          <w:szCs w:val="48"/>
          <w:rtl w:val="0"/>
        </w:rPr>
        <w:t xml:space="preserve">DOCUMENTO </w:t>
      </w:r>
    </w:p>
    <w:p w:rsidR="00000000" w:rsidDel="00000000" w:rsidP="00000000" w:rsidRDefault="00000000" w:rsidRPr="00000000" w14:paraId="0000000A">
      <w:pPr>
        <w:jc w:val="right"/>
        <w:rPr>
          <w:rFonts w:ascii="Playfair Display Regular" w:cs="Playfair Display Regular" w:eastAsia="Playfair Display Regular" w:hAnsi="Playfair Display Regular"/>
          <w:sz w:val="48"/>
          <w:szCs w:val="48"/>
        </w:rPr>
      </w:pPr>
      <w:r w:rsidDel="00000000" w:rsidR="00000000" w:rsidRPr="00000000">
        <w:rPr>
          <w:rFonts w:ascii="Playfair Display Regular" w:cs="Playfair Display Regular" w:eastAsia="Playfair Display Regular" w:hAnsi="Playfair Display Regular"/>
          <w:sz w:val="48"/>
          <w:szCs w:val="48"/>
          <w:rtl w:val="0"/>
        </w:rPr>
        <w:t xml:space="preserve">DE DIAGRAMAS</w:t>
      </w:r>
    </w:p>
    <w:p w:rsidR="00000000" w:rsidDel="00000000" w:rsidP="00000000" w:rsidRDefault="00000000" w:rsidRPr="00000000" w14:paraId="0000000B">
      <w:pPr>
        <w:jc w:val="right"/>
        <w:rPr>
          <w:rFonts w:ascii="Playfair Display Regular" w:cs="Playfair Display Regular" w:eastAsia="Playfair Display Regular" w:hAnsi="Playfair Display Regular"/>
          <w:sz w:val="48"/>
          <w:szCs w:val="48"/>
        </w:rPr>
      </w:pPr>
      <w:r w:rsidDel="00000000" w:rsidR="00000000" w:rsidRPr="00000000">
        <w:rPr>
          <w:rFonts w:ascii="Playfair Display Regular" w:cs="Playfair Display Regular" w:eastAsia="Playfair Display Regular" w:hAnsi="Playfair Display Regular"/>
          <w:sz w:val="48"/>
          <w:szCs w:val="48"/>
          <w:rtl w:val="0"/>
        </w:rPr>
        <w:t xml:space="preserve"> DE LA API</w:t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rFonts w:ascii="Playfair Display" w:cs="Playfair Display" w:eastAsia="Playfair Display" w:hAnsi="Playfair Display"/>
          <w:color w:val="6fa8dc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6fa8dc"/>
          <w:sz w:val="28"/>
          <w:szCs w:val="28"/>
          <w:rtl w:val="0"/>
        </w:rPr>
        <w:t xml:space="preserve">Descripción breve </w:t>
      </w:r>
    </w:p>
    <w:p w:rsidR="00000000" w:rsidDel="00000000" w:rsidP="00000000" w:rsidRDefault="00000000" w:rsidRPr="00000000" w14:paraId="00000017">
      <w:pPr>
        <w:jc w:val="right"/>
        <w:rPr>
          <w:rFonts w:ascii="Roboto Mono Regular" w:cs="Roboto Mono Regular" w:eastAsia="Roboto Mono Regular" w:hAnsi="Roboto Mono Regular"/>
          <w:sz w:val="24"/>
          <w:szCs w:val="24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sz w:val="24"/>
          <w:szCs w:val="24"/>
          <w:rtl w:val="0"/>
        </w:rPr>
        <w:t xml:space="preserve">documento  con diagramas de secuencia y componentes</w:t>
      </w:r>
    </w:p>
    <w:p w:rsidR="00000000" w:rsidDel="00000000" w:rsidP="00000000" w:rsidRDefault="00000000" w:rsidRPr="00000000" w14:paraId="00000018">
      <w:pPr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Playfair Display Regular" w:cs="Playfair Display Regular" w:eastAsia="Playfair Display Regular" w:hAnsi="Playfair Display Regular"/>
          <w:sz w:val="28"/>
          <w:szCs w:val="28"/>
        </w:rPr>
      </w:pPr>
      <w:r w:rsidDel="00000000" w:rsidR="00000000" w:rsidRPr="00000000">
        <w:rPr>
          <w:rFonts w:ascii="Playfair Display Regular" w:cs="Playfair Display Regular" w:eastAsia="Playfair Display Regular" w:hAnsi="Playfair Display Regular"/>
          <w:sz w:val="28"/>
          <w:szCs w:val="28"/>
          <w:rtl w:val="0"/>
        </w:rPr>
        <w:t xml:space="preserve">Autor: Juan Daniel Muñoz Queupul </w:t>
      </w:r>
    </w:p>
    <w:p w:rsidR="00000000" w:rsidDel="00000000" w:rsidP="00000000" w:rsidRDefault="00000000" w:rsidRPr="00000000" w14:paraId="00000022">
      <w:pPr>
        <w:jc w:val="center"/>
        <w:rPr>
          <w:rFonts w:ascii="Playfair Display Regular" w:cs="Playfair Display Regular" w:eastAsia="Playfair Display Regular" w:hAnsi="Playfair Display Regular"/>
          <w:sz w:val="28"/>
          <w:szCs w:val="28"/>
        </w:rPr>
      </w:pPr>
      <w:r w:rsidDel="00000000" w:rsidR="00000000" w:rsidRPr="00000000">
        <w:rPr>
          <w:rFonts w:ascii="Playfair Display Regular" w:cs="Playfair Display Regular" w:eastAsia="Playfair Display Regular" w:hAnsi="Playfair Display Regular"/>
          <w:sz w:val="28"/>
          <w:szCs w:val="28"/>
          <w:rtl w:val="0"/>
        </w:rPr>
        <w:t xml:space="preserve">Especificaciones de diagramas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Api Restfull - Login de Usuario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layfair Display Regular" w:cs="Playfair Display Regular" w:eastAsia="Playfair Display Regular" w:hAnsi="Playfair Display Regular"/>
          <w:color w:val="6fa8dc"/>
          <w:sz w:val="28"/>
          <w:szCs w:val="28"/>
          <w:u w:val="single"/>
        </w:rPr>
      </w:pPr>
      <w:r w:rsidDel="00000000" w:rsidR="00000000" w:rsidRPr="00000000">
        <w:rPr>
          <w:rFonts w:ascii="Playfair Display Regular" w:cs="Playfair Display Regular" w:eastAsia="Playfair Display Regular" w:hAnsi="Playfair Display Regular"/>
          <w:color w:val="6fa8dc"/>
          <w:sz w:val="28"/>
          <w:szCs w:val="28"/>
          <w:u w:val="single"/>
          <w:rtl w:val="0"/>
        </w:rPr>
        <w:t xml:space="preserve">Diagramas de Componentes</w:t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720"/>
        <w:jc w:val="both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M</w:t>
      </w: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uestran las interacción entre los componentes, vamos de lo más general a lo más particular.</w:t>
      </w:r>
    </w:p>
    <w:p w:rsidR="00000000" w:rsidDel="00000000" w:rsidP="00000000" w:rsidRDefault="00000000" w:rsidRPr="00000000" w14:paraId="00000029">
      <w:pPr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Representan unas de las maneras para interactuar con la API a nivel macro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1.- imagen general</w:t>
      </w:r>
    </w:p>
    <w:p w:rsidR="00000000" w:rsidDel="00000000" w:rsidP="00000000" w:rsidRDefault="00000000" w:rsidRPr="00000000" w14:paraId="0000002E">
      <w:pPr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Representa los componentes generales para la autentificación del usuario y tecnología ocupada para generar token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2.- imagen de validación de </w:t>
      </w: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autentificación</w:t>
      </w: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 del usuario 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Representa la interacción de los componentes ocupando la característica de ID (inyección de dependencia)</w:t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3.- Imagen de lo construido en la API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Playfair Display Regular" w:cs="Playfair Display Regular" w:eastAsia="Playfair Display Regular" w:hAnsi="Playfair Display Regular"/>
          <w:color w:val="6fa8dc"/>
          <w:sz w:val="28"/>
          <w:szCs w:val="28"/>
          <w:u w:val="single"/>
        </w:rPr>
      </w:pPr>
      <w:r w:rsidDel="00000000" w:rsidR="00000000" w:rsidRPr="00000000">
        <w:rPr>
          <w:rFonts w:ascii="Playfair Display Regular" w:cs="Playfair Display Regular" w:eastAsia="Playfair Display Regular" w:hAnsi="Playfair Display Regular"/>
          <w:color w:val="6fa8dc"/>
          <w:sz w:val="28"/>
          <w:szCs w:val="28"/>
          <w:u w:val="single"/>
          <w:rtl w:val="0"/>
        </w:rPr>
        <w:t xml:space="preserve">Diagramas de Secuencias</w:t>
      </w:r>
    </w:p>
    <w:p w:rsidR="00000000" w:rsidDel="00000000" w:rsidP="00000000" w:rsidRDefault="00000000" w:rsidRPr="00000000" w14:paraId="0000005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jc w:val="both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M</w:t>
      </w: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uestran las interacción entre las diferentes clases y sus métodos, pasemos a revisar las secuencias de los métodos del Controller para obtener la información.</w:t>
      </w:r>
    </w:p>
    <w:p w:rsidR="00000000" w:rsidDel="00000000" w:rsidP="00000000" w:rsidRDefault="00000000" w:rsidRPr="00000000" w14:paraId="00000055">
      <w:pPr>
        <w:ind w:firstLine="720"/>
        <w:jc w:val="both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20"/>
        <w:jc w:val="both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Antes de ejecutar cualquiera de los métodos la api </w:t>
      </w: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valida</w:t>
      </w: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 si la autentificación es correcta y la hora de expiración.</w:t>
      </w:r>
    </w:p>
    <w:p w:rsidR="00000000" w:rsidDel="00000000" w:rsidP="00000000" w:rsidRDefault="00000000" w:rsidRPr="00000000" w14:paraId="0000005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Representa la secuencia del método POST del login.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4.- Imagen de Funcionalidad del Método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Representa la secuencia del método GET que buscar por id de usuario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908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5.- Imagen de Búsqueda por Id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Representa la secuencia del método PUT para actualizar los datos del usuario.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0998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6.- Imagen de actualización de datos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Representa las secuencia del método GET para salida del usuario o cerrar sesión.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37004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 xml:space="preserve">7.- Imagen de actualización de datos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Playfair Display Regular" w:cs="Playfair Display Regular" w:eastAsia="Playfair Display Regular" w:hAnsi="Playfair Display Regular"/>
          <w:color w:val="6fa8dc"/>
        </w:rPr>
      </w:pPr>
      <w:r w:rsidDel="00000000" w:rsidR="00000000" w:rsidRPr="00000000">
        <w:rPr>
          <w:rFonts w:ascii="Playfair Display Regular" w:cs="Playfair Display Regular" w:eastAsia="Playfair Display Regular" w:hAnsi="Playfair Display Regular"/>
          <w:color w:val="6fa8dc"/>
          <w:sz w:val="28"/>
          <w:szCs w:val="28"/>
          <w:u w:val="single"/>
          <w:rtl w:val="0"/>
        </w:rPr>
        <w:t xml:space="preserve">Información Adicional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rtl w:val="0"/>
        </w:rPr>
        <w:tab/>
        <w:t xml:space="preserve">La comunicación será con mensajería será JSON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999999999998" w:type="dxa"/>
        <w:jc w:val="left"/>
        <w:tblInd w:w="120.0" w:type="pct"/>
        <w:tblBorders>
          <w:top w:color="000000" w:space="0" w:sz="0" w:val="nil"/>
          <w:left w:color="f69d3c" w:space="0" w:sz="30" w:val="single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29.4651539708266"/>
        <w:gridCol w:w="6600.5348460291725"/>
        <w:tblGridChange w:id="0">
          <w:tblGrid>
            <w:gridCol w:w="2429.4651539708266"/>
            <w:gridCol w:w="6600.5348460291725"/>
          </w:tblGrid>
        </w:tblGridChange>
      </w:tblGrid>
      <w:tr>
        <w:trPr>
          <w:trHeight w:val="7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300" w:lineRule="auto"/>
              <w:rPr>
                <w:rFonts w:ascii="Playfair Display Regular" w:cs="Playfair Display Regular" w:eastAsia="Playfair Display Regular" w:hAnsi="Playfair Display Regular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Playfair Display Regular" w:cs="Playfair Display Regular" w:eastAsia="Playfair Display Regular" w:hAnsi="Playfair Display Regular"/>
                <w:color w:val="e06666"/>
                <w:sz w:val="24"/>
                <w:szCs w:val="24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300" w:lineRule="auto"/>
              <w:jc w:val="both"/>
              <w:rPr>
                <w:rFonts w:ascii="Roboto Mono Regular" w:cs="Roboto Mono Regular" w:eastAsia="Roboto Mono Regular" w:hAnsi="Roboto Mono Regular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 Mono Regular" w:cs="Roboto Mono Regular" w:eastAsia="Roboto Mono Regular" w:hAnsi="Roboto Mono Regular"/>
                <w:color w:val="333333"/>
                <w:sz w:val="24"/>
                <w:szCs w:val="24"/>
                <w:rtl w:val="0"/>
              </w:rPr>
              <w:t xml:space="preserve">Todos los métodos (PUT,POST,GET) implementado en la API deben recibir y responder en formato JSON.</w:t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Playfair Display Regular" w:cs="Playfair Display Regular" w:eastAsia="Playfair Display Regular" w:hAnsi="Playfair Display Regular"/>
          <w:color w:val="6fa8dc"/>
          <w:sz w:val="28"/>
          <w:szCs w:val="28"/>
          <w:u w:val="single"/>
        </w:rPr>
      </w:pPr>
      <w:r w:rsidDel="00000000" w:rsidR="00000000" w:rsidRPr="00000000">
        <w:rPr>
          <w:rFonts w:ascii="Playfair Display Regular" w:cs="Playfair Display Regular" w:eastAsia="Playfair Display Regular" w:hAnsi="Playfair Display Regular"/>
          <w:color w:val="6fa8dc"/>
          <w:sz w:val="28"/>
          <w:szCs w:val="28"/>
          <w:u w:val="single"/>
          <w:rtl w:val="0"/>
        </w:rPr>
        <w:t xml:space="preserve">Referencias</w:t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https://support.microsoft.com/es-es/office/crear-un-diagrama-de-componentes-uml-aa924ecb-e4d2-4172-976e-a78fa157b074#:~:text=Iniciar%20un%</w:t>
        </w:r>
      </w:hyperlink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20diagrama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%20de%</w:t>
        </w:r>
      </w:hyperlink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20componentes&amp;text=O</w:t>
        </w:r>
      </w:hyperlink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%20bien%2C%20si%20ya%20tiene,desee%2C%20haga%20clic%20en%20crear.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</w:pP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https://plantuml.com/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https://app.lucidchart.com/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https://www.udemy.com/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 Regula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 Regula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e8d4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udemy.com/" TargetMode="Externa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hyperlink" Target="https://support.microsoft.com/es-es/office/crear-un-diagrama-de-componentes-uml-aa924ecb-e4d2-4172-976e-a78fa157b074#:~:text=Iniciar%20un%20diagrama%20de%20componentes&amp;text=O%20bien%2C%20si%20ya%20tiene,desee%2C%20haga%20clic%20en%20crear.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support.microsoft.com/es-es/office/crear-un-diagrama-de-componentes-uml-aa924ecb-e4d2-4172-976e-a78fa157b074#:~:text=Iniciar%20un%20diagrama%20de%20componentes&amp;text=O%20bien%2C%20si%20ya%20tiene,desee%2C%20haga%20clic%20en%20crear." TargetMode="External"/><Relationship Id="rId14" Type="http://schemas.openxmlformats.org/officeDocument/2006/relationships/hyperlink" Target="https://support.microsoft.com/es-es/office/crear-un-diagrama-de-componentes-uml-aa924ecb-e4d2-4172-976e-a78fa157b074#:~:text=Iniciar%20un%20diagrama%20de%20componentes&amp;text=O%20bien%2C%20si%20ya%20tiene,desee%2C%20haga%20clic%20en%20crear." TargetMode="External"/><Relationship Id="rId17" Type="http://schemas.openxmlformats.org/officeDocument/2006/relationships/hyperlink" Target="https://support.microsoft.com/es-es/office/crear-un-diagrama-de-componentes-uml-aa924ecb-e4d2-4172-976e-a78fa157b074#:~:text=Iniciar%20un%20diagrama%20de%20componentes&amp;text=O%20bien%2C%20si%20ya%20tiene,desee%2C%20haga%20clic%20en%20crear." TargetMode="External"/><Relationship Id="rId16" Type="http://schemas.openxmlformats.org/officeDocument/2006/relationships/hyperlink" Target="https://support.microsoft.com/es-es/office/crear-un-diagrama-de-componentes-uml-aa924ecb-e4d2-4172-976e-a78fa157b074#:~:text=Iniciar%20un%20diagrama%20de%20componentes&amp;text=O%20bien%2C%20si%20ya%20tiene,desee%2C%20haga%20clic%20en%20crear." TargetMode="External"/><Relationship Id="rId5" Type="http://schemas.openxmlformats.org/officeDocument/2006/relationships/styles" Target="styles.xml"/><Relationship Id="rId19" Type="http://schemas.openxmlformats.org/officeDocument/2006/relationships/hyperlink" Target="https://app.lucidchart.com/documents/edit/489b5951-0bbc-4a80-9a69-0e6d37d838f7/0_0?beaconFlowId=744246E21E6A742C#?folder_id=home&amp;browser=icon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plantuml.com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11" Type="http://schemas.openxmlformats.org/officeDocument/2006/relationships/font" Target="fonts/RobotoMonoRegular-italic.ttf"/><Relationship Id="rId10" Type="http://schemas.openxmlformats.org/officeDocument/2006/relationships/font" Target="fonts/RobotoMonoRegular-bold.ttf"/><Relationship Id="rId12" Type="http://schemas.openxmlformats.org/officeDocument/2006/relationships/font" Target="fonts/RobotoMonoRegular-boldItalic.ttf"/><Relationship Id="rId9" Type="http://schemas.openxmlformats.org/officeDocument/2006/relationships/font" Target="fonts/RobotoMonoRegular-regular.ttf"/><Relationship Id="rId5" Type="http://schemas.openxmlformats.org/officeDocument/2006/relationships/font" Target="fonts/PlayfairDisplayRegular-regular.ttf"/><Relationship Id="rId6" Type="http://schemas.openxmlformats.org/officeDocument/2006/relationships/font" Target="fonts/PlayfairDisplayRegular-bold.ttf"/><Relationship Id="rId7" Type="http://schemas.openxmlformats.org/officeDocument/2006/relationships/font" Target="fonts/PlayfairDisplayRegular-italic.ttf"/><Relationship Id="rId8" Type="http://schemas.openxmlformats.org/officeDocument/2006/relationships/font" Target="fonts/PlayfairDisplayRegula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