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6E750" w14:textId="54015731" w:rsidR="000E6EF2" w:rsidRDefault="00741C87" w:rsidP="00741C87">
      <w:pPr>
        <w:pStyle w:val="NoSpacing"/>
        <w:jc w:val="right"/>
      </w:pPr>
      <w:r>
        <w:t>Jordan Dardar</w:t>
      </w:r>
    </w:p>
    <w:p w14:paraId="4D1D74D6" w14:textId="1B5367D0" w:rsidR="00741C87" w:rsidRDefault="00741C87" w:rsidP="00741C87">
      <w:pPr>
        <w:pStyle w:val="NoSpacing"/>
        <w:jc w:val="right"/>
      </w:pPr>
      <w:r>
        <w:t>CSD380 DevOps</w:t>
      </w:r>
    </w:p>
    <w:p w14:paraId="5DFE0F09" w14:textId="4BAD2DDB" w:rsidR="00741C87" w:rsidRDefault="00AD27D3" w:rsidP="00741C87">
      <w:pPr>
        <w:pStyle w:val="NoSpacing"/>
        <w:jc w:val="right"/>
      </w:pPr>
      <w:r>
        <w:t>Module 11.2</w:t>
      </w:r>
    </w:p>
    <w:p w14:paraId="60A8C61D" w14:textId="3F055245" w:rsidR="00741C87" w:rsidRDefault="00741C87" w:rsidP="00741C87">
      <w:pPr>
        <w:pStyle w:val="NoSpacing"/>
        <w:jc w:val="right"/>
      </w:pPr>
      <w:r>
        <w:t>7/27/2026</w:t>
      </w:r>
    </w:p>
    <w:p w14:paraId="7B1460B5" w14:textId="77777777" w:rsidR="00741C87" w:rsidRDefault="00741C87" w:rsidP="00741C87">
      <w:pPr>
        <w:pStyle w:val="NoSpacing"/>
        <w:jc w:val="right"/>
      </w:pPr>
    </w:p>
    <w:p w14:paraId="64F3B0EE" w14:textId="77777777" w:rsidR="00AD27D3" w:rsidRDefault="00AD27D3" w:rsidP="00AD27D3">
      <w:pPr>
        <w:pStyle w:val="NoSpacing"/>
        <w:rPr>
          <w:b/>
          <w:bCs/>
          <w:u w:val="single"/>
        </w:rPr>
      </w:pPr>
    </w:p>
    <w:p w14:paraId="3845EE2E" w14:textId="65861C2C" w:rsidR="00AD27D3" w:rsidRPr="00AD27D3" w:rsidRDefault="00AD27D3" w:rsidP="00AD27D3">
      <w:pPr>
        <w:pStyle w:val="NoSpacing"/>
        <w:rPr>
          <w:b/>
          <w:bCs/>
          <w:u w:val="single"/>
        </w:rPr>
      </w:pPr>
      <w:r w:rsidRPr="00AD27D3">
        <w:rPr>
          <w:b/>
          <w:bCs/>
          <w:u w:val="single"/>
        </w:rPr>
        <w:t>Compliance in DevOps</w:t>
      </w:r>
    </w:p>
    <w:p w14:paraId="4FA77025" w14:textId="77777777" w:rsidR="00AD27D3" w:rsidRDefault="00AD27D3" w:rsidP="00AD27D3">
      <w:pPr>
        <w:pStyle w:val="NoSpacing"/>
      </w:pPr>
    </w:p>
    <w:p w14:paraId="6DCF2AA8" w14:textId="4C2F5A49" w:rsidR="00AD27D3" w:rsidRPr="00AD27D3" w:rsidRDefault="00AD27D3" w:rsidP="00AD27D3">
      <w:pPr>
        <w:pStyle w:val="NoSpacing"/>
      </w:pPr>
      <w:r w:rsidRPr="00AD27D3">
        <w:t>Chapter 23 of The DevOps Handbook explains how organizations can maintain strong security and regulatory compliance while still achieving the speed and automation that DevOps encourages. Rather than viewing compliance as something that slows development, the authors argue that compliance should be integrated directly into the deployment pipeline through automation, monitoring, documentation, and collaboration. The chapter includes two case studies that demonstrate how organizations can successfully meet regulatory requirements while improving efficiency.</w:t>
      </w:r>
    </w:p>
    <w:p w14:paraId="3E4084B1" w14:textId="77777777" w:rsidR="00AD27D3" w:rsidRDefault="00AD27D3" w:rsidP="00AD27D3">
      <w:pPr>
        <w:pStyle w:val="NoSpacing"/>
        <w:rPr>
          <w:b/>
          <w:bCs/>
        </w:rPr>
      </w:pPr>
    </w:p>
    <w:p w14:paraId="3FA467F7" w14:textId="5ED576EF" w:rsidR="00AD27D3" w:rsidRPr="00AD27D3" w:rsidRDefault="00AD27D3" w:rsidP="00AD27D3">
      <w:pPr>
        <w:pStyle w:val="NoSpacing"/>
        <w:rPr>
          <w:b/>
          <w:bCs/>
          <w:u w:val="single"/>
        </w:rPr>
      </w:pPr>
      <w:r w:rsidRPr="00AD27D3">
        <w:rPr>
          <w:b/>
          <w:bCs/>
          <w:u w:val="single"/>
        </w:rPr>
        <w:t>Case Study 1: Providing Compliance in Regulated Environments</w:t>
      </w:r>
    </w:p>
    <w:p w14:paraId="21354F2A" w14:textId="77777777" w:rsidR="00AD27D3" w:rsidRPr="00AD27D3" w:rsidRDefault="00AD27D3" w:rsidP="00AD27D3">
      <w:pPr>
        <w:pStyle w:val="NoSpacing"/>
      </w:pPr>
      <w:r w:rsidRPr="00AD27D3">
        <w:t>The first case study focuses on organizations operating in highly regulated industries such as healthcare, finance, and government. Traditionally, auditors relied on manual processes such as screenshots, spreadsheets, server inspections, and log files to verify compliance. According to Bill Shinn of Amazon Web Services, these traditional auditing methods become impractical when organizations adopt cloud computing, infrastructure as code, and automated deployments.</w:t>
      </w:r>
    </w:p>
    <w:p w14:paraId="152ACF55" w14:textId="77777777" w:rsidR="00AD27D3" w:rsidRPr="00AD27D3" w:rsidRDefault="00AD27D3" w:rsidP="00AD27D3">
      <w:pPr>
        <w:pStyle w:val="NoSpacing"/>
      </w:pPr>
      <w:r w:rsidRPr="00AD27D3">
        <w:t xml:space="preserve">Instead of collecting evidence manually, AWS worked closely with auditors during the design process to identify exactly what information they needed. The </w:t>
      </w:r>
      <w:proofErr w:type="gramStart"/>
      <w:r w:rsidRPr="00AD27D3">
        <w:t>organization built</w:t>
      </w:r>
      <w:proofErr w:type="gramEnd"/>
      <w:r w:rsidRPr="00AD27D3">
        <w:t xml:space="preserve"> compliance directly into its deployment pipeline by collecting operational data automatically through telemetry platforms such as Splunk and Kibana. This allowed auditors to retrieve the evidence they needed on demand instead of requesting manual reports from engineers.</w:t>
      </w:r>
    </w:p>
    <w:p w14:paraId="2660B7E3" w14:textId="77777777" w:rsidR="00AD27D3" w:rsidRPr="00AD27D3" w:rsidRDefault="00AD27D3" w:rsidP="00AD27D3">
      <w:pPr>
        <w:pStyle w:val="NoSpacing"/>
      </w:pPr>
      <w:r w:rsidRPr="00AD27D3">
        <w:t>One of the most important lessons from this case study is that DevOps and compliance teams should work together instead of treating compliance as a separate activity. By designing automated controls early in development, organizations reduce manual work while providing better visibility into security controls and regulatory requirements. The case study also emphasizes translating legal regulations into measurable technical controls so developers know exactly what must be implemented. This approach makes compliance faster, more accurate, and easier to maintain as systems continue to grow.</w:t>
      </w:r>
    </w:p>
    <w:p w14:paraId="19E0C43F" w14:textId="77777777" w:rsidR="00AD27D3" w:rsidRDefault="00AD27D3" w:rsidP="00AD27D3">
      <w:pPr>
        <w:pStyle w:val="NoSpacing"/>
        <w:rPr>
          <w:b/>
          <w:bCs/>
        </w:rPr>
      </w:pPr>
    </w:p>
    <w:p w14:paraId="677B484B" w14:textId="7910F054" w:rsidR="00AD27D3" w:rsidRPr="00AD27D3" w:rsidRDefault="00AD27D3" w:rsidP="00AD27D3">
      <w:pPr>
        <w:pStyle w:val="NoSpacing"/>
        <w:rPr>
          <w:b/>
          <w:bCs/>
          <w:u w:val="single"/>
        </w:rPr>
      </w:pPr>
      <w:r w:rsidRPr="00AD27D3">
        <w:rPr>
          <w:b/>
          <w:bCs/>
          <w:u w:val="single"/>
        </w:rPr>
        <w:t>Case Study 2: Relying on Production Telemetry for ATM Systems</w:t>
      </w:r>
    </w:p>
    <w:p w14:paraId="7F91545C" w14:textId="77777777" w:rsidR="00AD27D3" w:rsidRPr="00AD27D3" w:rsidRDefault="00AD27D3" w:rsidP="00AD27D3">
      <w:pPr>
        <w:pStyle w:val="NoSpacing"/>
      </w:pPr>
      <w:r w:rsidRPr="00AD27D3">
        <w:t>The second case study demonstrates the importance of production telemetry through an example involving ATM systems. A developer secretly inserted a backdoor into software controlling ATMs, allowing machines to enter maintenance mode and dispense cash without authorization. Although the organization had code reviews, separation of duties, and approval processes in place, none of those controls detected the malicious change before deployment.</w:t>
      </w:r>
    </w:p>
    <w:p w14:paraId="055E5BF0" w14:textId="77777777" w:rsidR="00AD27D3" w:rsidRPr="00AD27D3" w:rsidRDefault="00AD27D3" w:rsidP="00AD27D3">
      <w:pPr>
        <w:pStyle w:val="NoSpacing"/>
      </w:pPr>
      <w:r w:rsidRPr="00AD27D3">
        <w:lastRenderedPageBreak/>
        <w:t xml:space="preserve">Instead, </w:t>
      </w:r>
      <w:proofErr w:type="gramStart"/>
      <w:r w:rsidRPr="00AD27D3">
        <w:t>the fraud</w:t>
      </w:r>
      <w:proofErr w:type="gramEnd"/>
      <w:r w:rsidRPr="00AD27D3">
        <w:t xml:space="preserve"> was discovered because operational monitoring identified ATMs unexpectedly entering maintenance mode during normal business operations. Engineers investigated the unusual production behavior and quickly uncovered the unauthorized activity before significant financial losses occurred.</w:t>
      </w:r>
    </w:p>
    <w:p w14:paraId="0FF9CC40" w14:textId="77777777" w:rsidR="00AD27D3" w:rsidRPr="00AD27D3" w:rsidRDefault="00AD27D3" w:rsidP="00AD27D3">
      <w:pPr>
        <w:pStyle w:val="NoSpacing"/>
      </w:pPr>
      <w:r w:rsidRPr="00AD27D3">
        <w:t>The primary lesson from this case study is that preventive controls alone are not enough. Code reviews and change approvals are valuable, but organizations also need continuous monitoring after software reaches production. Production telemetry provides real-time visibility into how systems behave and can identify suspicious activity that static reviews may never detect. DevOps organizations should combine automated testing, deployment controls, and continuous monitoring to create multiple layers of protection rather than relying on a single security practice.</w:t>
      </w:r>
    </w:p>
    <w:p w14:paraId="7F8E48A5" w14:textId="77777777" w:rsidR="00AD27D3" w:rsidRDefault="00AD27D3" w:rsidP="00AD27D3">
      <w:pPr>
        <w:pStyle w:val="NoSpacing"/>
        <w:rPr>
          <w:b/>
          <w:bCs/>
        </w:rPr>
      </w:pPr>
    </w:p>
    <w:p w14:paraId="7D1D605A" w14:textId="1085D389" w:rsidR="00AD27D3" w:rsidRPr="00AD27D3" w:rsidRDefault="00AD27D3" w:rsidP="00AD27D3">
      <w:pPr>
        <w:pStyle w:val="NoSpacing"/>
        <w:rPr>
          <w:b/>
          <w:bCs/>
          <w:u w:val="single"/>
        </w:rPr>
      </w:pPr>
      <w:r w:rsidRPr="00AD27D3">
        <w:rPr>
          <w:b/>
          <w:bCs/>
          <w:u w:val="single"/>
        </w:rPr>
        <w:t>Conclusion</w:t>
      </w:r>
      <w:r w:rsidRPr="00AD27D3">
        <w:rPr>
          <w:b/>
          <w:bCs/>
          <w:u w:val="single"/>
        </w:rPr>
        <w:t>:</w:t>
      </w:r>
    </w:p>
    <w:p w14:paraId="6B066A3C" w14:textId="77777777" w:rsidR="00AD27D3" w:rsidRPr="00AD27D3" w:rsidRDefault="00AD27D3" w:rsidP="00AD27D3">
      <w:pPr>
        <w:pStyle w:val="NoSpacing"/>
      </w:pPr>
      <w:r w:rsidRPr="00AD27D3">
        <w:t>Both case studies demonstrate that successful DevOps organizations integrate security and compliance directly into their daily development practices instead of treating them as separate activities. The first case study shows how automation and documentation simplify regulatory compliance while reducing manual auditing efforts. The second illustrates how production telemetry strengthens security by detecting problems that preventive controls may miss. Together, these examples reinforce the authors' message that compliance should be automated whenever possible and supported by continuous monitoring, collaboration, and reliable operational data. Organizations that adopt these practices can improve both software delivery performance and regulatory compliance without sacrificing speed or quality.</w:t>
      </w:r>
    </w:p>
    <w:p w14:paraId="13AF51FB" w14:textId="77777777" w:rsidR="00AD27D3" w:rsidRDefault="00AD27D3" w:rsidP="00AD27D3">
      <w:pPr>
        <w:pStyle w:val="NoSpacing"/>
        <w:rPr>
          <w:b/>
          <w:bCs/>
        </w:rPr>
      </w:pPr>
    </w:p>
    <w:p w14:paraId="70265E47" w14:textId="7B483D2D" w:rsidR="00AD27D3" w:rsidRPr="00AD27D3" w:rsidRDefault="00AD27D3" w:rsidP="00AD27D3">
      <w:pPr>
        <w:pStyle w:val="NoSpacing"/>
        <w:rPr>
          <w:b/>
          <w:bCs/>
          <w:u w:val="single"/>
        </w:rPr>
      </w:pPr>
      <w:r w:rsidRPr="00AD27D3">
        <w:rPr>
          <w:b/>
          <w:bCs/>
          <w:u w:val="single"/>
        </w:rPr>
        <w:t>References</w:t>
      </w:r>
      <w:r w:rsidRPr="00AD27D3">
        <w:rPr>
          <w:b/>
          <w:bCs/>
          <w:u w:val="single"/>
        </w:rPr>
        <w:t>:</w:t>
      </w:r>
    </w:p>
    <w:p w14:paraId="0AFBCBF2" w14:textId="77777777" w:rsidR="00AD27D3" w:rsidRPr="00AD27D3" w:rsidRDefault="00AD27D3" w:rsidP="00AD27D3">
      <w:pPr>
        <w:pStyle w:val="NoSpacing"/>
        <w:numPr>
          <w:ilvl w:val="0"/>
          <w:numId w:val="1"/>
        </w:numPr>
      </w:pPr>
      <w:r w:rsidRPr="00AD27D3">
        <w:t xml:space="preserve">Kim, G., Humble, J., Debois, P., &amp; Willis, J. (2021). </w:t>
      </w:r>
      <w:r w:rsidRPr="00AD27D3">
        <w:rPr>
          <w:i/>
          <w:iCs/>
        </w:rPr>
        <w:t>The DevOps handbook: How to create world-class agility, reliability, and security in technology organizations</w:t>
      </w:r>
      <w:r w:rsidRPr="00AD27D3">
        <w:t xml:space="preserve"> (2nd ed.). IT Revolution Press.</w:t>
      </w:r>
    </w:p>
    <w:p w14:paraId="3B15ED90" w14:textId="77777777" w:rsidR="00741C87" w:rsidRDefault="00741C87" w:rsidP="00741C87">
      <w:pPr>
        <w:pStyle w:val="NoSpacing"/>
      </w:pPr>
    </w:p>
    <w:sectPr w:rsidR="00741C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06AFF"/>
    <w:multiLevelType w:val="hybridMultilevel"/>
    <w:tmpl w:val="22A45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5281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C87"/>
    <w:rsid w:val="000269F0"/>
    <w:rsid w:val="000E6EF2"/>
    <w:rsid w:val="003202A7"/>
    <w:rsid w:val="00741C87"/>
    <w:rsid w:val="00AD27D3"/>
    <w:rsid w:val="00FB5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CFE39"/>
  <w15:chartTrackingRefBased/>
  <w15:docId w15:val="{D9278A3F-47D9-4536-9998-6D943B38E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1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1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1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1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1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1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1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1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1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1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1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C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C87"/>
    <w:rPr>
      <w:rFonts w:eastAsiaTheme="majorEastAsia" w:cstheme="majorBidi"/>
      <w:color w:val="272727" w:themeColor="text1" w:themeTint="D8"/>
    </w:rPr>
  </w:style>
  <w:style w:type="paragraph" w:styleId="Title">
    <w:name w:val="Title"/>
    <w:basedOn w:val="Normal"/>
    <w:next w:val="Normal"/>
    <w:link w:val="TitleChar"/>
    <w:uiPriority w:val="10"/>
    <w:qFormat/>
    <w:rsid w:val="00741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C87"/>
    <w:pPr>
      <w:spacing w:before="160"/>
      <w:jc w:val="center"/>
    </w:pPr>
    <w:rPr>
      <w:i/>
      <w:iCs/>
      <w:color w:val="404040" w:themeColor="text1" w:themeTint="BF"/>
    </w:rPr>
  </w:style>
  <w:style w:type="character" w:customStyle="1" w:styleId="QuoteChar">
    <w:name w:val="Quote Char"/>
    <w:basedOn w:val="DefaultParagraphFont"/>
    <w:link w:val="Quote"/>
    <w:uiPriority w:val="29"/>
    <w:rsid w:val="00741C87"/>
    <w:rPr>
      <w:i/>
      <w:iCs/>
      <w:color w:val="404040" w:themeColor="text1" w:themeTint="BF"/>
    </w:rPr>
  </w:style>
  <w:style w:type="paragraph" w:styleId="ListParagraph">
    <w:name w:val="List Paragraph"/>
    <w:basedOn w:val="Normal"/>
    <w:uiPriority w:val="34"/>
    <w:qFormat/>
    <w:rsid w:val="00741C87"/>
    <w:pPr>
      <w:ind w:left="720"/>
      <w:contextualSpacing/>
    </w:pPr>
  </w:style>
  <w:style w:type="character" w:styleId="IntenseEmphasis">
    <w:name w:val="Intense Emphasis"/>
    <w:basedOn w:val="DefaultParagraphFont"/>
    <w:uiPriority w:val="21"/>
    <w:qFormat/>
    <w:rsid w:val="00741C87"/>
    <w:rPr>
      <w:i/>
      <w:iCs/>
      <w:color w:val="0F4761" w:themeColor="accent1" w:themeShade="BF"/>
    </w:rPr>
  </w:style>
  <w:style w:type="paragraph" w:styleId="IntenseQuote">
    <w:name w:val="Intense Quote"/>
    <w:basedOn w:val="Normal"/>
    <w:next w:val="Normal"/>
    <w:link w:val="IntenseQuoteChar"/>
    <w:uiPriority w:val="30"/>
    <w:qFormat/>
    <w:rsid w:val="00741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1C87"/>
    <w:rPr>
      <w:i/>
      <w:iCs/>
      <w:color w:val="0F4761" w:themeColor="accent1" w:themeShade="BF"/>
    </w:rPr>
  </w:style>
  <w:style w:type="character" w:styleId="IntenseReference">
    <w:name w:val="Intense Reference"/>
    <w:basedOn w:val="DefaultParagraphFont"/>
    <w:uiPriority w:val="32"/>
    <w:qFormat/>
    <w:rsid w:val="00741C87"/>
    <w:rPr>
      <w:b/>
      <w:bCs/>
      <w:smallCaps/>
      <w:color w:val="0F4761" w:themeColor="accent1" w:themeShade="BF"/>
      <w:spacing w:val="5"/>
    </w:rPr>
  </w:style>
  <w:style w:type="paragraph" w:styleId="NoSpacing">
    <w:name w:val="No Spacing"/>
    <w:uiPriority w:val="1"/>
    <w:qFormat/>
    <w:rsid w:val="00741C8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Pages>
  <Words>687</Words>
  <Characters>3922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Dardar</dc:creator>
  <cp:keywords/>
  <dc:description/>
  <cp:lastModifiedBy>Jordan Dardar</cp:lastModifiedBy>
  <cp:revision>1</cp:revision>
  <dcterms:created xsi:type="dcterms:W3CDTF">2026-07-27T23:42:00Z</dcterms:created>
  <dcterms:modified xsi:type="dcterms:W3CDTF">2026-07-28T00:41:00Z</dcterms:modified>
</cp:coreProperties>
</file>