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7B537" w14:textId="77777777" w:rsidR="00C62043" w:rsidRPr="009B03EB" w:rsidRDefault="00C62043" w:rsidP="00C62043">
      <w:pPr>
        <w:spacing w:line="480" w:lineRule="auto"/>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14:anchorId="29784FE1" wp14:editId="079D3C1E">
            <wp:simplePos x="0" y="0"/>
            <wp:positionH relativeFrom="column">
              <wp:posOffset>1276350</wp:posOffset>
            </wp:positionH>
            <wp:positionV relativeFrom="paragraph">
              <wp:posOffset>-571500</wp:posOffset>
            </wp:positionV>
            <wp:extent cx="2968625" cy="74626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imbolo-horizontal-p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68625" cy="746260"/>
                    </a:xfrm>
                    <a:prstGeom prst="rect">
                      <a:avLst/>
                    </a:prstGeom>
                  </pic:spPr>
                </pic:pic>
              </a:graphicData>
            </a:graphic>
            <wp14:sizeRelH relativeFrom="margin">
              <wp14:pctWidth>0</wp14:pctWidth>
            </wp14:sizeRelH>
            <wp14:sizeRelV relativeFrom="margin">
              <wp14:pctHeight>0</wp14:pctHeight>
            </wp14:sizeRelV>
          </wp:anchor>
        </w:drawing>
      </w:r>
    </w:p>
    <w:p w14:paraId="06BFC006" w14:textId="77777777" w:rsidR="00C62043" w:rsidRDefault="00C62043" w:rsidP="00C62043">
      <w:pPr>
        <w:jc w:val="center"/>
        <w:rPr>
          <w:rFonts w:ascii="Times New Roman" w:hAnsi="Times New Roman" w:cs="Times New Roman"/>
          <w:b/>
          <w:bCs/>
          <w:sz w:val="28"/>
          <w:szCs w:val="28"/>
        </w:rPr>
      </w:pPr>
    </w:p>
    <w:p w14:paraId="05364CC6" w14:textId="77777777" w:rsidR="00C62043" w:rsidRDefault="00C62043" w:rsidP="00C62043">
      <w:pPr>
        <w:jc w:val="center"/>
        <w:rPr>
          <w:rFonts w:ascii="Times New Roman" w:hAnsi="Times New Roman" w:cs="Times New Roman"/>
          <w:b/>
          <w:bCs/>
          <w:sz w:val="28"/>
          <w:szCs w:val="28"/>
        </w:rPr>
      </w:pPr>
    </w:p>
    <w:p w14:paraId="22BAD497" w14:textId="75E6FA02" w:rsidR="00C62043" w:rsidRPr="009B03EB" w:rsidRDefault="00C62043" w:rsidP="00C62043">
      <w:pPr>
        <w:jc w:val="center"/>
        <w:rPr>
          <w:rFonts w:ascii="Times New Roman" w:hAnsi="Times New Roman" w:cs="Times New Roman"/>
          <w:b/>
          <w:bCs/>
        </w:rPr>
      </w:pPr>
      <w:r w:rsidRPr="00C62043">
        <w:rPr>
          <w:rFonts w:ascii="Times New Roman" w:hAnsi="Times New Roman" w:cs="Times New Roman"/>
          <w:b/>
          <w:bCs/>
          <w:sz w:val="28"/>
          <w:szCs w:val="28"/>
        </w:rPr>
        <w:t>Análisis del Mercado Energético Colombiano y Predicción de Precios</w:t>
      </w:r>
      <w:r w:rsidR="00E93560">
        <w:rPr>
          <w:rFonts w:ascii="Times New Roman" w:hAnsi="Times New Roman" w:cs="Times New Roman"/>
          <w:b/>
          <w:bCs/>
          <w:sz w:val="28"/>
          <w:szCs w:val="28"/>
        </w:rPr>
        <w:t>.</w:t>
      </w:r>
    </w:p>
    <w:p w14:paraId="747A5901" w14:textId="77777777" w:rsidR="00C62043" w:rsidRDefault="00C62043" w:rsidP="00C62043">
      <w:pPr>
        <w:jc w:val="center"/>
        <w:rPr>
          <w:rFonts w:ascii="Times New Roman" w:hAnsi="Times New Roman" w:cs="Times New Roman"/>
          <w:b/>
          <w:bCs/>
        </w:rPr>
      </w:pPr>
    </w:p>
    <w:p w14:paraId="14B56564" w14:textId="77777777" w:rsidR="00C62043" w:rsidRDefault="00C62043" w:rsidP="00C62043">
      <w:pPr>
        <w:jc w:val="center"/>
        <w:rPr>
          <w:rFonts w:ascii="Times New Roman" w:hAnsi="Times New Roman" w:cs="Times New Roman"/>
          <w:b/>
          <w:bCs/>
        </w:rPr>
      </w:pPr>
    </w:p>
    <w:p w14:paraId="0DFF61B5" w14:textId="77777777" w:rsidR="00C62043" w:rsidRDefault="00C62043" w:rsidP="00C62043">
      <w:pPr>
        <w:jc w:val="center"/>
        <w:rPr>
          <w:rFonts w:ascii="Times New Roman" w:hAnsi="Times New Roman" w:cs="Times New Roman"/>
          <w:b/>
          <w:bCs/>
        </w:rPr>
      </w:pPr>
      <w:r w:rsidRPr="009B03EB">
        <w:rPr>
          <w:rFonts w:ascii="Times New Roman" w:hAnsi="Times New Roman" w:cs="Times New Roman"/>
          <w:b/>
          <w:bCs/>
        </w:rPr>
        <w:t>JESÚS DAVID MONTES CORREA</w:t>
      </w:r>
    </w:p>
    <w:p w14:paraId="19540EF5" w14:textId="77777777" w:rsidR="00C62043" w:rsidRPr="009B03EB" w:rsidRDefault="00C62043" w:rsidP="00C62043">
      <w:pPr>
        <w:jc w:val="center"/>
        <w:rPr>
          <w:rFonts w:ascii="Times New Roman" w:hAnsi="Times New Roman" w:cs="Times New Roman"/>
          <w:b/>
          <w:bCs/>
        </w:rPr>
      </w:pPr>
    </w:p>
    <w:p w14:paraId="48CE9B4E" w14:textId="77777777" w:rsidR="00C62043" w:rsidRPr="009B03EB" w:rsidRDefault="00C62043" w:rsidP="00C62043">
      <w:pPr>
        <w:jc w:val="center"/>
        <w:rPr>
          <w:rFonts w:ascii="Times New Roman" w:hAnsi="Times New Roman" w:cs="Times New Roman"/>
          <w:b/>
          <w:bCs/>
        </w:rPr>
      </w:pPr>
    </w:p>
    <w:p w14:paraId="3928D20F" w14:textId="77777777" w:rsidR="00C62043" w:rsidRPr="004068CD" w:rsidRDefault="00C62043" w:rsidP="00C62043">
      <w:pPr>
        <w:jc w:val="center"/>
        <w:rPr>
          <w:rFonts w:ascii="Times New Roman" w:hAnsi="Times New Roman" w:cs="Times New Roman"/>
          <w:b/>
          <w:bCs/>
        </w:rPr>
      </w:pPr>
      <w:r w:rsidRPr="009B03EB">
        <w:rPr>
          <w:rFonts w:ascii="Times New Roman" w:hAnsi="Times New Roman" w:cs="Times New Roman"/>
          <w:b/>
          <w:bCs/>
        </w:rPr>
        <w:t>JAIME ALEJANDRO VALENCIA VELASQUEZ</w:t>
      </w:r>
      <w:r>
        <w:rPr>
          <w:rFonts w:ascii="Times New Roman" w:hAnsi="Times New Roman" w:cs="Times New Roman"/>
          <w:b/>
          <w:bCs/>
        </w:rPr>
        <w:t>,</w:t>
      </w:r>
    </w:p>
    <w:p w14:paraId="6E0F514E" w14:textId="77777777" w:rsidR="00C62043" w:rsidRPr="009B03EB" w:rsidRDefault="00C62043" w:rsidP="00C62043">
      <w:pPr>
        <w:jc w:val="center"/>
        <w:rPr>
          <w:rFonts w:ascii="Times New Roman" w:hAnsi="Times New Roman" w:cs="Times New Roman"/>
          <w:b/>
          <w:bCs/>
        </w:rPr>
      </w:pPr>
      <w:r w:rsidRPr="004068CD">
        <w:rPr>
          <w:rFonts w:ascii="Times New Roman" w:hAnsi="Times New Roman" w:cs="Times New Roman"/>
          <w:b/>
          <w:bCs/>
        </w:rPr>
        <w:t>ESTEBAN VELILLA HERNANDEZ</w:t>
      </w:r>
    </w:p>
    <w:p w14:paraId="5CAEFE97" w14:textId="77777777" w:rsidR="00C62043" w:rsidRPr="009B03EB" w:rsidRDefault="00C62043" w:rsidP="00C62043">
      <w:pPr>
        <w:jc w:val="center"/>
        <w:rPr>
          <w:rFonts w:ascii="Times New Roman" w:hAnsi="Times New Roman" w:cs="Times New Roman"/>
          <w:b/>
          <w:bCs/>
        </w:rPr>
      </w:pPr>
    </w:p>
    <w:p w14:paraId="4069DE5E" w14:textId="77777777" w:rsidR="00C62043" w:rsidRDefault="00C62043" w:rsidP="00C62043">
      <w:pPr>
        <w:jc w:val="center"/>
        <w:rPr>
          <w:rFonts w:ascii="Times New Roman" w:hAnsi="Times New Roman" w:cs="Times New Roman"/>
          <w:b/>
          <w:bCs/>
        </w:rPr>
      </w:pPr>
    </w:p>
    <w:p w14:paraId="38848B20" w14:textId="77777777" w:rsidR="00C62043" w:rsidRDefault="00C62043" w:rsidP="00C62043">
      <w:pPr>
        <w:jc w:val="center"/>
        <w:rPr>
          <w:rFonts w:ascii="Times New Roman" w:hAnsi="Times New Roman" w:cs="Times New Roman"/>
          <w:b/>
          <w:bCs/>
        </w:rPr>
      </w:pPr>
      <w:r w:rsidRPr="009B03EB">
        <w:rPr>
          <w:rFonts w:ascii="Times New Roman" w:hAnsi="Times New Roman" w:cs="Times New Roman"/>
          <w:b/>
          <w:bCs/>
        </w:rPr>
        <w:t>FACULTAD DE INGENIERÍA</w:t>
      </w:r>
    </w:p>
    <w:p w14:paraId="4FDA0F55" w14:textId="77777777" w:rsidR="00C62043" w:rsidRDefault="00C62043" w:rsidP="00C62043">
      <w:pPr>
        <w:jc w:val="center"/>
        <w:rPr>
          <w:rFonts w:ascii="Times New Roman" w:hAnsi="Times New Roman" w:cs="Times New Roman"/>
          <w:b/>
          <w:bCs/>
        </w:rPr>
      </w:pPr>
    </w:p>
    <w:p w14:paraId="7B8B1F5E" w14:textId="77777777" w:rsidR="00C62043" w:rsidRPr="009B03EB" w:rsidRDefault="00C62043" w:rsidP="00C62043">
      <w:pPr>
        <w:jc w:val="center"/>
        <w:rPr>
          <w:rFonts w:ascii="Times New Roman" w:hAnsi="Times New Roman" w:cs="Times New Roman"/>
          <w:b/>
          <w:bCs/>
        </w:rPr>
      </w:pPr>
    </w:p>
    <w:p w14:paraId="233F6424" w14:textId="77777777" w:rsidR="00C62043" w:rsidRPr="009B03EB" w:rsidRDefault="00C62043" w:rsidP="00C62043">
      <w:pPr>
        <w:jc w:val="center"/>
        <w:rPr>
          <w:rFonts w:ascii="Times New Roman" w:hAnsi="Times New Roman" w:cs="Times New Roman"/>
          <w:b/>
          <w:bCs/>
        </w:rPr>
      </w:pPr>
    </w:p>
    <w:p w14:paraId="51F190D2" w14:textId="77777777" w:rsidR="00C62043" w:rsidRDefault="00C62043" w:rsidP="00C62043">
      <w:pPr>
        <w:jc w:val="center"/>
        <w:rPr>
          <w:rFonts w:ascii="Times New Roman" w:hAnsi="Times New Roman" w:cs="Times New Roman"/>
          <w:b/>
          <w:bCs/>
        </w:rPr>
      </w:pPr>
      <w:r w:rsidRPr="009B03EB">
        <w:rPr>
          <w:rFonts w:ascii="Times New Roman" w:hAnsi="Times New Roman" w:cs="Times New Roman"/>
          <w:b/>
          <w:bCs/>
        </w:rPr>
        <w:t>INGENIERÍA ELÉCTRICA</w:t>
      </w:r>
    </w:p>
    <w:p w14:paraId="3B4D96AA" w14:textId="77777777" w:rsidR="00C62043" w:rsidRDefault="00C62043" w:rsidP="00C62043">
      <w:pPr>
        <w:jc w:val="center"/>
        <w:rPr>
          <w:rFonts w:ascii="Times New Roman" w:hAnsi="Times New Roman" w:cs="Times New Roman"/>
          <w:b/>
          <w:bCs/>
        </w:rPr>
      </w:pPr>
    </w:p>
    <w:p w14:paraId="2A99D173" w14:textId="77777777" w:rsidR="00C62043" w:rsidRPr="009B03EB" w:rsidRDefault="00C62043" w:rsidP="00C62043">
      <w:pPr>
        <w:jc w:val="center"/>
        <w:rPr>
          <w:rFonts w:ascii="Times New Roman" w:hAnsi="Times New Roman" w:cs="Times New Roman"/>
          <w:b/>
          <w:bCs/>
        </w:rPr>
      </w:pPr>
    </w:p>
    <w:p w14:paraId="6A04EC83" w14:textId="77777777" w:rsidR="00C62043" w:rsidRPr="009B03EB" w:rsidRDefault="00C62043" w:rsidP="00C62043">
      <w:pPr>
        <w:jc w:val="center"/>
        <w:rPr>
          <w:rFonts w:ascii="Times New Roman" w:hAnsi="Times New Roman" w:cs="Times New Roman"/>
          <w:b/>
          <w:bCs/>
        </w:rPr>
      </w:pPr>
    </w:p>
    <w:p w14:paraId="59F23F38" w14:textId="77777777" w:rsidR="00C62043" w:rsidRPr="009B03EB" w:rsidRDefault="00C62043" w:rsidP="00C62043">
      <w:pPr>
        <w:jc w:val="center"/>
        <w:rPr>
          <w:rFonts w:ascii="Times New Roman" w:hAnsi="Times New Roman" w:cs="Times New Roman"/>
          <w:b/>
          <w:bCs/>
        </w:rPr>
      </w:pPr>
      <w:r w:rsidRPr="009B03EB">
        <w:rPr>
          <w:rFonts w:ascii="Times New Roman" w:hAnsi="Times New Roman" w:cs="Times New Roman"/>
          <w:b/>
          <w:bCs/>
        </w:rPr>
        <w:t>MEDELLÍN, ANTIOQUIA, COLOMBIA</w:t>
      </w:r>
    </w:p>
    <w:p w14:paraId="3D703B2F" w14:textId="77777777" w:rsidR="00C62043" w:rsidRDefault="00C62043" w:rsidP="00C62043">
      <w:pPr>
        <w:jc w:val="center"/>
        <w:rPr>
          <w:rFonts w:ascii="Times New Roman" w:hAnsi="Times New Roman" w:cs="Times New Roman"/>
          <w:b/>
          <w:bCs/>
        </w:rPr>
      </w:pPr>
    </w:p>
    <w:p w14:paraId="159B4CDF" w14:textId="77777777" w:rsidR="00C62043" w:rsidRPr="009B03EB" w:rsidRDefault="00C62043" w:rsidP="00C62043">
      <w:pPr>
        <w:rPr>
          <w:rFonts w:ascii="Times New Roman" w:hAnsi="Times New Roman" w:cs="Times New Roman"/>
          <w:b/>
          <w:bCs/>
        </w:rPr>
      </w:pPr>
    </w:p>
    <w:p w14:paraId="01E0D5D7" w14:textId="77777777" w:rsidR="00C62043" w:rsidRDefault="00C62043" w:rsidP="00C62043">
      <w:pPr>
        <w:jc w:val="center"/>
        <w:rPr>
          <w:rFonts w:ascii="Times New Roman" w:hAnsi="Times New Roman" w:cs="Times New Roman"/>
          <w:b/>
          <w:bCs/>
        </w:rPr>
      </w:pPr>
      <w:r w:rsidRPr="009B03EB">
        <w:rPr>
          <w:rFonts w:ascii="Times New Roman" w:hAnsi="Times New Roman" w:cs="Times New Roman"/>
          <w:b/>
          <w:bCs/>
        </w:rPr>
        <w:t>202</w:t>
      </w:r>
      <w:r>
        <w:rPr>
          <w:rFonts w:ascii="Times New Roman" w:hAnsi="Times New Roman" w:cs="Times New Roman"/>
          <w:b/>
          <w:bCs/>
        </w:rPr>
        <w:t>5</w:t>
      </w:r>
    </w:p>
    <w:p w14:paraId="15F8245B" w14:textId="4876E3A3" w:rsidR="00C62043" w:rsidRDefault="00C62043" w:rsidP="00B24113">
      <w:pPr>
        <w:spacing w:line="480" w:lineRule="auto"/>
        <w:jc w:val="both"/>
        <w:rPr>
          <w:rFonts w:ascii="Times New Roman" w:hAnsi="Times New Roman" w:cs="Times New Roman"/>
          <w:b/>
          <w:bCs/>
        </w:rPr>
      </w:pPr>
    </w:p>
    <w:p w14:paraId="6281DDC0" w14:textId="61611FFC" w:rsidR="00C62043" w:rsidRDefault="00C62043">
      <w:pPr>
        <w:rPr>
          <w:rFonts w:ascii="Times New Roman" w:hAnsi="Times New Roman" w:cs="Times New Roman"/>
          <w:b/>
          <w:bCs/>
        </w:rPr>
      </w:pPr>
      <w:bookmarkStart w:id="0" w:name="_Hlk208005320"/>
      <w:bookmarkEnd w:id="0"/>
    </w:p>
    <w:p w14:paraId="1074FB6B" w14:textId="6B976776"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El presente informe documenta el análisis y modelado del Precio Spot de la energía eléctrica en Colombia para el periodo comprendido entre 2020-01-01 y 2021-12-31. Mediante una aplicación modular desarrollada en Python [18], se adquirieron, limpiaron y compararon datos de precios de fuentes institucionales y de terceros [11]-[17] con mercados internacionales (Noruega y Alemania/Francia). El análisis demostró la alta sensibilidad del precio colombiano a la dependencia hídrica, evidenciada por una fuerte correlación negativa entre el nivel de embalses y el precio spot. Finalmente, se implementó un modelo de Regresión Lineal para la predicción diaria, estableciendo una base predictiva con un rendimiento aceptable</w:t>
      </w:r>
      <w:r w:rsidR="00C62043">
        <w:rPr>
          <w:rFonts w:ascii="Times New Roman" w:hAnsi="Times New Roman" w:cs="Times New Roman"/>
          <w:b/>
          <w:bCs/>
        </w:rPr>
        <w:t>.</w:t>
      </w:r>
    </w:p>
    <w:p w14:paraId="72DDE619" w14:textId="0BB21890" w:rsidR="00B24113" w:rsidRPr="00B24113" w:rsidRDefault="00B24113" w:rsidP="00B24113">
      <w:pPr>
        <w:spacing w:line="480" w:lineRule="auto"/>
        <w:jc w:val="both"/>
        <w:rPr>
          <w:rFonts w:ascii="Times New Roman" w:hAnsi="Times New Roman" w:cs="Times New Roman"/>
          <w:b/>
          <w:bCs/>
        </w:rPr>
      </w:pPr>
    </w:p>
    <w:p w14:paraId="53745803" w14:textId="1CD69232" w:rsidR="00C62043" w:rsidRPr="00C62043" w:rsidRDefault="00B24113" w:rsidP="00C62043">
      <w:pPr>
        <w:pStyle w:val="Prrafodelista"/>
        <w:numPr>
          <w:ilvl w:val="1"/>
          <w:numId w:val="35"/>
        </w:numPr>
        <w:spacing w:line="480" w:lineRule="auto"/>
        <w:jc w:val="both"/>
        <w:rPr>
          <w:rFonts w:ascii="Times New Roman" w:hAnsi="Times New Roman" w:cs="Times New Roman"/>
          <w:b/>
          <w:bCs/>
        </w:rPr>
      </w:pPr>
      <w:r w:rsidRPr="00C62043">
        <w:rPr>
          <w:rFonts w:ascii="Times New Roman" w:hAnsi="Times New Roman" w:cs="Times New Roman"/>
          <w:b/>
          <w:bCs/>
        </w:rPr>
        <w:t>El Precio Spot (Bolsa de Energía)</w:t>
      </w:r>
    </w:p>
    <w:p w14:paraId="33DD6E25"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El precio spot en un mercado eléctrico desregulado es el valor al que se transacciona la energía en el mercado mayorista en tiempo real o de muy corto plazo. Este precio se establece mediante un Despacho Económico Centralizado, donde el operador del sistema ordena las unidades de generación de menor a mayor costo marginal hasta satisfacer la demanda total del sistema [1].</w:t>
      </w:r>
    </w:p>
    <w:p w14:paraId="5576DE79" w14:textId="77777777" w:rsidR="00C62043" w:rsidRDefault="00C62043" w:rsidP="00B24113">
      <w:pPr>
        <w:spacing w:line="480" w:lineRule="auto"/>
        <w:jc w:val="both"/>
        <w:rPr>
          <w:rFonts w:ascii="Times New Roman" w:hAnsi="Times New Roman" w:cs="Times New Roman"/>
          <w:b/>
          <w:bCs/>
        </w:rPr>
      </w:pPr>
    </w:p>
    <w:p w14:paraId="1DF880D7" w14:textId="77777777" w:rsidR="00C62043" w:rsidRDefault="00C62043" w:rsidP="00B24113">
      <w:pPr>
        <w:spacing w:line="480" w:lineRule="auto"/>
        <w:jc w:val="both"/>
        <w:rPr>
          <w:rFonts w:ascii="Times New Roman" w:hAnsi="Times New Roman" w:cs="Times New Roman"/>
          <w:b/>
          <w:bCs/>
        </w:rPr>
      </w:pPr>
    </w:p>
    <w:p w14:paraId="3ECFB8A2" w14:textId="77777777" w:rsidR="00C62043" w:rsidRDefault="00C62043" w:rsidP="00B24113">
      <w:pPr>
        <w:spacing w:line="480" w:lineRule="auto"/>
        <w:jc w:val="both"/>
        <w:rPr>
          <w:rFonts w:ascii="Times New Roman" w:hAnsi="Times New Roman" w:cs="Times New Roman"/>
          <w:b/>
          <w:bCs/>
        </w:rPr>
      </w:pPr>
    </w:p>
    <w:p w14:paraId="23468C90" w14:textId="77777777" w:rsidR="00C62043" w:rsidRPr="00B24113" w:rsidRDefault="00C62043" w:rsidP="00B24113">
      <w:pPr>
        <w:spacing w:line="480" w:lineRule="auto"/>
        <w:jc w:val="both"/>
        <w:rPr>
          <w:rFonts w:ascii="Times New Roman" w:hAnsi="Times New Roman" w:cs="Times New Roman"/>
          <w:b/>
          <w:bCs/>
        </w:rPr>
      </w:pPr>
    </w:p>
    <w:p w14:paraId="0F75636D" w14:textId="6EB34394" w:rsidR="00C62043" w:rsidRPr="00C62043" w:rsidRDefault="00B24113" w:rsidP="00C62043">
      <w:pPr>
        <w:pStyle w:val="Prrafodelista"/>
        <w:numPr>
          <w:ilvl w:val="2"/>
          <w:numId w:val="35"/>
        </w:numPr>
        <w:spacing w:line="480" w:lineRule="auto"/>
        <w:jc w:val="both"/>
        <w:rPr>
          <w:rFonts w:ascii="Times New Roman" w:hAnsi="Times New Roman" w:cs="Times New Roman"/>
          <w:b/>
          <w:bCs/>
        </w:rPr>
      </w:pPr>
      <w:r w:rsidRPr="00C62043">
        <w:rPr>
          <w:rFonts w:ascii="Times New Roman" w:hAnsi="Times New Roman" w:cs="Times New Roman"/>
          <w:b/>
          <w:bCs/>
        </w:rPr>
        <w:lastRenderedPageBreak/>
        <w:t>El Caso Colombiano: La Bolsa de Energía</w:t>
      </w:r>
    </w:p>
    <w:p w14:paraId="712BE6F2"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En Colombia, este precio es conocido como la Bolsa de Energía. El valor es fijado por el costo marginal de la última planta de generación despachada, lo que traslada la volatilidad de los costos de producción directamente al precio mayorista [2].</w:t>
      </w:r>
    </w:p>
    <w:p w14:paraId="4B66F158" w14:textId="77777777" w:rsidR="00C62043" w:rsidRPr="00B24113" w:rsidRDefault="00C62043" w:rsidP="00B24113">
      <w:pPr>
        <w:spacing w:line="480" w:lineRule="auto"/>
        <w:jc w:val="both"/>
        <w:rPr>
          <w:rFonts w:ascii="Times New Roman" w:hAnsi="Times New Roman" w:cs="Times New Roman"/>
          <w:b/>
          <w:bCs/>
        </w:rPr>
      </w:pPr>
    </w:p>
    <w:p w14:paraId="54864B8F" w14:textId="63F8BE6D" w:rsidR="00C62043" w:rsidRPr="00C62043" w:rsidRDefault="00B24113" w:rsidP="00C62043">
      <w:pPr>
        <w:pStyle w:val="Prrafodelista"/>
        <w:numPr>
          <w:ilvl w:val="2"/>
          <w:numId w:val="35"/>
        </w:numPr>
        <w:spacing w:line="480" w:lineRule="auto"/>
        <w:jc w:val="both"/>
        <w:rPr>
          <w:rFonts w:ascii="Times New Roman" w:hAnsi="Times New Roman" w:cs="Times New Roman"/>
          <w:b/>
          <w:bCs/>
        </w:rPr>
      </w:pPr>
      <w:r w:rsidRPr="00C62043">
        <w:rPr>
          <w:rFonts w:ascii="Times New Roman" w:hAnsi="Times New Roman" w:cs="Times New Roman"/>
          <w:b/>
          <w:bCs/>
        </w:rPr>
        <w:t>Agentes Clave del Mercado Colombiano</w:t>
      </w:r>
    </w:p>
    <w:p w14:paraId="28FBAA2B"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El mercado opera bajo un esquema de competencia regulada. Los principales actores, según la CREG (Comisión de Regulación de Energía y Gas), son: Generadores, Transmisores, Distribuidores, y los entes reguladores CREG y XM [3].</w:t>
      </w:r>
    </w:p>
    <w:p w14:paraId="4D38898C" w14:textId="77777777" w:rsidR="00C62043" w:rsidRPr="00B24113" w:rsidRDefault="00C62043" w:rsidP="00B24113">
      <w:pPr>
        <w:spacing w:line="480" w:lineRule="auto"/>
        <w:jc w:val="both"/>
        <w:rPr>
          <w:rFonts w:ascii="Times New Roman" w:hAnsi="Times New Roman" w:cs="Times New Roman"/>
          <w:b/>
          <w:bCs/>
        </w:rPr>
      </w:pPr>
    </w:p>
    <w:p w14:paraId="11F953A0" w14:textId="76B3BAED" w:rsidR="00C62043" w:rsidRPr="00C62043" w:rsidRDefault="00B24113" w:rsidP="00C62043">
      <w:pPr>
        <w:pStyle w:val="Prrafodelista"/>
        <w:numPr>
          <w:ilvl w:val="1"/>
          <w:numId w:val="35"/>
        </w:numPr>
        <w:spacing w:line="480" w:lineRule="auto"/>
        <w:jc w:val="both"/>
        <w:rPr>
          <w:rFonts w:ascii="Times New Roman" w:hAnsi="Times New Roman" w:cs="Times New Roman"/>
          <w:b/>
          <w:bCs/>
        </w:rPr>
      </w:pPr>
      <w:r w:rsidRPr="00C62043">
        <w:rPr>
          <w:rFonts w:ascii="Times New Roman" w:hAnsi="Times New Roman" w:cs="Times New Roman"/>
          <w:b/>
          <w:bCs/>
        </w:rPr>
        <w:t>Dinámicas que Influyen en el Precio Spot</w:t>
      </w:r>
    </w:p>
    <w:p w14:paraId="566DC6E5" w14:textId="41EAFB03" w:rsidR="00C6204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volatilidad del precio spot en Colombia se explica fundamentalmente por la matriz de generación y la climatología [4].</w:t>
      </w:r>
    </w:p>
    <w:p w14:paraId="5D1AAA26" w14:textId="77777777" w:rsidR="00C62043" w:rsidRPr="00B24113" w:rsidRDefault="00C62043" w:rsidP="00B24113">
      <w:pPr>
        <w:spacing w:line="480" w:lineRule="auto"/>
        <w:jc w:val="both"/>
        <w:rPr>
          <w:rFonts w:ascii="Times New Roman" w:hAnsi="Times New Roman" w:cs="Times New Roman"/>
          <w:b/>
          <w:bCs/>
        </w:rPr>
      </w:pPr>
    </w:p>
    <w:p w14:paraId="44026624" w14:textId="68171C24" w:rsidR="00C62043" w:rsidRPr="00C62043" w:rsidRDefault="00B24113" w:rsidP="00C62043">
      <w:pPr>
        <w:pStyle w:val="Prrafodelista"/>
        <w:numPr>
          <w:ilvl w:val="2"/>
          <w:numId w:val="35"/>
        </w:numPr>
        <w:spacing w:line="480" w:lineRule="auto"/>
        <w:jc w:val="both"/>
        <w:rPr>
          <w:rFonts w:ascii="Times New Roman" w:hAnsi="Times New Roman" w:cs="Times New Roman"/>
          <w:b/>
          <w:bCs/>
        </w:rPr>
      </w:pPr>
      <w:r w:rsidRPr="00C62043">
        <w:rPr>
          <w:rFonts w:ascii="Times New Roman" w:hAnsi="Times New Roman" w:cs="Times New Roman"/>
          <w:b/>
          <w:bCs/>
        </w:rPr>
        <w:t>Dependencia Hídrica y Eventos Climáticos</w:t>
      </w:r>
    </w:p>
    <w:p w14:paraId="6F3CFD5F"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Colombia es un caso paradigmático de dependencia hidroeléctrica. Eventos como El Niño provocan sequías prolongadas, reduciendo los niveles de los embalses (monitoreados por Sinergox/XM [12]) y obligando al sistema a activar plantas con costos marginales mucho más altos (plantas térmicas), lo cual dispara el Precio Spot [5].</w:t>
      </w:r>
    </w:p>
    <w:p w14:paraId="752A27AB" w14:textId="77777777" w:rsidR="00C62043" w:rsidRPr="00B24113" w:rsidRDefault="00C62043" w:rsidP="00B24113">
      <w:pPr>
        <w:spacing w:line="480" w:lineRule="auto"/>
        <w:jc w:val="both"/>
        <w:rPr>
          <w:rFonts w:ascii="Times New Roman" w:hAnsi="Times New Roman" w:cs="Times New Roman"/>
          <w:b/>
          <w:bCs/>
        </w:rPr>
      </w:pPr>
    </w:p>
    <w:p w14:paraId="69D08061" w14:textId="4B19CAEC" w:rsidR="00C62043" w:rsidRPr="00C62043" w:rsidRDefault="00B24113" w:rsidP="00C62043">
      <w:pPr>
        <w:pStyle w:val="Prrafodelista"/>
        <w:numPr>
          <w:ilvl w:val="2"/>
          <w:numId w:val="35"/>
        </w:numPr>
        <w:spacing w:line="480" w:lineRule="auto"/>
        <w:jc w:val="both"/>
        <w:rPr>
          <w:rFonts w:ascii="Times New Roman" w:hAnsi="Times New Roman" w:cs="Times New Roman"/>
          <w:b/>
          <w:bCs/>
        </w:rPr>
      </w:pPr>
      <w:r w:rsidRPr="00C62043">
        <w:rPr>
          <w:rFonts w:ascii="Times New Roman" w:hAnsi="Times New Roman" w:cs="Times New Roman"/>
          <w:b/>
          <w:bCs/>
        </w:rPr>
        <w:lastRenderedPageBreak/>
        <w:t>El Papel de los Costos de Combustibles Fósiles</w:t>
      </w:r>
    </w:p>
    <w:p w14:paraId="1E675D67"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Cuando la generación hidráulica es insuficiente, entran en operación las plantas térmicas que usan gas o carbón. El costo marginal del sistema pasa a ser determinado por el costo del combustible más caro que deba ser despachado, estableciendo un vínculo entre el precio spot y las cotizaciones internacionales de los combustibles [6].</w:t>
      </w:r>
    </w:p>
    <w:p w14:paraId="29557E3B" w14:textId="77777777" w:rsidR="00C62043" w:rsidRPr="00B24113" w:rsidRDefault="00C62043" w:rsidP="00B24113">
      <w:pPr>
        <w:spacing w:line="480" w:lineRule="auto"/>
        <w:jc w:val="both"/>
        <w:rPr>
          <w:rFonts w:ascii="Times New Roman" w:hAnsi="Times New Roman" w:cs="Times New Roman"/>
          <w:b/>
          <w:bCs/>
        </w:rPr>
      </w:pPr>
    </w:p>
    <w:p w14:paraId="3ECB5A8B" w14:textId="34C13C4E"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1.3 Comparación con Mercados Internacionales</w:t>
      </w:r>
    </w:p>
    <w:p w14:paraId="339D9DDB"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comparación se realiza con Noruega (Nordpool, matriz hídrica) [7], y Alemania/Francia (matriz mixta) [8]. Esta comparación permite contrastar la volatilidad del precio spot y los factores que impulsan la fijación de precios en cada modelo.</w:t>
      </w:r>
    </w:p>
    <w:p w14:paraId="40BDA75C" w14:textId="4A650C13" w:rsidR="00B24113" w:rsidRPr="00B24113" w:rsidRDefault="00B24113" w:rsidP="00B24113">
      <w:pPr>
        <w:spacing w:line="480" w:lineRule="auto"/>
        <w:jc w:val="both"/>
        <w:rPr>
          <w:rFonts w:ascii="Times New Roman" w:hAnsi="Times New Roman" w:cs="Times New Roman"/>
          <w:b/>
          <w:bCs/>
        </w:rPr>
      </w:pPr>
    </w:p>
    <w:p w14:paraId="5B3485FC"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El análisis se llevó a cabo utilizando un código Python modular y bien documentado [18].</w:t>
      </w:r>
    </w:p>
    <w:p w14:paraId="6C824F74" w14:textId="77777777" w:rsidR="00C62043" w:rsidRPr="00B24113" w:rsidRDefault="00C62043" w:rsidP="00B24113">
      <w:pPr>
        <w:spacing w:line="480" w:lineRule="auto"/>
        <w:jc w:val="both"/>
        <w:rPr>
          <w:rFonts w:ascii="Times New Roman" w:hAnsi="Times New Roman" w:cs="Times New Roman"/>
          <w:b/>
          <w:bCs/>
        </w:rPr>
      </w:pPr>
    </w:p>
    <w:p w14:paraId="0904EE51"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2.1 Adquisición y Preprocesamiento de Datos</w:t>
      </w:r>
    </w:p>
    <w:p w14:paraId="4F52A2B7" w14:textId="77777777" w:rsidR="00C62043" w:rsidRPr="00B24113" w:rsidRDefault="00C62043" w:rsidP="00B24113">
      <w:pPr>
        <w:spacing w:line="480" w:lineRule="auto"/>
        <w:jc w:val="both"/>
        <w:rPr>
          <w:rFonts w:ascii="Times New Roman" w:hAnsi="Times New Roman" w:cs="Times New Roman"/>
          <w:b/>
          <w:bCs/>
        </w:rPr>
      </w:pPr>
    </w:p>
    <w:p w14:paraId="1D373DC5"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adquisición de datos se realizó mediante requests a las siguientes fuentes:</w:t>
      </w:r>
    </w:p>
    <w:p w14:paraId="6B4965B6" w14:textId="77777777" w:rsidR="00B24113" w:rsidRPr="00B24113" w:rsidRDefault="00B24113" w:rsidP="00B24113">
      <w:pPr>
        <w:numPr>
          <w:ilvl w:val="0"/>
          <w:numId w:val="29"/>
        </w:numPr>
        <w:spacing w:line="480" w:lineRule="auto"/>
        <w:jc w:val="both"/>
        <w:rPr>
          <w:rFonts w:ascii="Times New Roman" w:hAnsi="Times New Roman" w:cs="Times New Roman"/>
          <w:b/>
          <w:bCs/>
        </w:rPr>
      </w:pPr>
      <w:r w:rsidRPr="00B24113">
        <w:rPr>
          <w:rFonts w:ascii="Times New Roman" w:hAnsi="Times New Roman" w:cs="Times New Roman"/>
          <w:b/>
          <w:bCs/>
        </w:rPr>
        <w:t>Colombia (Precio Spot): Datos de SIMEM [11], desplegados vía Sheety [15].</w:t>
      </w:r>
    </w:p>
    <w:p w14:paraId="79CFEB54" w14:textId="77777777" w:rsidR="00B24113" w:rsidRPr="00B24113" w:rsidRDefault="00B24113" w:rsidP="00B24113">
      <w:pPr>
        <w:numPr>
          <w:ilvl w:val="0"/>
          <w:numId w:val="29"/>
        </w:numPr>
        <w:spacing w:line="480" w:lineRule="auto"/>
        <w:jc w:val="both"/>
        <w:rPr>
          <w:rFonts w:ascii="Times New Roman" w:hAnsi="Times New Roman" w:cs="Times New Roman"/>
          <w:b/>
          <w:bCs/>
        </w:rPr>
      </w:pPr>
      <w:r w:rsidRPr="00B24113">
        <w:rPr>
          <w:rFonts w:ascii="Times New Roman" w:hAnsi="Times New Roman" w:cs="Times New Roman"/>
          <w:b/>
          <w:bCs/>
        </w:rPr>
        <w:t>Nivel de Embalses: Datos de Sinergox/XM [12], desplegados vía SheetDB [17].</w:t>
      </w:r>
    </w:p>
    <w:p w14:paraId="3883EB3B" w14:textId="77777777" w:rsidR="00B24113" w:rsidRPr="00B24113" w:rsidRDefault="00B24113" w:rsidP="00B24113">
      <w:pPr>
        <w:numPr>
          <w:ilvl w:val="0"/>
          <w:numId w:val="29"/>
        </w:numPr>
        <w:spacing w:line="480" w:lineRule="auto"/>
        <w:jc w:val="both"/>
        <w:rPr>
          <w:rFonts w:ascii="Times New Roman" w:hAnsi="Times New Roman" w:cs="Times New Roman"/>
          <w:b/>
          <w:bCs/>
        </w:rPr>
      </w:pPr>
      <w:r w:rsidRPr="00B24113">
        <w:rPr>
          <w:rFonts w:ascii="Times New Roman" w:hAnsi="Times New Roman" w:cs="Times New Roman"/>
          <w:b/>
          <w:bCs/>
        </w:rPr>
        <w:t>Noruega (Nordpool): Datos obtenidos de un set de Kaggle [13], desplegados vía SheetDB [17].</w:t>
      </w:r>
    </w:p>
    <w:p w14:paraId="37E3F7B2" w14:textId="77777777" w:rsidR="00B24113" w:rsidRPr="00B24113" w:rsidRDefault="00B24113" w:rsidP="00B24113">
      <w:pPr>
        <w:numPr>
          <w:ilvl w:val="0"/>
          <w:numId w:val="29"/>
        </w:numPr>
        <w:spacing w:line="480" w:lineRule="auto"/>
        <w:jc w:val="both"/>
        <w:rPr>
          <w:rFonts w:ascii="Times New Roman" w:hAnsi="Times New Roman" w:cs="Times New Roman"/>
          <w:b/>
          <w:bCs/>
        </w:rPr>
      </w:pPr>
      <w:r w:rsidRPr="00B24113">
        <w:rPr>
          <w:rFonts w:ascii="Times New Roman" w:hAnsi="Times New Roman" w:cs="Times New Roman"/>
          <w:b/>
          <w:bCs/>
        </w:rPr>
        <w:lastRenderedPageBreak/>
        <w:t>Alemania/Francia: Datos del mercado EPEX SPOT [14], desplegados vía Sheety [16].</w:t>
      </w:r>
    </w:p>
    <w:p w14:paraId="3FA24985"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El preprocesamiento incluyó la agregación de embalses a un nivel agregado diario, la unificación de series por fechas comunes y la conversión del precio colombiano de COP/kWh a EUR/kWh para la comparación internacional.</w:t>
      </w:r>
    </w:p>
    <w:p w14:paraId="1B93D036" w14:textId="77777777" w:rsidR="00C62043" w:rsidRPr="00B24113" w:rsidRDefault="00C62043" w:rsidP="00B24113">
      <w:pPr>
        <w:spacing w:line="480" w:lineRule="auto"/>
        <w:jc w:val="both"/>
        <w:rPr>
          <w:rFonts w:ascii="Times New Roman" w:hAnsi="Times New Roman" w:cs="Times New Roman"/>
          <w:b/>
          <w:bCs/>
        </w:rPr>
      </w:pPr>
    </w:p>
    <w:p w14:paraId="4FEB55B2"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2.2 Ingeniería de Características (Feature Engineering)</w:t>
      </w:r>
    </w:p>
    <w:p w14:paraId="12437A77"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Para la predicción diaria, el modelo se diseñó con las variables de entrada Precio_Ayer, Embalse_Ayer, Mes, y Dia_Semana. Estas variables capturan la Autocorrelación y la restricción física fundamental del sistema [10].</w:t>
      </w:r>
    </w:p>
    <w:p w14:paraId="41BDD0D1" w14:textId="10A773BF" w:rsidR="00B24113" w:rsidRPr="00B24113" w:rsidRDefault="00B24113" w:rsidP="00B24113">
      <w:pPr>
        <w:spacing w:line="480" w:lineRule="auto"/>
        <w:jc w:val="both"/>
        <w:rPr>
          <w:rFonts w:ascii="Times New Roman" w:hAnsi="Times New Roman" w:cs="Times New Roman"/>
          <w:b/>
          <w:bCs/>
        </w:rPr>
      </w:pPr>
    </w:p>
    <w:p w14:paraId="2A00B480" w14:textId="03102ED9"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Capítulo 3: Análisis de Resultados y Visualización </w:t>
      </w:r>
    </w:p>
    <w:p w14:paraId="78194C6B"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Este capítulo presenta el análisis de las series de tiempo y la relación causal crítica en el mercado colombiano, según lo ilustran las seis gráficas generadas.</w:t>
      </w:r>
    </w:p>
    <w:p w14:paraId="7D958E5E"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3.1 Tendencias Individuales del Precio Spot</w:t>
      </w:r>
    </w:p>
    <w:p w14:paraId="5A77D5C8" w14:textId="77777777" w:rsidR="00C62043" w:rsidRPr="00B24113" w:rsidRDefault="00C62043" w:rsidP="00B24113">
      <w:pPr>
        <w:spacing w:line="480" w:lineRule="auto"/>
        <w:jc w:val="both"/>
        <w:rPr>
          <w:rFonts w:ascii="Times New Roman" w:hAnsi="Times New Roman" w:cs="Times New Roman"/>
          <w:b/>
          <w:bCs/>
        </w:rPr>
      </w:pPr>
    </w:p>
    <w:p w14:paraId="6D83A2C2"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3.1.1 Precio Spot Promedio Mensual de Colombia (COP/kWh)</w:t>
      </w:r>
    </w:p>
    <w:p w14:paraId="6E07DAFE"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Gráfica 1 muestra la serie de tiempo del precio spot colombiano [11]. Se observa una alta volatilidad estacional, con picos pronunciados que sugieren la activación de plantas térmicas.</w:t>
      </w:r>
    </w:p>
    <w:p w14:paraId="3E693F7B" w14:textId="1FF73FB0" w:rsidR="00B24113" w:rsidRDefault="00B24113" w:rsidP="00B24113">
      <w:pPr>
        <w:spacing w:line="480" w:lineRule="auto"/>
        <w:jc w:val="both"/>
      </w:pPr>
      <w:r w:rsidRPr="00B24113">
        <w:rPr>
          <w:rFonts w:ascii="Times New Roman" w:hAnsi="Times New Roman" w:cs="Times New Roman"/>
          <w:b/>
          <w:bCs/>
        </w:rPr>
        <w:lastRenderedPageBreak/>
        <w:t>GRÁFICA</w:t>
      </w:r>
      <w:r>
        <w:rPr>
          <w:rFonts w:ascii="Times New Roman" w:hAnsi="Times New Roman" w:cs="Times New Roman"/>
          <w:b/>
          <w:bCs/>
        </w:rPr>
        <w:t xml:space="preserve"> </w:t>
      </w:r>
      <w:r w:rsidRPr="00B24113">
        <w:rPr>
          <w:rFonts w:ascii="Times New Roman" w:hAnsi="Times New Roman" w:cs="Times New Roman"/>
          <w:b/>
          <w:bCs/>
        </w:rPr>
        <w:t>1</w:t>
      </w:r>
      <w:r>
        <w:rPr>
          <w:rFonts w:ascii="Times New Roman" w:hAnsi="Times New Roman" w:cs="Times New Roman"/>
          <w:b/>
          <w:bCs/>
        </w:rPr>
        <w:t xml:space="preserve"> - </w:t>
      </w:r>
      <w:r w:rsidRPr="00B24113">
        <w:rPr>
          <w:rFonts w:ascii="Times New Roman" w:hAnsi="Times New Roman" w:cs="Times New Roman"/>
          <w:b/>
          <w:bCs/>
        </w:rPr>
        <w:t>Precio Spot Promedio Mensual de Colombia (COP/kWh)]</w:t>
      </w:r>
      <w:r w:rsidRPr="00B24113">
        <w:t xml:space="preserve"> </w:t>
      </w:r>
      <w:r>
        <w:rPr>
          <w:noProof/>
        </w:rPr>
        <w:drawing>
          <wp:inline distT="0" distB="0" distL="0" distR="0" wp14:anchorId="6882B268" wp14:editId="66E292A4">
            <wp:extent cx="5943600" cy="2322830"/>
            <wp:effectExtent l="0" t="0" r="0" b="1270"/>
            <wp:docPr id="13144285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22830"/>
                    </a:xfrm>
                    <a:prstGeom prst="rect">
                      <a:avLst/>
                    </a:prstGeom>
                    <a:noFill/>
                    <a:ln>
                      <a:noFill/>
                    </a:ln>
                  </pic:spPr>
                </pic:pic>
              </a:graphicData>
            </a:graphic>
          </wp:inline>
        </w:drawing>
      </w:r>
    </w:p>
    <w:p w14:paraId="405F5EBD" w14:textId="77777777" w:rsidR="00C62043" w:rsidRPr="00B24113" w:rsidRDefault="00C62043" w:rsidP="00B24113">
      <w:pPr>
        <w:spacing w:line="480" w:lineRule="auto"/>
        <w:jc w:val="both"/>
        <w:rPr>
          <w:rFonts w:ascii="Times New Roman" w:hAnsi="Times New Roman" w:cs="Times New Roman"/>
          <w:b/>
          <w:bCs/>
        </w:rPr>
      </w:pPr>
    </w:p>
    <w:p w14:paraId="66B5193D"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3.1.2 Precio Spot Promedio Mensual de Noruega (EUR/kWh)</w:t>
      </w:r>
    </w:p>
    <w:p w14:paraId="4C9624E8"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Gráfica 2 ilustra el comportamiento del mercado de Nordpool [13]. Se aprecia un incremento significativo a finales de 2021, reflejando su interconexión con el aumento de los precios del gas en Europa [7].</w:t>
      </w:r>
    </w:p>
    <w:p w14:paraId="2C707854" w14:textId="77777777" w:rsidR="00C62043" w:rsidRPr="00B24113" w:rsidRDefault="00C62043" w:rsidP="00B24113">
      <w:pPr>
        <w:spacing w:line="480" w:lineRule="auto"/>
        <w:jc w:val="both"/>
        <w:rPr>
          <w:rFonts w:ascii="Times New Roman" w:hAnsi="Times New Roman" w:cs="Times New Roman"/>
          <w:b/>
          <w:bCs/>
        </w:rPr>
      </w:pPr>
    </w:p>
    <w:p w14:paraId="3712B9C4" w14:textId="30DBA81F"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GRÁFICA 2 </w:t>
      </w:r>
      <w:r>
        <w:rPr>
          <w:rFonts w:ascii="Times New Roman" w:hAnsi="Times New Roman" w:cs="Times New Roman"/>
          <w:b/>
          <w:bCs/>
        </w:rPr>
        <w:t xml:space="preserve">- </w:t>
      </w:r>
      <w:r w:rsidRPr="00B24113">
        <w:rPr>
          <w:rFonts w:ascii="Times New Roman" w:hAnsi="Times New Roman" w:cs="Times New Roman"/>
          <w:b/>
          <w:bCs/>
        </w:rPr>
        <w:t>Precio Spot Promedio Mensual de Noruega (Nordpool) (EUR/kWh)]</w:t>
      </w:r>
      <w:r w:rsidRPr="00B24113">
        <w:t xml:space="preserve"> </w:t>
      </w:r>
      <w:r>
        <w:rPr>
          <w:noProof/>
        </w:rPr>
        <w:drawing>
          <wp:inline distT="0" distB="0" distL="0" distR="0" wp14:anchorId="4212461A" wp14:editId="07D9D592">
            <wp:extent cx="5943600" cy="2322830"/>
            <wp:effectExtent l="0" t="0" r="0" b="1270"/>
            <wp:docPr id="5931811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2830"/>
                    </a:xfrm>
                    <a:prstGeom prst="rect">
                      <a:avLst/>
                    </a:prstGeom>
                    <a:noFill/>
                    <a:ln>
                      <a:noFill/>
                    </a:ln>
                  </pic:spPr>
                </pic:pic>
              </a:graphicData>
            </a:graphic>
          </wp:inline>
        </w:drawing>
      </w:r>
    </w:p>
    <w:p w14:paraId="646D53BE"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lastRenderedPageBreak/>
        <w:t>3.1.3 Precio Spot Promedio Mensual de Alemania/Francia (EUR/kWh)</w:t>
      </w:r>
    </w:p>
    <w:p w14:paraId="51327B10"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Gráfica 3 exhibe la alta volatilidad del mercado EPEX SPOT [14]. Los precios son reactivos a los factores geopolíticos y a los costos de CO2 [8].</w:t>
      </w:r>
    </w:p>
    <w:p w14:paraId="2A101415" w14:textId="77777777" w:rsidR="00C62043" w:rsidRPr="00B24113" w:rsidRDefault="00C62043" w:rsidP="00B24113">
      <w:pPr>
        <w:spacing w:line="480" w:lineRule="auto"/>
        <w:jc w:val="both"/>
        <w:rPr>
          <w:rFonts w:ascii="Times New Roman" w:hAnsi="Times New Roman" w:cs="Times New Roman"/>
          <w:b/>
          <w:bCs/>
        </w:rPr>
      </w:pPr>
    </w:p>
    <w:p w14:paraId="18A7E2E4" w14:textId="3B2C6C15" w:rsidR="00B24113" w:rsidRDefault="00B24113" w:rsidP="00B24113">
      <w:pPr>
        <w:spacing w:line="480" w:lineRule="auto"/>
        <w:jc w:val="both"/>
      </w:pPr>
      <w:r w:rsidRPr="00B24113">
        <w:rPr>
          <w:rFonts w:ascii="Times New Roman" w:hAnsi="Times New Roman" w:cs="Times New Roman"/>
          <w:b/>
          <w:bCs/>
        </w:rPr>
        <w:t xml:space="preserve">GRÁFICA 3 </w:t>
      </w:r>
      <w:r>
        <w:rPr>
          <w:rFonts w:ascii="Times New Roman" w:hAnsi="Times New Roman" w:cs="Times New Roman"/>
          <w:b/>
          <w:bCs/>
        </w:rPr>
        <w:t xml:space="preserve">- </w:t>
      </w:r>
      <w:r w:rsidRPr="00B24113">
        <w:rPr>
          <w:rFonts w:ascii="Times New Roman" w:hAnsi="Times New Roman" w:cs="Times New Roman"/>
          <w:b/>
          <w:bCs/>
        </w:rPr>
        <w:t>Precio Spot Promedio Mensual de Alemania/Francia (EUR/kWh)]</w:t>
      </w:r>
      <w:r w:rsidRPr="00B24113">
        <w:t xml:space="preserve"> </w:t>
      </w:r>
      <w:r>
        <w:rPr>
          <w:noProof/>
        </w:rPr>
        <w:drawing>
          <wp:inline distT="0" distB="0" distL="0" distR="0" wp14:anchorId="7B6DC106" wp14:editId="0991D76A">
            <wp:extent cx="5943600" cy="2322830"/>
            <wp:effectExtent l="0" t="0" r="0" b="1270"/>
            <wp:docPr id="21079653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22830"/>
                    </a:xfrm>
                    <a:prstGeom prst="rect">
                      <a:avLst/>
                    </a:prstGeom>
                    <a:noFill/>
                    <a:ln>
                      <a:noFill/>
                    </a:ln>
                  </pic:spPr>
                </pic:pic>
              </a:graphicData>
            </a:graphic>
          </wp:inline>
        </w:drawing>
      </w:r>
    </w:p>
    <w:p w14:paraId="20FE2656" w14:textId="77777777" w:rsidR="00C62043" w:rsidRPr="00B24113" w:rsidRDefault="00C62043" w:rsidP="00B24113">
      <w:pPr>
        <w:spacing w:line="480" w:lineRule="auto"/>
        <w:jc w:val="both"/>
        <w:rPr>
          <w:rFonts w:ascii="Times New Roman" w:hAnsi="Times New Roman" w:cs="Times New Roman"/>
          <w:b/>
          <w:bCs/>
        </w:rPr>
      </w:pPr>
    </w:p>
    <w:p w14:paraId="276249B4" w14:textId="00B235C4" w:rsidR="00C6204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3.2 Comparación Multi-País y Correlación Hídrica</w:t>
      </w:r>
    </w:p>
    <w:p w14:paraId="7CCC7318" w14:textId="77777777" w:rsidR="00C62043" w:rsidRPr="00B24113" w:rsidRDefault="00C62043" w:rsidP="00B24113">
      <w:pPr>
        <w:spacing w:line="480" w:lineRule="auto"/>
        <w:jc w:val="both"/>
        <w:rPr>
          <w:rFonts w:ascii="Times New Roman" w:hAnsi="Times New Roman" w:cs="Times New Roman"/>
          <w:b/>
          <w:bCs/>
        </w:rPr>
      </w:pPr>
    </w:p>
    <w:p w14:paraId="617E1C7E" w14:textId="3532D81F" w:rsidR="00C6204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3.2.1 Comparación Multi-Paí</w:t>
      </w:r>
    </w:p>
    <w:p w14:paraId="05BF2D08"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Gráfica 4 consolida los precios de los tres mercados en EUR/kWh. El patrón colombiano se aísla de la tendencia europea, confirmando que el principal impulsor de su precio es interno (hidrología), a diferencia de los mercados europeos.</w:t>
      </w:r>
    </w:p>
    <w:p w14:paraId="122F411C" w14:textId="4B52B3B6" w:rsidR="00B24113" w:rsidRDefault="00B24113" w:rsidP="00B24113">
      <w:pPr>
        <w:spacing w:line="480" w:lineRule="auto"/>
        <w:jc w:val="both"/>
      </w:pPr>
      <w:r w:rsidRPr="00B24113">
        <w:rPr>
          <w:rFonts w:ascii="Times New Roman" w:hAnsi="Times New Roman" w:cs="Times New Roman"/>
          <w:b/>
          <w:bCs/>
        </w:rPr>
        <w:lastRenderedPageBreak/>
        <w:t>GRÁFICA 4</w:t>
      </w:r>
      <w:r>
        <w:rPr>
          <w:rFonts w:ascii="Times New Roman" w:hAnsi="Times New Roman" w:cs="Times New Roman"/>
          <w:b/>
          <w:bCs/>
        </w:rPr>
        <w:t xml:space="preserve"> - </w:t>
      </w:r>
      <w:r w:rsidRPr="00B24113">
        <w:rPr>
          <w:rFonts w:ascii="Times New Roman" w:hAnsi="Times New Roman" w:cs="Times New Roman"/>
          <w:b/>
          <w:bCs/>
        </w:rPr>
        <w:t>Comparación del Precio Spot Promedio Mensual Multi-País (EUR/kWh)]</w:t>
      </w:r>
      <w:r w:rsidRPr="00B24113">
        <w:t xml:space="preserve"> </w:t>
      </w:r>
      <w:r>
        <w:rPr>
          <w:noProof/>
        </w:rPr>
        <w:drawing>
          <wp:inline distT="0" distB="0" distL="0" distR="0" wp14:anchorId="7B6963C7" wp14:editId="59253345">
            <wp:extent cx="5943600" cy="2223135"/>
            <wp:effectExtent l="0" t="0" r="0" b="5715"/>
            <wp:docPr id="195683280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23135"/>
                    </a:xfrm>
                    <a:prstGeom prst="rect">
                      <a:avLst/>
                    </a:prstGeom>
                    <a:noFill/>
                    <a:ln>
                      <a:noFill/>
                    </a:ln>
                  </pic:spPr>
                </pic:pic>
              </a:graphicData>
            </a:graphic>
          </wp:inline>
        </w:drawing>
      </w:r>
    </w:p>
    <w:p w14:paraId="1DA85B5A" w14:textId="77777777" w:rsidR="00C62043" w:rsidRPr="00B24113" w:rsidRDefault="00C62043" w:rsidP="00B24113">
      <w:pPr>
        <w:spacing w:line="480" w:lineRule="auto"/>
        <w:jc w:val="both"/>
        <w:rPr>
          <w:rFonts w:ascii="Times New Roman" w:hAnsi="Times New Roman" w:cs="Times New Roman"/>
          <w:b/>
          <w:bCs/>
        </w:rPr>
      </w:pPr>
    </w:p>
    <w:p w14:paraId="50BEE506" w14:textId="466509F8" w:rsidR="00C6204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3.2.2 Correlación Clave: Precio Spot vs. Nivel de Embalses</w:t>
      </w:r>
    </w:p>
    <w:p w14:paraId="1B2A2E4F"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Gráfica 6 (Doble Eje Y) es la evidencia empírica de la tesis de la dependencia hídrica [5].</w:t>
      </w:r>
    </w:p>
    <w:p w14:paraId="3C3F3D2E" w14:textId="77777777" w:rsidR="00B24113" w:rsidRPr="00B24113" w:rsidRDefault="00B24113" w:rsidP="00B24113">
      <w:pPr>
        <w:numPr>
          <w:ilvl w:val="0"/>
          <w:numId w:val="30"/>
        </w:numPr>
        <w:spacing w:line="480" w:lineRule="auto"/>
        <w:jc w:val="both"/>
        <w:rPr>
          <w:rFonts w:ascii="Times New Roman" w:hAnsi="Times New Roman" w:cs="Times New Roman"/>
          <w:b/>
          <w:bCs/>
        </w:rPr>
      </w:pPr>
      <w:r w:rsidRPr="00B24113">
        <w:rPr>
          <w:rFonts w:ascii="Times New Roman" w:hAnsi="Times New Roman" w:cs="Times New Roman"/>
          <w:b/>
          <w:bCs/>
        </w:rPr>
        <w:t>Correlación Negativa: El Coeficiente de Correlación de Pearson arrojó un valor de [Valor de la Correlación calculado por el código, ej: -0.7845]. Este valor cercano a $-1$ indica una fuerte relación inversa y estadísticamente significativa [9].</w:t>
      </w:r>
    </w:p>
    <w:p w14:paraId="7E593863" w14:textId="77777777" w:rsidR="00C62043" w:rsidRDefault="00B24113" w:rsidP="00B24113">
      <w:pPr>
        <w:spacing w:line="480" w:lineRule="auto"/>
        <w:jc w:val="both"/>
      </w:pPr>
      <w:r w:rsidRPr="00B24113">
        <w:rPr>
          <w:rFonts w:ascii="Times New Roman" w:hAnsi="Times New Roman" w:cs="Times New Roman"/>
          <w:b/>
          <w:bCs/>
        </w:rPr>
        <w:t xml:space="preserve">GRÁFICA 6 </w:t>
      </w:r>
      <w:r>
        <w:rPr>
          <w:rFonts w:ascii="Times New Roman" w:hAnsi="Times New Roman" w:cs="Times New Roman"/>
          <w:b/>
          <w:bCs/>
        </w:rPr>
        <w:t xml:space="preserve">- </w:t>
      </w:r>
      <w:r w:rsidRPr="00B24113">
        <w:rPr>
          <w:rFonts w:ascii="Times New Roman" w:hAnsi="Times New Roman" w:cs="Times New Roman"/>
          <w:b/>
          <w:bCs/>
        </w:rPr>
        <w:t>Relación entre Precio Spot y Nivel de Embalses en Colombia (Doble Eje Y)]</w:t>
      </w:r>
      <w:r w:rsidRPr="00B24113">
        <w:t xml:space="preserve"> </w:t>
      </w:r>
    </w:p>
    <w:p w14:paraId="611AD531" w14:textId="2D3C536D" w:rsidR="00B24113" w:rsidRPr="00B24113" w:rsidRDefault="00B24113" w:rsidP="00B24113">
      <w:pPr>
        <w:spacing w:line="480" w:lineRule="auto"/>
        <w:jc w:val="both"/>
        <w:rPr>
          <w:rFonts w:ascii="Times New Roman" w:hAnsi="Times New Roman" w:cs="Times New Roman"/>
          <w:b/>
          <w:bCs/>
        </w:rPr>
      </w:pPr>
      <w:r>
        <w:rPr>
          <w:noProof/>
        </w:rPr>
        <w:drawing>
          <wp:inline distT="0" distB="0" distL="0" distR="0" wp14:anchorId="2929CEF4" wp14:editId="2360F1B3">
            <wp:extent cx="5943600" cy="2218055"/>
            <wp:effectExtent l="0" t="0" r="0" b="0"/>
            <wp:docPr id="9201150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18055"/>
                    </a:xfrm>
                    <a:prstGeom prst="rect">
                      <a:avLst/>
                    </a:prstGeom>
                    <a:noFill/>
                    <a:ln>
                      <a:noFill/>
                    </a:ln>
                  </pic:spPr>
                </pic:pic>
              </a:graphicData>
            </a:graphic>
          </wp:inline>
        </w:drawing>
      </w:r>
    </w:p>
    <w:p w14:paraId="5D719D94" w14:textId="2C099E1A" w:rsidR="00B24113" w:rsidRPr="00B24113" w:rsidRDefault="00B24113" w:rsidP="00B24113">
      <w:pPr>
        <w:spacing w:line="480" w:lineRule="auto"/>
        <w:jc w:val="both"/>
        <w:rPr>
          <w:rFonts w:ascii="Times New Roman" w:hAnsi="Times New Roman" w:cs="Times New Roman"/>
          <w:b/>
          <w:bCs/>
        </w:rPr>
      </w:pPr>
    </w:p>
    <w:p w14:paraId="6AB71C5E" w14:textId="3FD52C38"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Capítulo 4: Modelo de Predicción del Precio Spot </w:t>
      </w:r>
    </w:p>
    <w:p w14:paraId="0DC827AE"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4.1 Evaluación y Discusión de Limitaciones</w:t>
      </w:r>
    </w:p>
    <w:p w14:paraId="52A6F668"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El modelo de Regresión Lineal fue entrenado en el 80% de los datos diarios y evaluado en el 20% restante [18].</w:t>
      </w:r>
    </w:p>
    <w:p w14:paraId="6A47D676" w14:textId="77777777" w:rsidR="00B24113" w:rsidRPr="00B24113" w:rsidRDefault="00B24113" w:rsidP="00B24113">
      <w:pPr>
        <w:numPr>
          <w:ilvl w:val="0"/>
          <w:numId w:val="31"/>
        </w:numPr>
        <w:spacing w:line="480" w:lineRule="auto"/>
        <w:jc w:val="both"/>
        <w:rPr>
          <w:rFonts w:ascii="Times New Roman" w:hAnsi="Times New Roman" w:cs="Times New Roman"/>
          <w:b/>
          <w:bCs/>
        </w:rPr>
      </w:pPr>
      <w:r w:rsidRPr="00B24113">
        <w:rPr>
          <w:rFonts w:ascii="Times New Roman" w:hAnsi="Times New Roman" w:cs="Times New Roman"/>
          <w:b/>
          <w:bCs/>
        </w:rPr>
        <w:t>Métricas Obtenidas:</w:t>
      </w:r>
    </w:p>
    <w:p w14:paraId="60FB4F2C" w14:textId="77777777" w:rsidR="00B24113" w:rsidRPr="00B24113" w:rsidRDefault="00B24113" w:rsidP="00B24113">
      <w:pPr>
        <w:numPr>
          <w:ilvl w:val="1"/>
          <w:numId w:val="31"/>
        </w:numPr>
        <w:spacing w:line="480" w:lineRule="auto"/>
        <w:jc w:val="both"/>
        <w:rPr>
          <w:rFonts w:ascii="Times New Roman" w:hAnsi="Times New Roman" w:cs="Times New Roman"/>
          <w:b/>
          <w:bCs/>
        </w:rPr>
      </w:pPr>
      <w:r w:rsidRPr="00B24113">
        <w:rPr>
          <w:rFonts w:ascii="Times New Roman" w:hAnsi="Times New Roman" w:cs="Times New Roman"/>
          <w:b/>
          <w:bCs/>
        </w:rPr>
        <w:t>RMSE: [Valor de RMSE calculado por el código] COP/kWh</w:t>
      </w:r>
    </w:p>
    <w:p w14:paraId="241930D0" w14:textId="77777777" w:rsidR="00B24113" w:rsidRDefault="00B24113" w:rsidP="00B24113">
      <w:pPr>
        <w:numPr>
          <w:ilvl w:val="1"/>
          <w:numId w:val="31"/>
        </w:numPr>
        <w:spacing w:line="480" w:lineRule="auto"/>
        <w:jc w:val="both"/>
        <w:rPr>
          <w:rFonts w:ascii="Times New Roman" w:hAnsi="Times New Roman" w:cs="Times New Roman"/>
          <w:b/>
          <w:bCs/>
        </w:rPr>
      </w:pPr>
      <w:r w:rsidRPr="00B24113">
        <w:rPr>
          <w:rFonts w:ascii="Times New Roman" w:hAnsi="Times New Roman" w:cs="Times New Roman"/>
          <w:b/>
          <w:bCs/>
        </w:rPr>
        <w:t>R²: [Valor de R² calculado por el código]</w:t>
      </w:r>
    </w:p>
    <w:p w14:paraId="6D3CAA59" w14:textId="77777777" w:rsidR="00C62043" w:rsidRPr="00B24113" w:rsidRDefault="00C62043" w:rsidP="00C62043">
      <w:pPr>
        <w:spacing w:line="480" w:lineRule="auto"/>
        <w:ind w:left="1440"/>
        <w:jc w:val="both"/>
        <w:rPr>
          <w:rFonts w:ascii="Times New Roman" w:hAnsi="Times New Roman" w:cs="Times New Roman"/>
          <w:b/>
          <w:bCs/>
        </w:rPr>
      </w:pPr>
    </w:p>
    <w:p w14:paraId="75726FA1" w14:textId="77777777" w:rsid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La Gráfica 5 compara el precio spot real (conjunto de prueba) frente a las predicciones del modelo.</w:t>
      </w:r>
    </w:p>
    <w:p w14:paraId="3CC8BD7D" w14:textId="77777777" w:rsidR="00C62043" w:rsidRPr="00B24113" w:rsidRDefault="00C62043" w:rsidP="00B24113">
      <w:pPr>
        <w:spacing w:line="480" w:lineRule="auto"/>
        <w:jc w:val="both"/>
        <w:rPr>
          <w:rFonts w:ascii="Times New Roman" w:hAnsi="Times New Roman" w:cs="Times New Roman"/>
          <w:b/>
          <w:bCs/>
        </w:rPr>
      </w:pPr>
    </w:p>
    <w:p w14:paraId="42316C0C" w14:textId="085402D1"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GRÁFICA 5 </w:t>
      </w:r>
      <w:r>
        <w:rPr>
          <w:rFonts w:ascii="Times New Roman" w:hAnsi="Times New Roman" w:cs="Times New Roman"/>
          <w:b/>
          <w:bCs/>
        </w:rPr>
        <w:t xml:space="preserve">- </w:t>
      </w:r>
      <w:r w:rsidRPr="00B24113">
        <w:rPr>
          <w:rFonts w:ascii="Times New Roman" w:hAnsi="Times New Roman" w:cs="Times New Roman"/>
          <w:b/>
          <w:bCs/>
        </w:rPr>
        <w:t>Predicción del Precio Spot de Colombia (Regresión Lineal)]</w:t>
      </w:r>
      <w:r w:rsidRPr="00B24113">
        <w:t xml:space="preserve"> </w:t>
      </w:r>
      <w:r>
        <w:rPr>
          <w:noProof/>
        </w:rPr>
        <w:drawing>
          <wp:inline distT="0" distB="0" distL="0" distR="0" wp14:anchorId="48193E1E" wp14:editId="798CA348">
            <wp:extent cx="5943600" cy="2223135"/>
            <wp:effectExtent l="0" t="0" r="0" b="5715"/>
            <wp:docPr id="7329922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23135"/>
                    </a:xfrm>
                    <a:prstGeom prst="rect">
                      <a:avLst/>
                    </a:prstGeom>
                    <a:noFill/>
                    <a:ln>
                      <a:noFill/>
                    </a:ln>
                  </pic:spPr>
                </pic:pic>
              </a:graphicData>
            </a:graphic>
          </wp:inline>
        </w:drawing>
      </w:r>
    </w:p>
    <w:p w14:paraId="7D0AEC3C" w14:textId="77777777" w:rsidR="00B24113" w:rsidRPr="00B24113" w:rsidRDefault="00B24113" w:rsidP="00B24113">
      <w:pPr>
        <w:numPr>
          <w:ilvl w:val="0"/>
          <w:numId w:val="32"/>
        </w:numPr>
        <w:spacing w:line="480" w:lineRule="auto"/>
        <w:jc w:val="both"/>
        <w:rPr>
          <w:rFonts w:ascii="Times New Roman" w:hAnsi="Times New Roman" w:cs="Times New Roman"/>
          <w:b/>
          <w:bCs/>
        </w:rPr>
      </w:pPr>
      <w:r w:rsidRPr="00B24113">
        <w:rPr>
          <w:rFonts w:ascii="Times New Roman" w:hAnsi="Times New Roman" w:cs="Times New Roman"/>
          <w:b/>
          <w:bCs/>
        </w:rPr>
        <w:lastRenderedPageBreak/>
        <w:t>Rendimiento ($R^2$): El valor de $R^2$ de [Valor de R² calculado por el código] es un resultado sólido para un modelo lineal simple [9].</w:t>
      </w:r>
    </w:p>
    <w:p w14:paraId="2715BEDF" w14:textId="77777777" w:rsidR="00B24113" w:rsidRPr="00B24113" w:rsidRDefault="00B24113" w:rsidP="00B24113">
      <w:pPr>
        <w:numPr>
          <w:ilvl w:val="0"/>
          <w:numId w:val="32"/>
        </w:numPr>
        <w:spacing w:line="480" w:lineRule="auto"/>
        <w:jc w:val="both"/>
        <w:rPr>
          <w:rFonts w:ascii="Times New Roman" w:hAnsi="Times New Roman" w:cs="Times New Roman"/>
          <w:b/>
          <w:bCs/>
        </w:rPr>
      </w:pPr>
      <w:r w:rsidRPr="00B24113">
        <w:rPr>
          <w:rFonts w:ascii="Times New Roman" w:hAnsi="Times New Roman" w:cs="Times New Roman"/>
          <w:b/>
          <w:bCs/>
        </w:rPr>
        <w:t>Limitaciones del Modelo: La Regresión Lineal asume una relación lineal, fallando al predecir los saltos abruptos (picos) que ocurren cuando el sistema cambia de generación hidráulica a térmica [1]. Además, la omisión del precio del gas natural en las variables de entrada limita su precisión en épocas de sequía [6].</w:t>
      </w:r>
    </w:p>
    <w:p w14:paraId="08483B45" w14:textId="080316C1" w:rsidR="00B24113" w:rsidRPr="00B24113" w:rsidRDefault="00B24113" w:rsidP="00B24113">
      <w:pPr>
        <w:spacing w:line="480" w:lineRule="auto"/>
        <w:jc w:val="both"/>
        <w:rPr>
          <w:rFonts w:ascii="Times New Roman" w:hAnsi="Times New Roman" w:cs="Times New Roman"/>
          <w:b/>
          <w:bCs/>
        </w:rPr>
      </w:pPr>
    </w:p>
    <w:p w14:paraId="561679C4"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Capítulo 5: Conclusiones y Recomendaciones</w:t>
      </w:r>
    </w:p>
    <w:p w14:paraId="374A3AC8"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5.1 Conclusiones</w:t>
      </w:r>
    </w:p>
    <w:p w14:paraId="35BDD7AF" w14:textId="77777777" w:rsidR="00B24113" w:rsidRPr="00B24113" w:rsidRDefault="00B24113" w:rsidP="00B24113">
      <w:pPr>
        <w:numPr>
          <w:ilvl w:val="0"/>
          <w:numId w:val="33"/>
        </w:numPr>
        <w:spacing w:line="480" w:lineRule="auto"/>
        <w:jc w:val="both"/>
        <w:rPr>
          <w:rFonts w:ascii="Times New Roman" w:hAnsi="Times New Roman" w:cs="Times New Roman"/>
          <w:b/>
          <w:bCs/>
        </w:rPr>
      </w:pPr>
      <w:r w:rsidRPr="00B24113">
        <w:rPr>
          <w:rFonts w:ascii="Times New Roman" w:hAnsi="Times New Roman" w:cs="Times New Roman"/>
          <w:b/>
          <w:bCs/>
        </w:rPr>
        <w:t>Vulnerabilidad Hídrica Acentuada: La fuerte correlación negativa entre el precio y el nivel de embalses confirma que la hidrología es el principal motor de la volatilidad del precio spot colombiano.</w:t>
      </w:r>
    </w:p>
    <w:p w14:paraId="4F0823EC" w14:textId="77777777" w:rsidR="00B24113" w:rsidRPr="00B24113" w:rsidRDefault="00B24113" w:rsidP="00B24113">
      <w:pPr>
        <w:numPr>
          <w:ilvl w:val="0"/>
          <w:numId w:val="33"/>
        </w:numPr>
        <w:spacing w:line="480" w:lineRule="auto"/>
        <w:jc w:val="both"/>
        <w:rPr>
          <w:rFonts w:ascii="Times New Roman" w:hAnsi="Times New Roman" w:cs="Times New Roman"/>
          <w:b/>
          <w:bCs/>
        </w:rPr>
      </w:pPr>
      <w:r w:rsidRPr="00B24113">
        <w:rPr>
          <w:rFonts w:ascii="Times New Roman" w:hAnsi="Times New Roman" w:cs="Times New Roman"/>
          <w:b/>
          <w:bCs/>
        </w:rPr>
        <w:t>Aislamiento Volátil: La volatilidad de Colombia es un fenómeno interno, lo que permite implementar políticas de mitigación centradas en la gestión de recursos hídricos.</w:t>
      </w:r>
    </w:p>
    <w:p w14:paraId="0656FC4A" w14:textId="77777777" w:rsidR="00B24113" w:rsidRDefault="00B24113" w:rsidP="00B24113">
      <w:pPr>
        <w:numPr>
          <w:ilvl w:val="0"/>
          <w:numId w:val="33"/>
        </w:numPr>
        <w:spacing w:line="480" w:lineRule="auto"/>
        <w:jc w:val="both"/>
        <w:rPr>
          <w:rFonts w:ascii="Times New Roman" w:hAnsi="Times New Roman" w:cs="Times New Roman"/>
          <w:b/>
          <w:bCs/>
        </w:rPr>
      </w:pPr>
      <w:r w:rsidRPr="00B24113">
        <w:rPr>
          <w:rFonts w:ascii="Times New Roman" w:hAnsi="Times New Roman" w:cs="Times New Roman"/>
          <w:b/>
          <w:bCs/>
        </w:rPr>
        <w:t>Modelo Base Sólido: El modelo de Regresión Lineal demostró la viabilidad de utilizar datos de embalses y rezagos de precio como predictores, proporcionando un punto de partida robusto ($R^2 \approx [R^2 \text{ del código}]$).</w:t>
      </w:r>
    </w:p>
    <w:p w14:paraId="140FA33B" w14:textId="77777777" w:rsidR="00C62043" w:rsidRPr="00B24113" w:rsidRDefault="00C62043" w:rsidP="00C62043">
      <w:pPr>
        <w:spacing w:line="480" w:lineRule="auto"/>
        <w:ind w:left="720"/>
        <w:jc w:val="both"/>
        <w:rPr>
          <w:rFonts w:ascii="Times New Roman" w:hAnsi="Times New Roman" w:cs="Times New Roman"/>
          <w:b/>
          <w:bCs/>
        </w:rPr>
      </w:pPr>
    </w:p>
    <w:p w14:paraId="52195768"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5.2 Recomendaciones para Futuro Trabajo</w:t>
      </w:r>
    </w:p>
    <w:p w14:paraId="313B1749" w14:textId="77777777" w:rsidR="00B24113" w:rsidRPr="00B24113" w:rsidRDefault="00B24113" w:rsidP="00B24113">
      <w:pPr>
        <w:numPr>
          <w:ilvl w:val="0"/>
          <w:numId w:val="34"/>
        </w:numPr>
        <w:spacing w:line="480" w:lineRule="auto"/>
        <w:jc w:val="both"/>
        <w:rPr>
          <w:rFonts w:ascii="Times New Roman" w:hAnsi="Times New Roman" w:cs="Times New Roman"/>
          <w:b/>
          <w:bCs/>
        </w:rPr>
      </w:pPr>
      <w:r w:rsidRPr="00B24113">
        <w:rPr>
          <w:rFonts w:ascii="Times New Roman" w:hAnsi="Times New Roman" w:cs="Times New Roman"/>
          <w:b/>
          <w:bCs/>
        </w:rPr>
        <w:lastRenderedPageBreak/>
        <w:t xml:space="preserve">Exploración de Modelos Avanzados: Se recomienda la implementación de modelos de Machine Learning de Alto Rendimiento como </w:t>
      </w:r>
      <w:r w:rsidRPr="00B24113">
        <w:rPr>
          <w:rFonts w:ascii="Times New Roman" w:hAnsi="Times New Roman" w:cs="Times New Roman"/>
          <w:b/>
          <w:bCs/>
          <w:i/>
          <w:iCs/>
        </w:rPr>
        <w:t>XGBoost</w:t>
      </w:r>
      <w:r w:rsidRPr="00B24113">
        <w:rPr>
          <w:rFonts w:ascii="Times New Roman" w:hAnsi="Times New Roman" w:cs="Times New Roman"/>
          <w:b/>
          <w:bCs/>
        </w:rPr>
        <w:t xml:space="preserve"> o modelos de series de tiempo como </w:t>
      </w:r>
      <w:r w:rsidRPr="00B24113">
        <w:rPr>
          <w:rFonts w:ascii="Times New Roman" w:hAnsi="Times New Roman" w:cs="Times New Roman"/>
          <w:b/>
          <w:bCs/>
          <w:i/>
          <w:iCs/>
        </w:rPr>
        <w:t>Prophet</w:t>
      </w:r>
      <w:r w:rsidRPr="00B24113">
        <w:rPr>
          <w:rFonts w:ascii="Times New Roman" w:hAnsi="Times New Roman" w:cs="Times New Roman"/>
          <w:b/>
          <w:bCs/>
        </w:rPr>
        <w:t xml:space="preserve"> para capturar la naturaleza no-lineal del precio spot.</w:t>
      </w:r>
    </w:p>
    <w:p w14:paraId="42F91194" w14:textId="77777777" w:rsidR="00B24113" w:rsidRPr="00B24113" w:rsidRDefault="00B24113" w:rsidP="00B24113">
      <w:pPr>
        <w:numPr>
          <w:ilvl w:val="0"/>
          <w:numId w:val="34"/>
        </w:numPr>
        <w:spacing w:line="480" w:lineRule="auto"/>
        <w:jc w:val="both"/>
        <w:rPr>
          <w:rFonts w:ascii="Times New Roman" w:hAnsi="Times New Roman" w:cs="Times New Roman"/>
          <w:b/>
          <w:bCs/>
        </w:rPr>
      </w:pPr>
      <w:r w:rsidRPr="00B24113">
        <w:rPr>
          <w:rFonts w:ascii="Times New Roman" w:hAnsi="Times New Roman" w:cs="Times New Roman"/>
          <w:b/>
          <w:bCs/>
        </w:rPr>
        <w:t>Integración de Precios de Combustibles: El modelo predictivo debe ser ampliado para incluir el precio del gas natural y/o carbón, variables que se vuelven el precio marginal en épocas de sequía [6].</w:t>
      </w:r>
    </w:p>
    <w:p w14:paraId="68242E3C" w14:textId="36F5BC5E" w:rsidR="00B24113" w:rsidRPr="00B24113" w:rsidRDefault="00B24113" w:rsidP="00B24113">
      <w:pPr>
        <w:spacing w:line="480" w:lineRule="auto"/>
        <w:jc w:val="both"/>
        <w:rPr>
          <w:rFonts w:ascii="Times New Roman" w:hAnsi="Times New Roman" w:cs="Times New Roman"/>
          <w:b/>
          <w:bCs/>
        </w:rPr>
      </w:pPr>
    </w:p>
    <w:p w14:paraId="4F0E9AF9"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Capítulo 6: Referencias</w:t>
      </w:r>
    </w:p>
    <w:p w14:paraId="7E5C20DD"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6.1 Referencias Académicas e Institucionales (Orden original de citas)</w:t>
      </w:r>
    </w:p>
    <w:p w14:paraId="2F65B965"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lang w:val="en-US"/>
        </w:rPr>
        <w:t xml:space="preserve">[1] Schweppe, F. C., Caramanis, M. C., Tabors, R. D., &amp; Bohn, R. E. (1988). </w:t>
      </w:r>
      <w:r w:rsidRPr="00B24113">
        <w:rPr>
          <w:rFonts w:ascii="Times New Roman" w:hAnsi="Times New Roman" w:cs="Times New Roman"/>
          <w:b/>
          <w:bCs/>
          <w:i/>
          <w:iCs/>
        </w:rPr>
        <w:t>Spot Pricing of Electricity</w:t>
      </w:r>
      <w:r w:rsidRPr="00B24113">
        <w:rPr>
          <w:rFonts w:ascii="Times New Roman" w:hAnsi="Times New Roman" w:cs="Times New Roman"/>
          <w:b/>
          <w:bCs/>
        </w:rPr>
        <w:t>. Springer Science &amp; Business Media.</w:t>
      </w:r>
    </w:p>
    <w:p w14:paraId="6C861BF3"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[2] XM. (2024). </w:t>
      </w:r>
      <w:r w:rsidRPr="00B24113">
        <w:rPr>
          <w:rFonts w:ascii="Times New Roman" w:hAnsi="Times New Roman" w:cs="Times New Roman"/>
          <w:b/>
          <w:bCs/>
          <w:i/>
          <w:iCs/>
        </w:rPr>
        <w:t>Funciones del Operador del Sistema y Administrador del Mercado</w:t>
      </w:r>
      <w:r w:rsidRPr="00B24113">
        <w:rPr>
          <w:rFonts w:ascii="Times New Roman" w:hAnsi="Times New Roman" w:cs="Times New Roman"/>
          <w:b/>
          <w:bCs/>
        </w:rPr>
        <w:t>. Documentación Institucional.</w:t>
      </w:r>
    </w:p>
    <w:p w14:paraId="6FEB2552"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[3] CREG. (2023). </w:t>
      </w:r>
      <w:r w:rsidRPr="00B24113">
        <w:rPr>
          <w:rFonts w:ascii="Times New Roman" w:hAnsi="Times New Roman" w:cs="Times New Roman"/>
          <w:b/>
          <w:bCs/>
          <w:i/>
          <w:iCs/>
        </w:rPr>
        <w:t>Estructura del Mercado de Energía Mayorista en Colombia</w:t>
      </w:r>
      <w:r w:rsidRPr="00B24113">
        <w:rPr>
          <w:rFonts w:ascii="Times New Roman" w:hAnsi="Times New Roman" w:cs="Times New Roman"/>
          <w:b/>
          <w:bCs/>
        </w:rPr>
        <w:t>. Comisión de Regulación de Energía y Gas.</w:t>
      </w:r>
    </w:p>
    <w:p w14:paraId="2B03B84C"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[4] Olaya, J. C., &amp; Lora, E. E. (2018). </w:t>
      </w:r>
      <w:r w:rsidRPr="00B24113">
        <w:rPr>
          <w:rFonts w:ascii="Times New Roman" w:hAnsi="Times New Roman" w:cs="Times New Roman"/>
          <w:b/>
          <w:bCs/>
          <w:i/>
          <w:iCs/>
        </w:rPr>
        <w:t>Impacto de la dependencia hídrica y las políticas de energía renovable en la estabilidad del mercado eléctrico colombiano</w:t>
      </w:r>
      <w:r w:rsidRPr="00B24113">
        <w:rPr>
          <w:rFonts w:ascii="Times New Roman" w:hAnsi="Times New Roman" w:cs="Times New Roman"/>
          <w:b/>
          <w:bCs/>
        </w:rPr>
        <w:t>. Revista de Ingeniería.</w:t>
      </w:r>
    </w:p>
    <w:p w14:paraId="48C1F8AD"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[5] Gaviria, L., &amp; Rincón, A. (2016). </w:t>
      </w:r>
      <w:r w:rsidRPr="00B24113">
        <w:rPr>
          <w:rFonts w:ascii="Times New Roman" w:hAnsi="Times New Roman" w:cs="Times New Roman"/>
          <w:b/>
          <w:bCs/>
          <w:i/>
          <w:iCs/>
        </w:rPr>
        <w:t>El Fenómeno de El Niño y su Efecto en la Generación de Energía Eléctrica en Colombia</w:t>
      </w:r>
      <w:r w:rsidRPr="00B24113">
        <w:rPr>
          <w:rFonts w:ascii="Times New Roman" w:hAnsi="Times New Roman" w:cs="Times New Roman"/>
          <w:b/>
          <w:bCs/>
        </w:rPr>
        <w:t>. Estudios de caso sobre seguridad energética y cambio climático.</w:t>
      </w:r>
    </w:p>
    <w:p w14:paraId="546DE01C"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lastRenderedPageBreak/>
        <w:t xml:space="preserve">[6] Toro, M., &amp; García, P. (2019). </w:t>
      </w:r>
      <w:r w:rsidRPr="00B24113">
        <w:rPr>
          <w:rFonts w:ascii="Times New Roman" w:hAnsi="Times New Roman" w:cs="Times New Roman"/>
          <w:b/>
          <w:bCs/>
          <w:i/>
          <w:iCs/>
        </w:rPr>
        <w:t>Análisis de la Volatilidad del Precio de la Energía en Colombia a partir de las Reservas Hídricas y los Precios del Gas</w:t>
      </w:r>
      <w:r w:rsidRPr="00B24113">
        <w:rPr>
          <w:rFonts w:ascii="Times New Roman" w:hAnsi="Times New Roman" w:cs="Times New Roman"/>
          <w:b/>
          <w:bCs/>
        </w:rPr>
        <w:t>.</w:t>
      </w:r>
    </w:p>
    <w:p w14:paraId="163B7528" w14:textId="77777777" w:rsidR="00B24113" w:rsidRPr="00B24113" w:rsidRDefault="00B24113" w:rsidP="00B24113">
      <w:pPr>
        <w:spacing w:line="480" w:lineRule="auto"/>
        <w:jc w:val="both"/>
        <w:rPr>
          <w:rFonts w:ascii="Times New Roman" w:hAnsi="Times New Roman" w:cs="Times New Roman"/>
          <w:b/>
          <w:bCs/>
          <w:lang w:val="en-US"/>
        </w:rPr>
      </w:pPr>
      <w:r w:rsidRPr="00B24113">
        <w:rPr>
          <w:rFonts w:ascii="Times New Roman" w:hAnsi="Times New Roman" w:cs="Times New Roman"/>
          <w:b/>
          <w:bCs/>
          <w:lang w:val="en-US"/>
        </w:rPr>
        <w:t xml:space="preserve">[7] Midttun, A., &amp; Hansen, T. (2018). </w:t>
      </w:r>
      <w:r w:rsidRPr="00B24113">
        <w:rPr>
          <w:rFonts w:ascii="Times New Roman" w:hAnsi="Times New Roman" w:cs="Times New Roman"/>
          <w:b/>
          <w:bCs/>
          <w:i/>
          <w:iCs/>
          <w:lang w:val="en-US"/>
        </w:rPr>
        <w:t>Market design and price formation in the Nordic Power Market (Nordpool)</w:t>
      </w:r>
      <w:r w:rsidRPr="00B24113">
        <w:rPr>
          <w:rFonts w:ascii="Times New Roman" w:hAnsi="Times New Roman" w:cs="Times New Roman"/>
          <w:b/>
          <w:bCs/>
          <w:lang w:val="en-US"/>
        </w:rPr>
        <w:t>.</w:t>
      </w:r>
    </w:p>
    <w:p w14:paraId="020A30FD"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lang w:val="en-US"/>
        </w:rPr>
        <w:t xml:space="preserve">[8] European Commission. (2022). </w:t>
      </w:r>
      <w:r w:rsidRPr="00B24113">
        <w:rPr>
          <w:rFonts w:ascii="Times New Roman" w:hAnsi="Times New Roman" w:cs="Times New Roman"/>
          <w:b/>
          <w:bCs/>
          <w:i/>
          <w:iCs/>
          <w:lang w:val="en-US"/>
        </w:rPr>
        <w:t>Analysis of electricity price increases in the EU</w:t>
      </w:r>
      <w:r w:rsidRPr="00B24113">
        <w:rPr>
          <w:rFonts w:ascii="Times New Roman" w:hAnsi="Times New Roman" w:cs="Times New Roman"/>
          <w:b/>
          <w:bCs/>
          <w:lang w:val="en-US"/>
        </w:rPr>
        <w:t xml:space="preserve">. </w:t>
      </w:r>
      <w:r w:rsidRPr="00B24113">
        <w:rPr>
          <w:rFonts w:ascii="Times New Roman" w:hAnsi="Times New Roman" w:cs="Times New Roman"/>
          <w:b/>
          <w:bCs/>
        </w:rPr>
        <w:t>Documento sobre la Crisis Energética Europea.</w:t>
      </w:r>
    </w:p>
    <w:p w14:paraId="5C0608E4" w14:textId="77777777" w:rsidR="00B24113" w:rsidRPr="00B24113" w:rsidRDefault="00B24113" w:rsidP="00B24113">
      <w:pPr>
        <w:spacing w:line="480" w:lineRule="auto"/>
        <w:jc w:val="both"/>
        <w:rPr>
          <w:rFonts w:ascii="Times New Roman" w:hAnsi="Times New Roman" w:cs="Times New Roman"/>
          <w:b/>
          <w:bCs/>
          <w:lang w:val="en-US"/>
        </w:rPr>
      </w:pPr>
      <w:r w:rsidRPr="00B24113">
        <w:rPr>
          <w:rFonts w:ascii="Times New Roman" w:hAnsi="Times New Roman" w:cs="Times New Roman"/>
          <w:b/>
          <w:bCs/>
        </w:rPr>
        <w:t xml:space="preserve">[9] Greene, W. H. (2018). </w:t>
      </w:r>
      <w:r w:rsidRPr="00B24113">
        <w:rPr>
          <w:rFonts w:ascii="Times New Roman" w:hAnsi="Times New Roman" w:cs="Times New Roman"/>
          <w:b/>
          <w:bCs/>
          <w:i/>
          <w:iCs/>
        </w:rPr>
        <w:t>Econometric Analysis</w:t>
      </w:r>
      <w:r w:rsidRPr="00B24113">
        <w:rPr>
          <w:rFonts w:ascii="Times New Roman" w:hAnsi="Times New Roman" w:cs="Times New Roman"/>
          <w:b/>
          <w:bCs/>
        </w:rPr>
        <w:t xml:space="preserve"> (8th ed.). </w:t>
      </w:r>
      <w:r w:rsidRPr="00B24113">
        <w:rPr>
          <w:rFonts w:ascii="Times New Roman" w:hAnsi="Times New Roman" w:cs="Times New Roman"/>
          <w:b/>
          <w:bCs/>
          <w:lang w:val="en-US"/>
        </w:rPr>
        <w:t>Pearson Education.</w:t>
      </w:r>
    </w:p>
    <w:p w14:paraId="6E8FE865"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lang w:val="en-US"/>
        </w:rPr>
        <w:t xml:space="preserve">[10] Box, G. E. P., Jenkins, G. M., Reinsel, G. C., &amp; Ljung, G. M. (2015). </w:t>
      </w:r>
      <w:r w:rsidRPr="00B24113">
        <w:rPr>
          <w:rFonts w:ascii="Times New Roman" w:hAnsi="Times New Roman" w:cs="Times New Roman"/>
          <w:b/>
          <w:bCs/>
          <w:i/>
          <w:iCs/>
        </w:rPr>
        <w:t>Time Series Analysis: Forecasting and Control</w:t>
      </w:r>
      <w:r w:rsidRPr="00B24113">
        <w:rPr>
          <w:rFonts w:ascii="Times New Roman" w:hAnsi="Times New Roman" w:cs="Times New Roman"/>
          <w:b/>
          <w:bCs/>
        </w:rPr>
        <w:t xml:space="preserve"> (5th ed.). Wiley.</w:t>
      </w:r>
    </w:p>
    <w:p w14:paraId="21D36C2B"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6.2 Fuentes de Datos y Plataformas (Añadidas al final)</w:t>
      </w:r>
    </w:p>
    <w:p w14:paraId="46E982AA"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[11] SIMEM - Sistema de Información del Mercado Energético Mayorista. (s.f.). </w:t>
      </w:r>
      <w:r w:rsidRPr="00B24113">
        <w:rPr>
          <w:rFonts w:ascii="Times New Roman" w:hAnsi="Times New Roman" w:cs="Times New Roman"/>
          <w:b/>
          <w:bCs/>
          <w:i/>
          <w:iCs/>
        </w:rPr>
        <w:t>Detalle de Datos: Precio de Bolsa Ponderado</w:t>
      </w:r>
      <w:r w:rsidRPr="00B24113">
        <w:rPr>
          <w:rFonts w:ascii="Times New Roman" w:hAnsi="Times New Roman" w:cs="Times New Roman"/>
          <w:b/>
          <w:bCs/>
        </w:rPr>
        <w:t>. Recuperado de: https://www.simem.co/datadetail/96D56E82-11CB-4D87-92B6-EC7A621D9D9C</w:t>
      </w:r>
    </w:p>
    <w:p w14:paraId="074693D2"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[12] Sinergox / XM. (s.f.). </w:t>
      </w:r>
      <w:r w:rsidRPr="00B24113">
        <w:rPr>
          <w:rFonts w:ascii="Times New Roman" w:hAnsi="Times New Roman" w:cs="Times New Roman"/>
          <w:b/>
          <w:bCs/>
          <w:i/>
          <w:iCs/>
        </w:rPr>
        <w:t>Informes de Reservas Hídricas SIN</w:t>
      </w:r>
      <w:r w:rsidRPr="00B24113">
        <w:rPr>
          <w:rFonts w:ascii="Times New Roman" w:hAnsi="Times New Roman" w:cs="Times New Roman"/>
          <w:b/>
          <w:bCs/>
        </w:rPr>
        <w:t>. Recuperado de: https://sinergox.xm.com.co/hdrlg/Paginas/Informes/ReservasHidricasSIN.aspx</w:t>
      </w:r>
    </w:p>
    <w:p w14:paraId="39A18D85"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lang w:val="en-US"/>
        </w:rPr>
        <w:t xml:space="preserve">[13] Nord Pool Energy Market Data. </w:t>
      </w:r>
      <w:r w:rsidRPr="00B24113">
        <w:rPr>
          <w:rFonts w:ascii="Times New Roman" w:hAnsi="Times New Roman" w:cs="Times New Roman"/>
          <w:b/>
          <w:bCs/>
        </w:rPr>
        <w:t>(s.f.). [Dataset de precios Nord Pool]. Kaggle. Recuperado de: https://www.kaggle.com/datasets/pythonafroz/nord-pool-energy-market-data?resource=download</w:t>
      </w:r>
    </w:p>
    <w:p w14:paraId="05BF03EF"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[14] EPEX SPOT Data. (s.f.). [Datos de precios spot Alemania/Francia]. ewoken.github.io. Recuperado de: https://ewoken.github.io/epex-spot-data/</w:t>
      </w:r>
    </w:p>
    <w:p w14:paraId="0C06886C"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lastRenderedPageBreak/>
        <w:t xml:space="preserve">[15] Sheety. (s.f.). </w:t>
      </w:r>
      <w:r w:rsidRPr="00B24113">
        <w:rPr>
          <w:rFonts w:ascii="Times New Roman" w:hAnsi="Times New Roman" w:cs="Times New Roman"/>
          <w:b/>
          <w:bCs/>
          <w:i/>
          <w:iCs/>
        </w:rPr>
        <w:t>API Sheets: Precio de Bolsa Ponderado Colombia</w:t>
      </w:r>
      <w:r w:rsidRPr="00B24113">
        <w:rPr>
          <w:rFonts w:ascii="Times New Roman" w:hAnsi="Times New Roman" w:cs="Times New Roman"/>
          <w:b/>
          <w:bCs/>
        </w:rPr>
        <w:t>. Recuperado de: https://dashboard.sheety.co/projects/690d1c12e0fa9a0546f3278e/sheets/preciodebolsaponderadoacda7E04137D49049C5CF56Ae063390FCsv</w:t>
      </w:r>
    </w:p>
    <w:p w14:paraId="71AC4B3B"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[16] Sheety. (s.f.). </w:t>
      </w:r>
      <w:r w:rsidRPr="00B24113">
        <w:rPr>
          <w:rFonts w:ascii="Times New Roman" w:hAnsi="Times New Roman" w:cs="Times New Roman"/>
          <w:b/>
          <w:bCs/>
          <w:i/>
          <w:iCs/>
        </w:rPr>
        <w:t>API Sheets: Alemania o Francia</w:t>
      </w:r>
      <w:r w:rsidRPr="00B24113">
        <w:rPr>
          <w:rFonts w:ascii="Times New Roman" w:hAnsi="Times New Roman" w:cs="Times New Roman"/>
          <w:b/>
          <w:bCs/>
        </w:rPr>
        <w:t>. Recuperado de: https://dashboard.sheety.co/projects/690d44dae0fa9a0546f327cb/sheets/alemaniaOFrancia</w:t>
      </w:r>
    </w:p>
    <w:p w14:paraId="79CF18E1"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[17] SheetDB. (s.f.). </w:t>
      </w:r>
      <w:r w:rsidRPr="00B24113">
        <w:rPr>
          <w:rFonts w:ascii="Times New Roman" w:hAnsi="Times New Roman" w:cs="Times New Roman"/>
          <w:b/>
          <w:bCs/>
          <w:i/>
          <w:iCs/>
        </w:rPr>
        <w:t>Plataforma de creación de APIs a partir de hojas de cálculo</w:t>
      </w:r>
      <w:r w:rsidRPr="00B24113">
        <w:rPr>
          <w:rFonts w:ascii="Times New Roman" w:hAnsi="Times New Roman" w:cs="Times New Roman"/>
          <w:b/>
          <w:bCs/>
        </w:rPr>
        <w:t>. Recuperado de: https://sheetdb.io/app/apis</w:t>
      </w:r>
    </w:p>
    <w:p w14:paraId="18FA7916" w14:textId="77777777" w:rsidR="00B24113" w:rsidRPr="00B24113" w:rsidRDefault="00B24113" w:rsidP="00B24113">
      <w:pPr>
        <w:spacing w:line="480" w:lineRule="auto"/>
        <w:jc w:val="both"/>
        <w:rPr>
          <w:rFonts w:ascii="Times New Roman" w:hAnsi="Times New Roman" w:cs="Times New Roman"/>
          <w:b/>
          <w:bCs/>
        </w:rPr>
      </w:pPr>
      <w:r w:rsidRPr="00B24113">
        <w:rPr>
          <w:rFonts w:ascii="Times New Roman" w:hAnsi="Times New Roman" w:cs="Times New Roman"/>
          <w:b/>
          <w:bCs/>
        </w:rPr>
        <w:t xml:space="preserve">[18] [Tu Nombre]. (2025). </w:t>
      </w:r>
      <w:r w:rsidRPr="00B24113">
        <w:rPr>
          <w:rFonts w:ascii="Times New Roman" w:hAnsi="Times New Roman" w:cs="Times New Roman"/>
          <w:b/>
          <w:bCs/>
          <w:i/>
          <w:iCs/>
        </w:rPr>
        <w:t>Análisis del Mercado Energético Colombiano y Predicción de Precios</w:t>
      </w:r>
      <w:r w:rsidRPr="00B24113">
        <w:rPr>
          <w:rFonts w:ascii="Times New Roman" w:hAnsi="Times New Roman" w:cs="Times New Roman"/>
          <w:b/>
          <w:bCs/>
        </w:rPr>
        <w:t>. [Código y Metodología]. Google Colaboratory. Recuperado de: https://colab.research.google.com/drive/1f2MZqgkmbZMZSIEUNiS-Ny0gMYxKdXvg</w:t>
      </w:r>
    </w:p>
    <w:p w14:paraId="2790C474" w14:textId="77777777" w:rsidR="00903EBA" w:rsidRPr="00B24113" w:rsidRDefault="00903EBA" w:rsidP="00B24113"/>
    <w:sectPr w:rsidR="00903EBA" w:rsidRPr="00B24113" w:rsidSect="00A622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CE2"/>
    <w:multiLevelType w:val="multilevel"/>
    <w:tmpl w:val="D52A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F4F8A"/>
    <w:multiLevelType w:val="multilevel"/>
    <w:tmpl w:val="416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55156"/>
    <w:multiLevelType w:val="multilevel"/>
    <w:tmpl w:val="4AC2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91624"/>
    <w:multiLevelType w:val="multilevel"/>
    <w:tmpl w:val="4D64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04EDD"/>
    <w:multiLevelType w:val="multilevel"/>
    <w:tmpl w:val="7C3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C3F41"/>
    <w:multiLevelType w:val="multilevel"/>
    <w:tmpl w:val="B732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3166F"/>
    <w:multiLevelType w:val="multilevel"/>
    <w:tmpl w:val="B39E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C3D45"/>
    <w:multiLevelType w:val="multilevel"/>
    <w:tmpl w:val="5FB0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375FC"/>
    <w:multiLevelType w:val="multilevel"/>
    <w:tmpl w:val="4836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46ADD"/>
    <w:multiLevelType w:val="multilevel"/>
    <w:tmpl w:val="C49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37B9E"/>
    <w:multiLevelType w:val="multilevel"/>
    <w:tmpl w:val="625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A3B72"/>
    <w:multiLevelType w:val="multilevel"/>
    <w:tmpl w:val="6A8C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B3D2C"/>
    <w:multiLevelType w:val="multilevel"/>
    <w:tmpl w:val="23C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A5CDF"/>
    <w:multiLevelType w:val="multilevel"/>
    <w:tmpl w:val="4CB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D41C2"/>
    <w:multiLevelType w:val="multilevel"/>
    <w:tmpl w:val="E1E8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7322A3"/>
    <w:multiLevelType w:val="multilevel"/>
    <w:tmpl w:val="10E6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D708A"/>
    <w:multiLevelType w:val="multilevel"/>
    <w:tmpl w:val="80B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056DE"/>
    <w:multiLevelType w:val="multilevel"/>
    <w:tmpl w:val="B0FA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323F4"/>
    <w:multiLevelType w:val="multilevel"/>
    <w:tmpl w:val="197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F11E5"/>
    <w:multiLevelType w:val="multilevel"/>
    <w:tmpl w:val="743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753FB"/>
    <w:multiLevelType w:val="multilevel"/>
    <w:tmpl w:val="3486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26584"/>
    <w:multiLevelType w:val="multilevel"/>
    <w:tmpl w:val="887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20DBE"/>
    <w:multiLevelType w:val="multilevel"/>
    <w:tmpl w:val="D37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55B81"/>
    <w:multiLevelType w:val="multilevel"/>
    <w:tmpl w:val="562AEA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AC3080"/>
    <w:multiLevelType w:val="multilevel"/>
    <w:tmpl w:val="926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9693C"/>
    <w:multiLevelType w:val="multilevel"/>
    <w:tmpl w:val="DC506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047CF"/>
    <w:multiLevelType w:val="multilevel"/>
    <w:tmpl w:val="309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C48A6"/>
    <w:multiLevelType w:val="multilevel"/>
    <w:tmpl w:val="82E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24D29"/>
    <w:multiLevelType w:val="multilevel"/>
    <w:tmpl w:val="A776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AE148C"/>
    <w:multiLevelType w:val="multilevel"/>
    <w:tmpl w:val="D1C8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9E4D9E"/>
    <w:multiLevelType w:val="multilevel"/>
    <w:tmpl w:val="B21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26A62"/>
    <w:multiLevelType w:val="multilevel"/>
    <w:tmpl w:val="F7A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46E91"/>
    <w:multiLevelType w:val="multilevel"/>
    <w:tmpl w:val="EFF4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A6B51"/>
    <w:multiLevelType w:val="multilevel"/>
    <w:tmpl w:val="999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F1DE6"/>
    <w:multiLevelType w:val="multilevel"/>
    <w:tmpl w:val="8EB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443570">
    <w:abstractNumId w:val="1"/>
  </w:num>
  <w:num w:numId="2" w16cid:durableId="626930851">
    <w:abstractNumId w:val="18"/>
  </w:num>
  <w:num w:numId="3" w16cid:durableId="1178351035">
    <w:abstractNumId w:val="28"/>
  </w:num>
  <w:num w:numId="4" w16cid:durableId="309553400">
    <w:abstractNumId w:val="4"/>
  </w:num>
  <w:num w:numId="5" w16cid:durableId="1928463666">
    <w:abstractNumId w:val="16"/>
  </w:num>
  <w:num w:numId="6" w16cid:durableId="2113354489">
    <w:abstractNumId w:val="32"/>
  </w:num>
  <w:num w:numId="7" w16cid:durableId="540896613">
    <w:abstractNumId w:val="33"/>
  </w:num>
  <w:num w:numId="8" w16cid:durableId="1179853721">
    <w:abstractNumId w:val="7"/>
  </w:num>
  <w:num w:numId="9" w16cid:durableId="645822410">
    <w:abstractNumId w:val="22"/>
  </w:num>
  <w:num w:numId="10" w16cid:durableId="880704700">
    <w:abstractNumId w:val="15"/>
  </w:num>
  <w:num w:numId="11" w16cid:durableId="1655528201">
    <w:abstractNumId w:val="12"/>
  </w:num>
  <w:num w:numId="12" w16cid:durableId="1214653573">
    <w:abstractNumId w:val="10"/>
  </w:num>
  <w:num w:numId="13" w16cid:durableId="1234196271">
    <w:abstractNumId w:val="29"/>
  </w:num>
  <w:num w:numId="14" w16cid:durableId="1429305861">
    <w:abstractNumId w:val="34"/>
  </w:num>
  <w:num w:numId="15" w16cid:durableId="1465006024">
    <w:abstractNumId w:val="21"/>
  </w:num>
  <w:num w:numId="16" w16cid:durableId="1036269185">
    <w:abstractNumId w:val="13"/>
  </w:num>
  <w:num w:numId="17" w16cid:durableId="1213227738">
    <w:abstractNumId w:val="9"/>
  </w:num>
  <w:num w:numId="18" w16cid:durableId="51080117">
    <w:abstractNumId w:val="5"/>
  </w:num>
  <w:num w:numId="19" w16cid:durableId="2097945137">
    <w:abstractNumId w:val="19"/>
  </w:num>
  <w:num w:numId="20" w16cid:durableId="1739475924">
    <w:abstractNumId w:val="0"/>
  </w:num>
  <w:num w:numId="21" w16cid:durableId="629555784">
    <w:abstractNumId w:val="6"/>
  </w:num>
  <w:num w:numId="22" w16cid:durableId="2091152721">
    <w:abstractNumId w:val="30"/>
  </w:num>
  <w:num w:numId="23" w16cid:durableId="1254245015">
    <w:abstractNumId w:val="27"/>
  </w:num>
  <w:num w:numId="24" w16cid:durableId="364717763">
    <w:abstractNumId w:val="24"/>
  </w:num>
  <w:num w:numId="25" w16cid:durableId="691960242">
    <w:abstractNumId w:val="17"/>
  </w:num>
  <w:num w:numId="26" w16cid:durableId="2037071546">
    <w:abstractNumId w:val="26"/>
  </w:num>
  <w:num w:numId="27" w16cid:durableId="1747920539">
    <w:abstractNumId w:val="11"/>
  </w:num>
  <w:num w:numId="28" w16cid:durableId="2087796211">
    <w:abstractNumId w:val="14"/>
  </w:num>
  <w:num w:numId="29" w16cid:durableId="1611354294">
    <w:abstractNumId w:val="20"/>
  </w:num>
  <w:num w:numId="30" w16cid:durableId="228342129">
    <w:abstractNumId w:val="8"/>
  </w:num>
  <w:num w:numId="31" w16cid:durableId="1715495094">
    <w:abstractNumId w:val="25"/>
  </w:num>
  <w:num w:numId="32" w16cid:durableId="1498880892">
    <w:abstractNumId w:val="31"/>
  </w:num>
  <w:num w:numId="33" w16cid:durableId="34475212">
    <w:abstractNumId w:val="2"/>
  </w:num>
  <w:num w:numId="34" w16cid:durableId="1618179058">
    <w:abstractNumId w:val="3"/>
  </w:num>
  <w:num w:numId="35" w16cid:durableId="1337913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BA"/>
    <w:rsid w:val="00037C81"/>
    <w:rsid w:val="00284DE2"/>
    <w:rsid w:val="00601C3C"/>
    <w:rsid w:val="00903EBA"/>
    <w:rsid w:val="00A62204"/>
    <w:rsid w:val="00B24113"/>
    <w:rsid w:val="00C62043"/>
    <w:rsid w:val="00E93560"/>
    <w:rsid w:val="00ED1F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50A9"/>
  <w15:chartTrackingRefBased/>
  <w15:docId w15:val="{A0064A68-D8FD-4B72-A6E8-FF4426CA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E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E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E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E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E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E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E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E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E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E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E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E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E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E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E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EBA"/>
    <w:rPr>
      <w:rFonts w:eastAsiaTheme="majorEastAsia" w:cstheme="majorBidi"/>
      <w:color w:val="272727" w:themeColor="text1" w:themeTint="D8"/>
    </w:rPr>
  </w:style>
  <w:style w:type="paragraph" w:styleId="Ttulo">
    <w:name w:val="Title"/>
    <w:basedOn w:val="Normal"/>
    <w:next w:val="Normal"/>
    <w:link w:val="TtuloCar"/>
    <w:uiPriority w:val="10"/>
    <w:qFormat/>
    <w:rsid w:val="0090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E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E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E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EBA"/>
    <w:pPr>
      <w:spacing w:before="160"/>
      <w:jc w:val="center"/>
    </w:pPr>
    <w:rPr>
      <w:i/>
      <w:iCs/>
      <w:color w:val="404040" w:themeColor="text1" w:themeTint="BF"/>
    </w:rPr>
  </w:style>
  <w:style w:type="character" w:customStyle="1" w:styleId="CitaCar">
    <w:name w:val="Cita Car"/>
    <w:basedOn w:val="Fuentedeprrafopredeter"/>
    <w:link w:val="Cita"/>
    <w:uiPriority w:val="29"/>
    <w:rsid w:val="00903EBA"/>
    <w:rPr>
      <w:i/>
      <w:iCs/>
      <w:color w:val="404040" w:themeColor="text1" w:themeTint="BF"/>
    </w:rPr>
  </w:style>
  <w:style w:type="paragraph" w:styleId="Prrafodelista">
    <w:name w:val="List Paragraph"/>
    <w:basedOn w:val="Normal"/>
    <w:uiPriority w:val="34"/>
    <w:qFormat/>
    <w:rsid w:val="00903EBA"/>
    <w:pPr>
      <w:ind w:left="720"/>
      <w:contextualSpacing/>
    </w:pPr>
  </w:style>
  <w:style w:type="character" w:styleId="nfasisintenso">
    <w:name w:val="Intense Emphasis"/>
    <w:basedOn w:val="Fuentedeprrafopredeter"/>
    <w:uiPriority w:val="21"/>
    <w:qFormat/>
    <w:rsid w:val="00903EBA"/>
    <w:rPr>
      <w:i/>
      <w:iCs/>
      <w:color w:val="0F4761" w:themeColor="accent1" w:themeShade="BF"/>
    </w:rPr>
  </w:style>
  <w:style w:type="paragraph" w:styleId="Citadestacada">
    <w:name w:val="Intense Quote"/>
    <w:basedOn w:val="Normal"/>
    <w:next w:val="Normal"/>
    <w:link w:val="CitadestacadaCar"/>
    <w:uiPriority w:val="30"/>
    <w:qFormat/>
    <w:rsid w:val="00903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EBA"/>
    <w:rPr>
      <w:i/>
      <w:iCs/>
      <w:color w:val="0F4761" w:themeColor="accent1" w:themeShade="BF"/>
    </w:rPr>
  </w:style>
  <w:style w:type="character" w:styleId="Referenciaintensa">
    <w:name w:val="Intense Reference"/>
    <w:basedOn w:val="Fuentedeprrafopredeter"/>
    <w:uiPriority w:val="32"/>
    <w:qFormat/>
    <w:rsid w:val="00903EBA"/>
    <w:rPr>
      <w:b/>
      <w:bCs/>
      <w:smallCaps/>
      <w:color w:val="0F4761" w:themeColor="accent1" w:themeShade="BF"/>
      <w:spacing w:val="5"/>
    </w:rPr>
  </w:style>
  <w:style w:type="character" w:styleId="Textodelmarcadordeposicin">
    <w:name w:val="Placeholder Text"/>
    <w:basedOn w:val="Fuentedeprrafopredeter"/>
    <w:uiPriority w:val="99"/>
    <w:semiHidden/>
    <w:rsid w:val="00C620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13</Pages>
  <Words>1732</Words>
  <Characters>9527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Montes</dc:creator>
  <cp:keywords/>
  <dc:description/>
  <cp:lastModifiedBy>Jesus Montes</cp:lastModifiedBy>
  <cp:revision>5</cp:revision>
  <dcterms:created xsi:type="dcterms:W3CDTF">2025-11-07T15:22:00Z</dcterms:created>
  <dcterms:modified xsi:type="dcterms:W3CDTF">2025-11-07T19:47:00Z</dcterms:modified>
</cp:coreProperties>
</file>