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0A7E4">
      <w:pPr>
        <w:spacing w:after="0" w:line="240" w:lineRule="auto"/>
        <w:jc w:val="center"/>
        <w:rPr>
          <w:rFonts w:ascii="Times New Roman" w:hAnsi="Times New Roman" w:cs="Times New Roman"/>
          <w:b/>
          <w:lang w:val="en-US"/>
        </w:rPr>
      </w:pPr>
      <w:r>
        <w:rPr>
          <w:rFonts w:ascii="Times New Roman" w:hAnsi="Times New Roman" w:cs="Times New Roman"/>
          <w:b/>
          <w:lang w:val="en-US"/>
        </w:rPr>
        <w:t>“CHO‘QINTIRGAN OTA” HAMDA “SHAYTANAT” ROMANLARIDA OTA DISKURSINING DINIY</w:t>
      </w:r>
      <w:r>
        <w:rPr>
          <w:rFonts w:hint="default" w:ascii="Times New Roman" w:hAnsi="Times New Roman" w:cs="Times New Roman"/>
          <w:b/>
          <w:lang w:val="en-US"/>
        </w:rPr>
        <w:t xml:space="preserve"> VA KULTURALOGIK</w:t>
      </w:r>
      <w:r>
        <w:rPr>
          <w:rFonts w:ascii="Times New Roman" w:hAnsi="Times New Roman" w:cs="Times New Roman"/>
          <w:b/>
          <w:lang w:val="en-US"/>
        </w:rPr>
        <w:t xml:space="preserve"> QARASHLARI QIYOSIY TAHLILI</w:t>
      </w:r>
    </w:p>
    <w:p w14:paraId="0A0150A7">
      <w:pPr>
        <w:spacing w:after="0" w:line="240" w:lineRule="auto"/>
        <w:jc w:val="center"/>
        <w:rPr>
          <w:rFonts w:ascii="Times New Roman" w:hAnsi="Times New Roman" w:cs="Times New Roman"/>
          <w:b/>
          <w:lang w:val="en-US"/>
        </w:rPr>
      </w:pPr>
    </w:p>
    <w:p w14:paraId="01E62472">
      <w:pPr>
        <w:spacing w:after="0" w:line="240" w:lineRule="auto"/>
        <w:jc w:val="right"/>
        <w:rPr>
          <w:rFonts w:ascii="Times New Roman" w:hAnsi="Times New Roman" w:cs="Times New Roman"/>
          <w:b/>
          <w:lang w:val="en-US"/>
        </w:rPr>
      </w:pPr>
      <w:r>
        <w:rPr>
          <w:rFonts w:ascii="Times New Roman" w:hAnsi="Times New Roman" w:cs="Times New Roman"/>
          <w:b/>
          <w:lang w:val="en-US"/>
        </w:rPr>
        <w:t>Ozotov Akbarjon Odiljon o‘g</w:t>
      </w:r>
      <w:r>
        <w:rPr>
          <w:rFonts w:ascii="Times New Roman" w:hAnsi="Times New Roman" w:eastAsia="Times New Roman" w:cs="Times New Roman"/>
          <w:b/>
          <w:lang w:val="en-US" w:eastAsia="ru-RU"/>
        </w:rPr>
        <w:t>‘</w:t>
      </w:r>
      <w:r>
        <w:rPr>
          <w:rFonts w:ascii="Times New Roman" w:hAnsi="Times New Roman" w:cs="Times New Roman"/>
          <w:b/>
          <w:lang w:val="en-US"/>
        </w:rPr>
        <w:t>li</w:t>
      </w:r>
    </w:p>
    <w:p w14:paraId="12D950DE">
      <w:pPr>
        <w:spacing w:after="0" w:line="240" w:lineRule="auto"/>
        <w:jc w:val="right"/>
        <w:rPr>
          <w:rFonts w:ascii="Times New Roman" w:hAnsi="Times New Roman" w:cs="Times New Roman"/>
          <w:i/>
          <w:lang w:val="en-US"/>
        </w:rPr>
      </w:pPr>
      <w:r>
        <w:rPr>
          <w:rFonts w:ascii="Times New Roman" w:hAnsi="Times New Roman" w:cs="Times New Roman"/>
          <w:i/>
          <w:lang w:val="en-US"/>
        </w:rPr>
        <w:t>Navoiy viloyati Pedagogik mahorat markazi katta o‘qituvchisi</w:t>
      </w:r>
    </w:p>
    <w:p w14:paraId="6AD2BC7F">
      <w:pPr>
        <w:spacing w:after="0" w:line="240" w:lineRule="auto"/>
        <w:jc w:val="right"/>
        <w:rPr>
          <w:rFonts w:ascii="Times New Roman" w:hAnsi="Times New Roman" w:cs="Times New Roman"/>
          <w:i/>
          <w:lang w:val="en-US"/>
        </w:rPr>
      </w:pPr>
      <w:r>
        <w:rPr>
          <w:rFonts w:ascii="Times New Roman" w:hAnsi="Times New Roman" w:cs="Times New Roman"/>
          <w:i/>
          <w:lang w:val="en-US"/>
        </w:rPr>
        <w:t xml:space="preserve">E-mail: ozodovakbar1@gmail.com </w:t>
      </w:r>
    </w:p>
    <w:p w14:paraId="5DE5C844">
      <w:pPr>
        <w:spacing w:after="0" w:line="240" w:lineRule="auto"/>
        <w:jc w:val="right"/>
        <w:rPr>
          <w:rFonts w:ascii="Times New Roman" w:hAnsi="Times New Roman" w:cs="Times New Roman"/>
          <w:b/>
          <w:lang w:val="en-US"/>
        </w:rPr>
      </w:pPr>
      <w:r>
        <w:rPr>
          <w:rFonts w:ascii="Times New Roman" w:hAnsi="Times New Roman" w:cs="Times New Roman"/>
          <w:b/>
          <w:lang w:val="en-US"/>
        </w:rPr>
        <w:t>Ilmiy rahbar: G‘ulomova Nargiza Sa’dullayevna</w:t>
      </w:r>
    </w:p>
    <w:p w14:paraId="08D88E7D">
      <w:pPr>
        <w:spacing w:after="0" w:line="240" w:lineRule="auto"/>
        <w:jc w:val="right"/>
        <w:rPr>
          <w:rFonts w:ascii="Times New Roman" w:hAnsi="Times New Roman" w:cs="Times New Roman"/>
          <w:i/>
          <w:lang w:val="en-US"/>
        </w:rPr>
      </w:pPr>
      <w:r>
        <w:rPr>
          <w:rFonts w:ascii="Times New Roman" w:hAnsi="Times New Roman" w:cs="Times New Roman"/>
          <w:i/>
          <w:lang w:val="en-US"/>
        </w:rPr>
        <w:t>Filologiya fanlari doktori (DSc)</w:t>
      </w:r>
    </w:p>
    <w:p w14:paraId="5F188723">
      <w:pPr>
        <w:tabs>
          <w:tab w:val="left" w:pos="0"/>
          <w:tab w:val="left" w:pos="540"/>
          <w:tab w:val="left" w:pos="735"/>
          <w:tab w:val="left" w:pos="945"/>
          <w:tab w:val="left" w:pos="5940"/>
          <w:tab w:val="left" w:pos="31680"/>
        </w:tabs>
        <w:spacing w:after="0" w:line="240" w:lineRule="auto"/>
        <w:jc w:val="right"/>
        <w:rPr>
          <w:rFonts w:ascii="Times New Roman" w:hAnsi="Times New Roman" w:cs="Times New Roman"/>
          <w:lang w:val="en-US" w:eastAsia="ru-RU"/>
        </w:rPr>
      </w:pPr>
      <w:r>
        <w:rPr>
          <w:rFonts w:ascii="Times New Roman" w:hAnsi="Times New Roman" w:cs="Times New Roman"/>
          <w:lang w:val="en-US" w:eastAsia="ru-RU"/>
        </w:rPr>
        <w:t xml:space="preserve">nargizagulomova099@gmail </w:t>
      </w:r>
    </w:p>
    <w:p w14:paraId="160586DB">
      <w:pPr>
        <w:spacing w:after="0" w:line="240" w:lineRule="auto"/>
        <w:jc w:val="right"/>
        <w:rPr>
          <w:rFonts w:ascii="Times New Roman" w:hAnsi="Times New Roman" w:cs="Times New Roman"/>
          <w:b/>
          <w:lang w:val="en-US"/>
        </w:rPr>
      </w:pPr>
    </w:p>
    <w:p w14:paraId="72BD26E9">
      <w:pPr>
        <w:pStyle w:val="10"/>
        <w:spacing w:before="0" w:beforeAutospacing="0" w:after="0" w:afterAutospacing="0"/>
        <w:ind w:firstLine="567"/>
        <w:jc w:val="both"/>
        <w:rPr>
          <w:b/>
          <w:bCs/>
          <w:sz w:val="22"/>
          <w:szCs w:val="22"/>
          <w:lang w:val="en-US"/>
        </w:rPr>
      </w:pPr>
      <w:r>
        <w:rPr>
          <w:rStyle w:val="11"/>
          <w:sz w:val="22"/>
          <w:szCs w:val="22"/>
          <w:lang w:val="en-US"/>
        </w:rPr>
        <w:t xml:space="preserve">Annotatsiya: </w:t>
      </w:r>
      <w:r>
        <w:rPr>
          <w:sz w:val="22"/>
          <w:szCs w:val="22"/>
          <w:lang w:val="en-US"/>
        </w:rPr>
        <w:t>Ushbu maqolada Mario Pyuzoning “Cho‘qintirgan ota” va Tohir Malikning “Shaytanat” romanlarida ota diskursining diniy qarashlari qiyosiy-diskursiv metod asosida tahlil qilindi. Tadqiqot doirasida ota obrazining nutq strategiyasi, qadriyatlar tizimi, farzandlar bilan munosabati, gunoh, tavba, taqdir va adolat kabi diniy konseptlarga munosabati o‘rganildi. Natijalar shuni ko‘rsatdiki, Mario Pyuzo romanida ota diskursi ekzistensial-falsafiy xarakterga ega bo‘lib, ichki ruhiy ziddiyat va shubha orqali diniy haqiqatni anglashga yo‘naltirilgan, Tohir Malik romanida esa ota diskursi normativ-axloqiy va ijtimoiy barqarorlikni ta’minlovchi vosita sifatida namoyon bo‘ladi. Tadqiqot ota diskursining diniy tomondan funksiyasini qiyosiy jihatdan ochib berib, adabiyotshunoslikda madaniyatlararo va konfessional kontekstni hisobga olgan holda badiiy matn tahlilini boyitadi.</w:t>
      </w:r>
    </w:p>
    <w:p w14:paraId="23CF603A">
      <w:pPr>
        <w:pStyle w:val="10"/>
        <w:spacing w:before="0" w:beforeAutospacing="0" w:after="0" w:afterAutospacing="0"/>
        <w:ind w:firstLine="567"/>
        <w:jc w:val="both"/>
        <w:rPr>
          <w:sz w:val="22"/>
          <w:szCs w:val="22"/>
          <w:lang w:val="en-US"/>
        </w:rPr>
      </w:pPr>
      <w:r>
        <w:rPr>
          <w:rStyle w:val="11"/>
          <w:sz w:val="22"/>
          <w:szCs w:val="22"/>
          <w:lang w:val="en-US"/>
        </w:rPr>
        <w:t>Kalit so‘zlar:</w:t>
      </w:r>
      <w:r>
        <w:rPr>
          <w:sz w:val="22"/>
          <w:szCs w:val="22"/>
          <w:lang w:val="en-US"/>
        </w:rPr>
        <w:t xml:space="preserve"> ota diskursi, diniy qarashlar, qiyosiy tahlil, badiiy matn, axloqiy qadriyatlar.</w:t>
      </w:r>
    </w:p>
    <w:p w14:paraId="613C84F5">
      <w:pPr>
        <w:pStyle w:val="10"/>
        <w:spacing w:before="0" w:beforeAutospacing="0" w:after="0" w:afterAutospacing="0"/>
        <w:ind w:firstLine="567"/>
        <w:jc w:val="both"/>
        <w:rPr>
          <w:sz w:val="22"/>
          <w:szCs w:val="22"/>
          <w:lang w:val="en-US"/>
        </w:rPr>
      </w:pPr>
    </w:p>
    <w:p w14:paraId="48E507BD">
      <w:pPr>
        <w:pStyle w:val="10"/>
        <w:spacing w:before="0" w:beforeAutospacing="0" w:after="0" w:afterAutospacing="0"/>
        <w:ind w:firstLine="567"/>
        <w:jc w:val="center"/>
        <w:rPr>
          <w:b/>
          <w:sz w:val="22"/>
          <w:szCs w:val="22"/>
        </w:rPr>
      </w:pPr>
      <w:r>
        <w:rPr>
          <w:b/>
          <w:sz w:val="22"/>
          <w:szCs w:val="22"/>
        </w:rPr>
        <w:t>СРАВНИТЕЛЬНЫЙ АНАЛИЗ РЕЛИГИОЗНЫХ ВЗГЛЯДОВ НА ОТЦОВСКИЕ РАССУЖДЕНИЯ В РОМАНАХ «КРЁСТНЫЙ ОТЕЦ» И «ШАЙТАНАТ»</w:t>
      </w:r>
    </w:p>
    <w:p w14:paraId="06E27878">
      <w:pPr>
        <w:pStyle w:val="10"/>
        <w:spacing w:before="0" w:beforeAutospacing="0" w:after="0" w:afterAutospacing="0"/>
        <w:ind w:firstLine="567"/>
        <w:jc w:val="center"/>
        <w:rPr>
          <w:b/>
          <w:sz w:val="22"/>
          <w:szCs w:val="22"/>
        </w:rPr>
      </w:pPr>
    </w:p>
    <w:p w14:paraId="108034DD">
      <w:pPr>
        <w:pStyle w:val="10"/>
        <w:spacing w:before="0" w:beforeAutospacing="0" w:after="0" w:afterAutospacing="0"/>
        <w:ind w:firstLine="567"/>
        <w:jc w:val="both"/>
        <w:rPr>
          <w:b/>
          <w:bCs/>
          <w:sz w:val="22"/>
          <w:szCs w:val="22"/>
        </w:rPr>
      </w:pPr>
      <w:r>
        <w:rPr>
          <w:rStyle w:val="11"/>
          <w:sz w:val="22"/>
          <w:szCs w:val="22"/>
        </w:rPr>
        <w:t xml:space="preserve">Аннотация: </w:t>
      </w:r>
      <w:r>
        <w:rPr>
          <w:sz w:val="22"/>
          <w:szCs w:val="22"/>
        </w:rPr>
        <w:t>В статье проводится сравнительно-дискурсивный анализ религиозных взглядов в дискурсе отца в романах Марио Пьюзого «Поднятый отец» и Т.Малика «Шайтанат». В ходе исследования изучаются речевые стратегии образа отца, система ценностей, взаимоотношения с детьми, а также отношение к концептам греха, покаяния, судьбы и справедливости. Результаты показывают, что в романе Марио Пьюзого дискурс отца имеет экзистенциально-философский характер и направлен на осмысление религиозной истины через внутренние конфликты и сомнения, тогда как в романе Т</w:t>
      </w:r>
      <w:r>
        <w:rPr>
          <w:sz w:val="22"/>
          <w:szCs w:val="22"/>
          <w:lang w:val="en-US"/>
        </w:rPr>
        <w:t>ohir</w:t>
      </w:r>
      <w:r>
        <w:rPr>
          <w:sz w:val="22"/>
          <w:szCs w:val="22"/>
        </w:rPr>
        <w:t xml:space="preserve"> Малика дискурс отца выступает как средство нормативной этики и социальной стабильности. Исследование выявляет религиозно-ценностную функцию дискурса отца и обогащает литературоведческий анализ художественного текста с учётом межкультурного и конфессионального контекста.</w:t>
      </w:r>
    </w:p>
    <w:p w14:paraId="75E17BAB">
      <w:pPr>
        <w:pStyle w:val="10"/>
        <w:spacing w:before="0" w:beforeAutospacing="0" w:after="0" w:afterAutospacing="0"/>
        <w:ind w:firstLine="567"/>
        <w:jc w:val="both"/>
        <w:rPr>
          <w:sz w:val="22"/>
          <w:szCs w:val="22"/>
        </w:rPr>
      </w:pPr>
      <w:r>
        <w:rPr>
          <w:rStyle w:val="11"/>
          <w:sz w:val="22"/>
          <w:szCs w:val="22"/>
        </w:rPr>
        <w:t>Ключевые слова:</w:t>
      </w:r>
      <w:r>
        <w:rPr>
          <w:sz w:val="22"/>
          <w:szCs w:val="22"/>
        </w:rPr>
        <w:t xml:space="preserve"> дискурс отца, религиозные взгляды, сравнительный анализ, художественный текст, нравственные ценности.</w:t>
      </w:r>
    </w:p>
    <w:p w14:paraId="66318F04">
      <w:pPr>
        <w:pStyle w:val="10"/>
        <w:spacing w:before="0" w:beforeAutospacing="0" w:after="0" w:afterAutospacing="0"/>
        <w:ind w:firstLine="567"/>
        <w:jc w:val="both"/>
        <w:rPr>
          <w:sz w:val="22"/>
          <w:szCs w:val="22"/>
        </w:rPr>
      </w:pPr>
    </w:p>
    <w:p w14:paraId="4EAB8458">
      <w:pPr>
        <w:pStyle w:val="10"/>
        <w:spacing w:before="0" w:beforeAutospacing="0" w:after="0" w:afterAutospacing="0"/>
        <w:ind w:firstLine="567"/>
        <w:jc w:val="center"/>
        <w:rPr>
          <w:b/>
          <w:sz w:val="22"/>
          <w:szCs w:val="22"/>
          <w:lang w:val="en-US"/>
        </w:rPr>
      </w:pPr>
      <w:r>
        <w:rPr>
          <w:b/>
          <w:sz w:val="22"/>
          <w:szCs w:val="22"/>
          <w:lang w:val="en-US"/>
        </w:rPr>
        <w:t>COMPARATIVE ANALYSIS OF THE RELIGIOUS VIEWS OF THE FATHER'S DISCOURSE IN THE NOVELS “THE GODFATHER” AND “</w:t>
      </w:r>
      <w:r>
        <w:rPr>
          <w:rStyle w:val="6"/>
          <w:b/>
          <w:i w:val="0"/>
          <w:sz w:val="22"/>
          <w:szCs w:val="22"/>
          <w:lang w:val="en-US"/>
        </w:rPr>
        <w:t>SHAYTANAT</w:t>
      </w:r>
      <w:r>
        <w:rPr>
          <w:b/>
          <w:sz w:val="22"/>
          <w:szCs w:val="22"/>
          <w:lang w:val="en-US"/>
        </w:rPr>
        <w:t>”</w:t>
      </w:r>
    </w:p>
    <w:p w14:paraId="36B3ED0E">
      <w:pPr>
        <w:pStyle w:val="10"/>
        <w:spacing w:before="0" w:beforeAutospacing="0" w:after="0" w:afterAutospacing="0"/>
        <w:ind w:firstLine="567"/>
        <w:jc w:val="both"/>
        <w:rPr>
          <w:sz w:val="22"/>
          <w:szCs w:val="22"/>
          <w:lang w:val="en-US"/>
        </w:rPr>
      </w:pPr>
    </w:p>
    <w:p w14:paraId="39935DB4">
      <w:pPr>
        <w:pStyle w:val="10"/>
        <w:spacing w:before="0" w:beforeAutospacing="0" w:after="0" w:afterAutospacing="0"/>
        <w:ind w:firstLine="567"/>
        <w:jc w:val="both"/>
        <w:rPr>
          <w:sz w:val="22"/>
          <w:szCs w:val="22"/>
          <w:lang w:val="en-US"/>
        </w:rPr>
      </w:pPr>
      <w:r>
        <w:rPr>
          <w:rStyle w:val="11"/>
          <w:sz w:val="22"/>
          <w:szCs w:val="22"/>
          <w:lang w:val="en-US"/>
        </w:rPr>
        <w:t xml:space="preserve">Abstract: </w:t>
      </w:r>
      <w:r>
        <w:rPr>
          <w:sz w:val="22"/>
          <w:szCs w:val="22"/>
          <w:lang w:val="en-US"/>
        </w:rPr>
        <w:t>This article presents a comparative-discursive analysis of the religious views in the father discourse in Mario Pyuzo’s “</w:t>
      </w:r>
      <w:r>
        <w:rPr>
          <w:rStyle w:val="6"/>
          <w:i w:val="0"/>
          <w:sz w:val="22"/>
          <w:szCs w:val="22"/>
          <w:lang w:val="en-US"/>
        </w:rPr>
        <w:t>The Grandfather”</w:t>
      </w:r>
      <w:r>
        <w:rPr>
          <w:sz w:val="22"/>
          <w:szCs w:val="22"/>
          <w:lang w:val="en-US"/>
        </w:rPr>
        <w:t xml:space="preserve"> and Tohir Malik’s “</w:t>
      </w:r>
      <w:r>
        <w:rPr>
          <w:rStyle w:val="6"/>
          <w:i w:val="0"/>
          <w:sz w:val="22"/>
          <w:szCs w:val="22"/>
          <w:lang w:val="en-US"/>
        </w:rPr>
        <w:t>Shaytanat”</w:t>
      </w:r>
      <w:r>
        <w:rPr>
          <w:i/>
          <w:sz w:val="22"/>
          <w:szCs w:val="22"/>
          <w:lang w:val="en-US"/>
        </w:rPr>
        <w:t>.</w:t>
      </w:r>
      <w:r>
        <w:rPr>
          <w:sz w:val="22"/>
          <w:szCs w:val="22"/>
          <w:lang w:val="en-US"/>
        </w:rPr>
        <w:t xml:space="preserve"> The study examines the father figure’s speech strategies, value system, relationships with children, as well as attitudes toward sin, repentance, destiny, and justice. The results reveal that in Mario Pyuzo’s novel, the father discourse has an existential-philosophical character, emphasizing the understanding of religious truth through inner conflict and doubt, while in Malik’s novel, the father discourse functions as a normative-ethical and socially stabilizing tool. The study highlights the religious-value function of the father discourse and enriches literary analysis by considering intercultural and confessional contexts.</w:t>
      </w:r>
    </w:p>
    <w:p w14:paraId="691A67DE">
      <w:pPr>
        <w:pStyle w:val="10"/>
        <w:spacing w:before="0" w:beforeAutospacing="0" w:after="0" w:afterAutospacing="0"/>
        <w:ind w:firstLine="567"/>
        <w:jc w:val="both"/>
        <w:rPr>
          <w:sz w:val="22"/>
          <w:szCs w:val="22"/>
          <w:lang w:val="en-US"/>
        </w:rPr>
      </w:pPr>
      <w:r>
        <w:rPr>
          <w:rStyle w:val="11"/>
          <w:sz w:val="22"/>
          <w:szCs w:val="22"/>
          <w:lang w:val="en-US"/>
        </w:rPr>
        <w:t>Keywords:</w:t>
      </w:r>
      <w:r>
        <w:rPr>
          <w:sz w:val="22"/>
          <w:szCs w:val="22"/>
          <w:lang w:val="en-US"/>
        </w:rPr>
        <w:t xml:space="preserve"> father discourse, religious views, comparative analysis, literary text, moral values.</w:t>
      </w:r>
    </w:p>
    <w:p w14:paraId="54E8F217">
      <w:pPr>
        <w:pStyle w:val="10"/>
        <w:spacing w:before="0" w:beforeAutospacing="0" w:after="0" w:afterAutospacing="0"/>
        <w:ind w:firstLine="567"/>
        <w:jc w:val="both"/>
        <w:rPr>
          <w:sz w:val="22"/>
          <w:szCs w:val="22"/>
          <w:lang w:val="en-US"/>
        </w:rPr>
      </w:pPr>
    </w:p>
    <w:p w14:paraId="15EB3E6B">
      <w:pPr>
        <w:pStyle w:val="15"/>
        <w:ind w:firstLine="567"/>
        <w:jc w:val="both"/>
        <w:rPr>
          <w:rFonts w:ascii="Times New Roman" w:hAnsi="Times New Roman" w:cs="Times New Roman"/>
          <w:b/>
          <w:lang w:val="en-US" w:eastAsia="ru-RU"/>
        </w:rPr>
      </w:pPr>
      <w:r>
        <w:rPr>
          <w:rFonts w:ascii="Times New Roman" w:hAnsi="Times New Roman" w:cs="Times New Roman"/>
          <w:b/>
          <w:lang w:val="en-US" w:eastAsia="ru-RU"/>
        </w:rPr>
        <w:t xml:space="preserve">Kirish. </w:t>
      </w:r>
      <w:r>
        <w:rPr>
          <w:rFonts w:ascii="Times New Roman" w:hAnsi="Times New Roman" w:eastAsia="Times New Roman" w:cs="Times New Roman"/>
          <w:lang w:val="en-US" w:eastAsia="ru-RU"/>
        </w:rPr>
        <w:t>Badiiy adabiyot jamiyat ma’naviy-madaniy hayotining muhim tarkibiy qismi sifatida inson tafakkuri, axloqiy mezonlari, diniy e’tiqodi hamda ijtimoiy munosabatlarini murakkab estetik tizimda aks ettiradi. Adabiy matn nafaqat voqelikning badiiy in’ikosi, balki muayyan davrning mafkuraviy, diniy va falsafiy qarashlarini ifodalovchi semantik maydon hamdir</w:t>
      </w:r>
      <w:r>
        <w:rPr>
          <w:rFonts w:ascii="Times New Roman" w:hAnsi="Times New Roman" w:eastAsia="DengXian" w:cs="Times New Roman"/>
          <w:highlight w:val="none"/>
          <w:lang w:val="uz-Latn-UZ" w:eastAsia="ru-RU"/>
        </w:rPr>
        <w:t>[1: 185]</w:t>
      </w:r>
      <w:r>
        <w:rPr>
          <w:rFonts w:ascii="Times New Roman" w:hAnsi="Times New Roman" w:eastAsia="Times New Roman" w:cs="Times New Roman"/>
          <w:highlight w:val="none"/>
          <w:lang w:val="en-US" w:eastAsia="ru-RU"/>
        </w:rPr>
        <w:t>.</w:t>
      </w:r>
      <w:r>
        <w:rPr>
          <w:rFonts w:ascii="Times New Roman" w:hAnsi="Times New Roman" w:eastAsia="Times New Roman" w:cs="Times New Roman"/>
          <w:lang w:val="en-US" w:eastAsia="ru-RU"/>
        </w:rPr>
        <w:t xml:space="preserve"> Shu bois adabiyotshunoslikda obrazlar tizimini diskursiv tahlil qilish, ayniqsa, muayyan konseptlar atrofida shakllangan timsollarni o‘rganish dolzarb ilmiy yo‘nalishlardan biri hisoblanadi.</w:t>
      </w:r>
    </w:p>
    <w:p w14:paraId="6988619B">
      <w:pPr>
        <w:spacing w:after="0" w:line="240" w:lineRule="auto"/>
        <w:ind w:firstLine="567"/>
        <w:jc w:val="both"/>
        <w:rPr>
          <w:rFonts w:ascii="Times New Roman" w:hAnsi="Times New Roman" w:eastAsia="Times New Roman" w:cs="Times New Roman"/>
          <w:lang w:val="en-US" w:eastAsia="ru-RU"/>
        </w:rPr>
      </w:pPr>
      <w:r>
        <w:rPr>
          <w:rFonts w:ascii="Times New Roman" w:hAnsi="Times New Roman" w:eastAsia="Times New Roman" w:cs="Times New Roman"/>
          <w:lang w:val="en-US" w:eastAsia="ru-RU"/>
        </w:rPr>
        <w:t>Sharqona tafakkurda “ota” obrazi alohida ramziy-ma’naviy mazmunga ega. U nafaqat oilaning boshlig‘i yoki biologik jihatdan ota maqomiga ega shaxs, balki axloqiy me’yorlar posboni, diniy qadriyatlar targ‘ibotchisi, ma’naviy yetakchi va ijtimoiy tartibning timsoli sifatida talqin qilinadi. Ota timsoli orqali avlodlar davomiyligi, e’tiqodiy meros, qadriyatlar uzviyligi va ma’naviy mas’uliyat kabi tushunchalar ifodalanadi. Shu jihatdan, zamonaviy o‘zbek va jahon adabiyotida ota obrazining diniy qarashlar bilan uzviy bog‘liq holda tasvirlanishi alohida ilmiy tahlilni talab etadi.</w:t>
      </w:r>
    </w:p>
    <w:p w14:paraId="08D14CAC">
      <w:pPr>
        <w:spacing w:after="0" w:line="240" w:lineRule="auto"/>
        <w:ind w:firstLine="567"/>
        <w:jc w:val="both"/>
        <w:rPr>
          <w:rFonts w:ascii="Times New Roman" w:hAnsi="Times New Roman" w:eastAsia="Times New Roman" w:cs="Times New Roman"/>
          <w:lang w:val="en-US" w:eastAsia="ru-RU"/>
        </w:rPr>
      </w:pPr>
      <w:r>
        <w:rPr>
          <w:rFonts w:ascii="Times New Roman" w:hAnsi="Times New Roman" w:cs="Times New Roman"/>
          <w:lang w:val="en-US"/>
        </w:rPr>
        <w:t>Mario Pyuzo</w:t>
      </w:r>
      <w:r>
        <w:rPr>
          <w:rFonts w:ascii="Times New Roman" w:hAnsi="Times New Roman" w:eastAsia="Times New Roman" w:cs="Times New Roman"/>
          <w:lang w:val="en-US" w:eastAsia="ru-RU"/>
        </w:rPr>
        <w:t>ning “</w:t>
      </w:r>
      <w:r>
        <w:rPr>
          <w:rFonts w:ascii="Times New Roman" w:hAnsi="Times New Roman" w:cs="Times New Roman"/>
          <w:lang w:val="en-US"/>
        </w:rPr>
        <w:t>Cho‘qintirgan ota</w:t>
      </w:r>
      <w:r>
        <w:rPr>
          <w:rFonts w:ascii="Times New Roman" w:hAnsi="Times New Roman" w:eastAsia="Times New Roman" w:cs="Times New Roman"/>
          <w:lang w:val="en-US" w:eastAsia="ru-RU"/>
        </w:rPr>
        <w:t xml:space="preserve">” romanida (unda ota timsoli va diniy-axloqiy ziddiyatlar markaziy o‘rinda turadi) hamda Tohir Malikning “Shaytanat” asarida ota diskursi g‘oyaviy-badiiy qatlamning asosiy komponentlaridan biri sifatida namoyon bo‘ladi. Mazkur asarlar turli tarixiy-madaniy makon – rus pravoslav tafakkuri va islomiy-ma’naviy muhitda yaratilgan bo‘lsa-da, ularda ota timsoli diniy-axloqiy konseptlarni ifodalovchi markaziy asos vazifasini bajaradi. </w:t>
      </w:r>
      <w:r>
        <w:rPr>
          <w:rFonts w:ascii="Times New Roman" w:hAnsi="Times New Roman" w:cs="Times New Roman"/>
          <w:lang w:val="en-US"/>
        </w:rPr>
        <w:t xml:space="preserve">Mario Pyuzo </w:t>
      </w:r>
      <w:r>
        <w:rPr>
          <w:rFonts w:ascii="Times New Roman" w:hAnsi="Times New Roman" w:eastAsia="Times New Roman" w:cs="Times New Roman"/>
          <w:lang w:val="en-US" w:eastAsia="ru-RU"/>
        </w:rPr>
        <w:t>romanida ota obrazi nasroniylik falsafasi, xususan, gunoh va tavba, iymon va shubha, erkin iroda va ilohiy adolat masalalari bilan uzviy bog‘liq holda talqin etiladi. Ota timsoli orqali inson ruhiyatidagi ziddiyatlar, e’tiqodiy inqiroz va najot izlanishi badiiy-falsafiy teranlikda yoritiladi. Asarda ota nafaqat oilaviy nizolarning sababchisi, balki ma’naviy tanazzul va e’tiqodiy sinov ramzi sifatida ham gavdalanadi. Shu tariqa ota diskursi nasroniy antropologiyasi va ekzistensial izlanishlar bilan kesishadi.</w:t>
      </w:r>
    </w:p>
    <w:p w14:paraId="12135460">
      <w:pPr>
        <w:spacing w:after="0" w:line="240" w:lineRule="auto"/>
        <w:ind w:firstLine="567"/>
        <w:jc w:val="both"/>
        <w:rPr>
          <w:rFonts w:ascii="Times New Roman" w:hAnsi="Times New Roman" w:eastAsia="Times New Roman" w:cs="Times New Roman"/>
          <w:highlight w:val="none"/>
          <w:lang w:val="en-US" w:eastAsia="ru-RU"/>
        </w:rPr>
      </w:pPr>
      <w:r>
        <w:rPr>
          <w:rFonts w:ascii="Times New Roman" w:hAnsi="Times New Roman" w:eastAsia="Times New Roman" w:cs="Times New Roman"/>
          <w:lang w:val="en-US" w:eastAsia="ru-RU"/>
        </w:rPr>
        <w:t>Tohir Malikning “Shaytanat” romanida esa ota timsoli islomiy qadriyatlar, taqdir (qadar), halol va harom mezonlari, gunoh va jazo tushunchalari bilan bog‘liq holda ochib beriladi. Asarda ota obrazi ko‘pincha ma’naviy mezon, axloqiy hukm chiqaruvchi yoki aksincha, diniy me’yorlardan og‘ish oqibatida yuzaga kelgan inqiroz timsoli sifatida talqin qilinadi. Shu jihatdan, ota diskursi jamiyatdagi ma’naviy muhit, diniy ong darajasi va axloqiy tanlov masalalarini yoritishda muhim badiiy vositaga ayla</w:t>
      </w:r>
      <w:r>
        <w:rPr>
          <w:rFonts w:ascii="Times New Roman" w:hAnsi="Times New Roman" w:eastAsia="Times New Roman" w:cs="Times New Roman"/>
          <w:highlight w:val="none"/>
          <w:lang w:val="en-US" w:eastAsia="ru-RU"/>
        </w:rPr>
        <w:t xml:space="preserve">nadi </w:t>
      </w:r>
      <w:r>
        <w:rPr>
          <w:rFonts w:ascii="Times New Roman" w:hAnsi="Times New Roman" w:eastAsia="DengXian" w:cs="Times New Roman"/>
          <w:highlight w:val="none"/>
          <w:lang w:val="uz-Latn-UZ" w:eastAsia="ru-RU"/>
        </w:rPr>
        <w:t>[10: 9]</w:t>
      </w:r>
      <w:r>
        <w:rPr>
          <w:rFonts w:ascii="Times New Roman" w:hAnsi="Times New Roman" w:eastAsia="Times New Roman" w:cs="Times New Roman"/>
          <w:highlight w:val="none"/>
          <w:lang w:val="en-US" w:eastAsia="ru-RU"/>
        </w:rPr>
        <w:t xml:space="preserve">. Mazkur tadqiqotning dolzarbligi globallashuv va madaniyatlararo integratsiya sharoitida milliy-diniy identifikatsiya masalalarining keskinlashuvi bilan belgilanadi. Zamonaviy jamiyatda qadriyatlar transformatsiyasi jarayoni kechayotgan bir paytda badiiy matnda ota obrazi orqali ifodalangan diniy qarashlarni qiyosiy o‘rganish madaniyatlararo tafovut va mushtaraklikni aniqlashga </w:t>
      </w:r>
      <w:r>
        <w:rPr>
          <w:rFonts w:ascii="Times New Roman" w:hAnsi="Times New Roman" w:eastAsia="DengXian" w:cs="Times New Roman"/>
          <w:highlight w:val="none"/>
          <w:lang w:val="uz-Latn-UZ" w:eastAsia="ru-RU"/>
        </w:rPr>
        <w:t>[3: 1]</w:t>
      </w:r>
      <w:r>
        <w:rPr>
          <w:rFonts w:ascii="Times New Roman" w:hAnsi="Times New Roman" w:eastAsia="Times New Roman" w:cs="Times New Roman"/>
          <w:highlight w:val="none"/>
          <w:lang w:val="en-US" w:eastAsia="ru-RU"/>
        </w:rPr>
        <w:t xml:space="preserve">, shuningdek, ma’naviy inqiroz va e’tiqodiy mustahkamlik omillarini ochib berishga xizmat qiladi. Qolaversa, ota diskursini qiyosiy-diskursiv yondashuv asosida tadqiq etish adabiyotshunoslikda interdisiplinar metodologiyani rivojlantirish imkonini beradi </w:t>
      </w:r>
      <w:r>
        <w:rPr>
          <w:rFonts w:ascii="Times New Roman" w:hAnsi="Times New Roman" w:eastAsia="DengXian" w:cs="Times New Roman"/>
          <w:highlight w:val="none"/>
          <w:lang w:val="uz-Latn-UZ" w:eastAsia="ru-RU"/>
        </w:rPr>
        <w:t>[7: 15]</w:t>
      </w:r>
      <w:r>
        <w:rPr>
          <w:rFonts w:ascii="Times New Roman" w:hAnsi="Times New Roman" w:eastAsia="Times New Roman" w:cs="Times New Roman"/>
          <w:highlight w:val="none"/>
          <w:lang w:val="en-US" w:eastAsia="ru-RU"/>
        </w:rPr>
        <w:t>.</w:t>
      </w:r>
    </w:p>
    <w:p w14:paraId="0C4CF439">
      <w:pPr>
        <w:spacing w:after="0" w:line="240" w:lineRule="auto"/>
        <w:ind w:firstLine="567"/>
        <w:jc w:val="both"/>
        <w:rPr>
          <w:rFonts w:ascii="Times New Roman" w:hAnsi="Times New Roman" w:eastAsia="Times New Roman" w:cs="Times New Roman"/>
          <w:b/>
          <w:highlight w:val="none"/>
          <w:lang w:val="en-US" w:eastAsia="ru-RU"/>
        </w:rPr>
      </w:pPr>
      <w:r>
        <w:rPr>
          <w:rFonts w:ascii="Times New Roman" w:hAnsi="Times New Roman" w:cs="Times New Roman"/>
          <w:b/>
          <w:bCs/>
          <w:highlight w:val="none"/>
          <w:lang w:val="uz-Latn-UZ"/>
        </w:rPr>
        <w:t>Tadqiqot metodologiyasi.</w:t>
      </w:r>
      <w:r>
        <w:rPr>
          <w:rFonts w:ascii="Times New Roman" w:hAnsi="Times New Roman" w:cs="Times New Roman"/>
          <w:highlight w:val="none"/>
          <w:lang w:val="uz-Latn-UZ" w:eastAsia="ru-RU"/>
        </w:rPr>
        <w:t xml:space="preserve"> </w:t>
      </w:r>
      <w:r>
        <w:rPr>
          <w:rFonts w:ascii="Times New Roman" w:hAnsi="Times New Roman" w:cs="Times New Roman"/>
          <w:highlight w:val="none"/>
          <w:lang w:val="en-US"/>
        </w:rPr>
        <w:t>Ota obrazi va uning diniy-axloqiy talqini masalasi jahon hamda o‘zbek adabiyotshunosligida turli nazariy paradigmalar doirasida o‘rganilgan. Xususan, obrazshunoslik, mifopoetik tahlil, strukturalizm, psixoanalitik yondashuv, germenevtika va diskurs tahlili kabi metodologik yo‘nalishlar “ota” timsolini ko‘p qatlamli semantik tuzilma sifatida talqin etishga imkon beradi. Ushbu tadqiqotlarda ota obrazi nafaqat oilaviy institut vakili, balki hokimiyat, qonun, e’tiqod, axloqiy me’yor va ma’naviy meros ramzi sifatida sharhlanadi.</w:t>
      </w:r>
    </w:p>
    <w:p w14:paraId="6D050BA0">
      <w:pPr>
        <w:pStyle w:val="10"/>
        <w:spacing w:before="0" w:beforeAutospacing="0" w:after="0" w:afterAutospacing="0"/>
        <w:ind w:firstLine="567"/>
        <w:jc w:val="both"/>
        <w:rPr>
          <w:sz w:val="22"/>
          <w:szCs w:val="22"/>
          <w:highlight w:val="none"/>
          <w:lang w:val="en-US"/>
        </w:rPr>
      </w:pPr>
      <w:r>
        <w:rPr>
          <w:sz w:val="22"/>
          <w:szCs w:val="22"/>
          <w:highlight w:val="none"/>
          <w:lang w:val="en-US"/>
        </w:rPr>
        <w:t xml:space="preserve">Jahon adabiyotshunosligida ota fenomeni ko‘pincha psixoanalitik paradigma asosida izohlanadi. Z.Freyd nazariyasida ota obrazi “superego” shakllanishida hal qiluvchi asos sifatida talqin qilinib, u ijtimoiy taqiqlar va axloqiy me’yorlarning umumlashtirilgan timsoli hisoblanadi </w:t>
      </w:r>
      <w:r>
        <w:rPr>
          <w:rFonts w:eastAsia="DengXian"/>
          <w:sz w:val="22"/>
          <w:szCs w:val="22"/>
          <w:highlight w:val="none"/>
          <w:lang w:val="uz-Latn-UZ"/>
        </w:rPr>
        <w:t>[5: 30]</w:t>
      </w:r>
      <w:r>
        <w:rPr>
          <w:sz w:val="22"/>
          <w:szCs w:val="22"/>
          <w:highlight w:val="none"/>
          <w:lang w:val="en-US"/>
        </w:rPr>
        <w:t xml:space="preserve">. J.Lakan esa “Otani nomlash” (“Nom-du-Père”) konsepsiyasi orqali ota obrazini “Qonun” va “Ramziy tartib”ning markaziy elementi sifatida izohlaydi </w:t>
      </w:r>
      <w:r>
        <w:rPr>
          <w:rFonts w:eastAsia="DengXian"/>
          <w:sz w:val="22"/>
          <w:szCs w:val="22"/>
          <w:highlight w:val="none"/>
          <w:lang w:val="uz-Latn-UZ"/>
        </w:rPr>
        <w:t>[9: 68]</w:t>
      </w:r>
      <w:r>
        <w:rPr>
          <w:sz w:val="22"/>
          <w:szCs w:val="22"/>
          <w:highlight w:val="none"/>
          <w:lang w:val="en-US"/>
        </w:rPr>
        <w:t xml:space="preserve">. Mazkur qarashlar badiiy matn tahliliga tatbiq etilganda, ota obrazi shaxs ongining shakllanishi, identifikatsiya jarayoni va ijtimoiy-diniy normalarning legitimlashuvi bilan bog‘liq holda sharhlanadi. Struktural va mifopoetik yondashuv doirasida (K.Levi-Stross, N.Frye va boshqalar) ota timsoli arxetipik xarakter kasb etib, u “ajdod”, “asoschi”, “hukmdor” yoki “jazolovchi” obrazlari bilan semantik aloqadorlikda ko‘riladi </w:t>
      </w:r>
      <w:r>
        <w:rPr>
          <w:rFonts w:eastAsia="DengXian"/>
          <w:sz w:val="22"/>
          <w:szCs w:val="22"/>
          <w:highlight w:val="none"/>
          <w:lang w:val="uz-Latn-UZ"/>
        </w:rPr>
        <w:t>[6: 14]</w:t>
      </w:r>
      <w:r>
        <w:rPr>
          <w:sz w:val="22"/>
          <w:szCs w:val="22"/>
          <w:highlight w:val="none"/>
          <w:lang w:val="en-US"/>
        </w:rPr>
        <w:t xml:space="preserve">. K.G.Yungning arxetip nazariyasiga ko‘ra, ota obrazi kollektiv ongsizlikdagi universal timsollardan biri bo‘lib, u tartib, hokimiyat va ruhiy yetakchilik ramzi sifatida namoyon bo‘ladi </w:t>
      </w:r>
      <w:r>
        <w:rPr>
          <w:rFonts w:eastAsia="DengXian"/>
          <w:sz w:val="22"/>
          <w:szCs w:val="22"/>
          <w:highlight w:val="none"/>
          <w:lang w:val="uz-Latn-UZ"/>
        </w:rPr>
        <w:t>[8: 87]</w:t>
      </w:r>
      <w:r>
        <w:rPr>
          <w:sz w:val="22"/>
          <w:szCs w:val="22"/>
          <w:highlight w:val="none"/>
          <w:lang w:val="en-US"/>
        </w:rPr>
        <w:t xml:space="preserve">. Bu yondashuv diniy matnlar va badiiy asarlardagi ota figurasi o‘rtasidagi semantik mushtaraklikni aniqlash imkonini beradi. Diskurs nazariyasi nuqtayi nazaridan esa (M.Fuko, T.Van Deyk, N.Feyrklaf va boshqalar) ota obrazi hokimiyat va nutq o‘rtasidagi murakkab munosabatlar tizimida tahlil qilinadi. Fuko konsepsiyasida diskurs ijtimoiy haqiqatni shakllantiruvchi va nazorat qiluvchi mexanizm sifatida talqin etiladi </w:t>
      </w:r>
      <w:r>
        <w:rPr>
          <w:rFonts w:eastAsia="DengXian"/>
          <w:sz w:val="22"/>
          <w:szCs w:val="22"/>
          <w:highlight w:val="none"/>
          <w:lang w:val="uz-Latn-UZ"/>
        </w:rPr>
        <w:t>[4: 60]</w:t>
      </w:r>
      <w:r>
        <w:rPr>
          <w:sz w:val="22"/>
          <w:szCs w:val="22"/>
          <w:highlight w:val="none"/>
          <w:lang w:val="en-US"/>
        </w:rPr>
        <w:t>. Shu ma’noda, ota nutqi va uning pozitsiyasi ma’naviy-ideologik nazorat vositasi sifatida namoyon bo‘lishi mumkin. Van Deyk va Feyrklafning tanqidiy diskurs tahlili yondashuvi esa badiiy matnda ifodalangan diniy qarashlar va hokimiyat munosabatlarini aniqlashga xizmat qiladi. Bu metodologiya ota diskursini diniy qadriyatlarning legitimlashuvi yoki dekonstruksiyasi jarayoni sifatida o‘rganishga imkon beradi. Mario Pyuzo ijodi, ayniqsa, uning diniy-falsafiy konsepsiyasi ko‘plab tadqiqotchilar tomonidan keng o‘rganilgan. Adabiyotshunoslar yozuvchi asarlarida nasroniylik antropologiyasi, gunoh va tavba, erkin iroda, iymon va shubha, ilohiy adolat masalalarini markaziy g‘oyaviy o‘q sifatida ko‘rsatadilar. “Cho‘qintirgan ota” romanida ota va farzand o‘rtasidagi ziddiyat ko‘pincha diniy-falsafiy konflikt sifatida talqin qilinadi. Ayrim tadqiqotlarda Corleone obrazi axloqiy tanazzul va ma’naviy inqiroz timsoli sifatida baholansa, Michael Corleone yoki Sonny Corleone obrazlari orqali “ruhiy otalik” konsepti ilgari suriladi. Biroq mavjud ilmiy ishlarda ota diskursining aynan diniy qarashlar tizimi sifatida kompleks va qiyosiy tahlili yetarli darajada tizimlashtirilmagan.</w:t>
      </w:r>
    </w:p>
    <w:p w14:paraId="027E9DA8">
      <w:pPr>
        <w:pStyle w:val="10"/>
        <w:spacing w:before="0" w:beforeAutospacing="0" w:after="0" w:afterAutospacing="0"/>
        <w:ind w:firstLine="567"/>
        <w:jc w:val="both"/>
        <w:rPr>
          <w:sz w:val="22"/>
          <w:szCs w:val="22"/>
          <w:highlight w:val="none"/>
          <w:lang w:val="en-US"/>
        </w:rPr>
      </w:pPr>
      <w:r>
        <w:rPr>
          <w:sz w:val="22"/>
          <w:szCs w:val="22"/>
          <w:highlight w:val="none"/>
          <w:lang w:val="en-US"/>
        </w:rPr>
        <w:t>O‘zbek adabiyotshunosligida Tohir Malikning “Shaytanat” romani ko‘proq ijtimoiy-siyosiy, kriminal va ma’naviy-axloqiy jihatdan tadqiq etilgan. Asar mustaqillik davri jamiyatidagi ma’naviy inqiroz, qadriyatlar transformatsiyasi, jinoyatchilik ildizlari va e’tiqod masalalarini yorituvchi yirik epik asar sifatida baholanadi. Ilmiy ishlarda romandagi ota obrazlari milliy mentalitet, islomiy qadriyatlar, sharqona tarbiya va oila instituti bilan bog‘liq holda talqin qilingan. Ayrim tadqiqotchilar ota timsolini halollik, mas’uliyat, sabr-toqat va taqdirga iymon kabi tushunchalar bilan bog‘lashgan. Shunga qaramay, ota diskursining diniy konseptlar tizimi sifatida maxsus va qiyosiy o‘rganilishi hozircha yetarli darajada amalga oshirilmagan. Shuningdek, diniy konseptlarning badiiy matndagi ifodasi masalasi germenevtik va intertekstual yondashuvlar asosida ham o‘rganilgan. P.Riker va X.G.Gadamer kabi olimlar matn talqinida diniy ma’nolarning ko‘p qatlamli xususiyatini ta’kidlaydilar. Ushbu yondashuv ota obrazini diniy matnlar va an’anaviy e’tiqod tizimlari bilan semantik aloqadorlikda tahlil qilish imkonini beradi. Mavjud adabiyotlar tahlili shuni ko‘rsatadiki, Mario Pyuzo va Tohir Malik asarlari alohida-alohida keng tadqiq etilgan bo‘lsa-da, ularda ota diskursining diniy qarashlarini qiyosiy-diskursiv asosda o‘rganish masalasi yetarlicha yoritilmagan. Ayniqsa, nasroniylik va islomiy tafakkur kontekstida ota timsolining g‘oyaviy-badiiy funksiyasini tizimli ravishda qiyoslash ilmiy yangilik kasb etadi. Shu bois mazkur tadqiqot mavjud nazariy qarashlarni umumlashtirgan holda, ota diskursining diniy asoslarini ikki turli madaniy-adabiy makon – rus pravoslav an’anasi va o‘zbek islomiy-ma’naviy muhit doirasida qiyosiy o‘rganishni maqsad qiladi. Bu yondashuv badiiy matnda diniy konseptlarning shakllanish mexanizmini ochib berish</w:t>
      </w:r>
      <w:r>
        <w:rPr>
          <w:rFonts w:eastAsia="DengXian"/>
          <w:sz w:val="22"/>
          <w:szCs w:val="22"/>
          <w:highlight w:val="none"/>
          <w:lang w:val="uz-Latn-UZ"/>
        </w:rPr>
        <w:t xml:space="preserve"> [11: 49]</w:t>
      </w:r>
      <w:r>
        <w:rPr>
          <w:sz w:val="22"/>
          <w:szCs w:val="22"/>
          <w:highlight w:val="none"/>
          <w:lang w:val="en-US"/>
        </w:rPr>
        <w:t>, ota obrazining ma’naviy-ideologik funksiyasini aniqlashtirish hamda qiyosiy adabiyotshunoslikda diskursiv metodologiyaning amaliy imkoniyatlarini kengaytirishga xizmat qiladi.</w:t>
      </w:r>
    </w:p>
    <w:p w14:paraId="0B3AF390">
      <w:pPr>
        <w:pStyle w:val="10"/>
        <w:spacing w:before="0" w:beforeAutospacing="0" w:after="0" w:afterAutospacing="0"/>
        <w:ind w:firstLine="567"/>
        <w:jc w:val="both"/>
        <w:rPr>
          <w:b/>
          <w:sz w:val="22"/>
          <w:szCs w:val="22"/>
          <w:highlight w:val="none"/>
          <w:lang w:val="en-US"/>
        </w:rPr>
      </w:pPr>
      <w:r>
        <w:rPr>
          <w:b/>
          <w:sz w:val="22"/>
          <w:szCs w:val="22"/>
          <w:highlight w:val="none"/>
          <w:lang w:val="en-US"/>
        </w:rPr>
        <w:t xml:space="preserve">Natija va muhokama. </w:t>
      </w:r>
      <w:r>
        <w:rPr>
          <w:sz w:val="22"/>
          <w:szCs w:val="22"/>
          <w:highlight w:val="none"/>
          <w:lang w:val="en-US"/>
        </w:rPr>
        <w:t xml:space="preserve">Mazkur tadqiqot doirasida Mario Pyuzoning “Cho‘qintirgan ota” hamda Tohir Malikning “Shaytanat” romanlarida ota diskursining diniy qarashlari qiyosiy-diskursiv metod asosida tahlil qilindi. Tahlil jarayonida ota obrazining nutq strategiyasi, xatti-harakat modeli, qadriyatlar tizimi, farzandlar bilan kommunikativ munosabati, shuningdek, gunoh, tavba, taqdir va adolat konseptlariga munosabati asosiy mezon sifatida belgilandi. Diskursiv tahlil badiiy matndagi semantik maydon, ideologik pozitsiya va diniy konseptlarning legitimlashuv mexanizmini aniqlashga qaratildi. Bunda: </w:t>
      </w:r>
    </w:p>
    <w:p w14:paraId="2E3CC199">
      <w:pPr>
        <w:pStyle w:val="10"/>
        <w:spacing w:before="0" w:beforeAutospacing="0" w:after="0" w:afterAutospacing="0"/>
        <w:ind w:firstLine="567"/>
        <w:jc w:val="both"/>
        <w:rPr>
          <w:b/>
          <w:sz w:val="22"/>
          <w:szCs w:val="22"/>
          <w:highlight w:val="none"/>
          <w:lang w:val="en-US"/>
        </w:rPr>
      </w:pPr>
      <w:r>
        <w:rPr>
          <w:i/>
          <w:sz w:val="22"/>
          <w:szCs w:val="22"/>
          <w:highlight w:val="none"/>
          <w:lang w:val="en-US"/>
        </w:rPr>
        <w:t>1. Ota diskursining diniy asoslari:</w:t>
      </w:r>
      <w:r>
        <w:rPr>
          <w:b/>
          <w:i/>
          <w:sz w:val="22"/>
          <w:szCs w:val="22"/>
          <w:highlight w:val="none"/>
          <w:lang w:val="en-US"/>
        </w:rPr>
        <w:t xml:space="preserve"> </w:t>
      </w:r>
      <w:r>
        <w:rPr>
          <w:sz w:val="22"/>
          <w:szCs w:val="22"/>
          <w:highlight w:val="none"/>
          <w:lang w:val="en-US"/>
        </w:rPr>
        <w:t>“Cho‘qintirgan ota” romanida ota diskursi nasroniylikdagi gunohkorlik (sinfulness) konsepsiyasi, tav</w:t>
      </w:r>
      <w:bookmarkStart w:id="0" w:name="_GoBack"/>
      <w:bookmarkEnd w:id="0"/>
      <w:r>
        <w:rPr>
          <w:sz w:val="22"/>
          <w:szCs w:val="22"/>
          <w:highlight w:val="none"/>
          <w:lang w:val="en-US"/>
        </w:rPr>
        <w:t xml:space="preserve">ba (repentance) va ilohiy adolat (divine justice) g‘oyalari bilan uzviy bog‘liq holda shakllangan. Corleone timsolida ota obrazi ko‘proq ma’naviy tanazzul va axloqiy beqarorlik ramzi sifatida namoyon bo‘ladi. Shu bilan birga, asardagi “ruhiy otalik” konsepti (Michael Corleone obrazida) nasroniylikdagi mehr-shafqat, kechirim va poklanish g‘oyalarini ifodalaydi. Natijada ota diskursi ikki qutbli xarakter kasb etadi: bir tomonda axloqiy inqiroz, ikkinchi tomonda ruhiy najot va e’tiqodiy mukammallik. Mazkur diskursda diniy haqiqat qat’iy dogmatik shaklda emas, balki savol, shubha va ichki iztirob orqali anglanadi. Ota nutqi va uning atrofidagi muloqotlar polemik xarakterga ega bo‘lib, e’tiqod va inkor, ishonch va skeptitsizm o‘rtasidagi ziddiyatni ochib beradi. Demak, bu yerda ota diskursi ekzistensial-falsafiy qiyofa kasb etadi. “Shaytanat” romanida esa ota diskursi islomiy qadriyatlar – halol va harom mezoni, taqdir (qadar), sabr, mas’uliyat, javobgarlik hamda ilohiy jazoga ishonch asosida quriladi. Ota obrazi ko‘proq ma’naviy tayanch, axloqiy mezon va oilaviy-intizomiy markaz sifatida tasvirlanadi. Uning nutqida diniy qadriyatlar aniq me’yor, buyruq yoki ogohlantirish shaklida ifodalanadi. Bu diskursda diniy haqiqat shubha ostiga olinmaydi </w:t>
      </w:r>
      <w:r>
        <w:rPr>
          <w:rFonts w:eastAsia="DengXian"/>
          <w:sz w:val="22"/>
          <w:szCs w:val="22"/>
          <w:highlight w:val="none"/>
          <w:lang w:val="uz-Latn-UZ"/>
        </w:rPr>
        <w:t>[2: 110]</w:t>
      </w:r>
      <w:r>
        <w:rPr>
          <w:sz w:val="22"/>
          <w:szCs w:val="22"/>
          <w:highlight w:val="none"/>
          <w:lang w:val="en-US"/>
        </w:rPr>
        <w:t>, aksincha, u ijtimoiy tartibni ta’minlovchi barqaror axloqiy mezon sifatida taqdim etiladi. Natijada ota obrazi diniy normalarning legitimlashtiruvchi va tartibga soluvchi subyekti sifatida namoyon bo‘ladi. Qiyosiy tahlil shuni ko‘rsatadiki, Mario Pyuzo asarida ota diskursi ekzistensial izlanish va ichki konflikt maydonida shakllansa, Tohir Malik romanida u normativ-axloqiy tizimning barqaror ifodachisi sifatida gavdalanadi.</w:t>
      </w:r>
    </w:p>
    <w:p w14:paraId="6735C0F8">
      <w:pPr>
        <w:pStyle w:val="10"/>
        <w:spacing w:before="0" w:beforeAutospacing="0" w:after="0" w:afterAutospacing="0"/>
        <w:ind w:firstLine="567"/>
        <w:jc w:val="both"/>
        <w:rPr>
          <w:b/>
          <w:sz w:val="22"/>
          <w:szCs w:val="22"/>
          <w:highlight w:val="none"/>
          <w:lang w:val="en-US"/>
        </w:rPr>
      </w:pPr>
      <w:r>
        <w:rPr>
          <w:i/>
          <w:sz w:val="22"/>
          <w:szCs w:val="22"/>
          <w:highlight w:val="none"/>
          <w:lang w:val="en-US"/>
        </w:rPr>
        <w:t>Ota va farzand munosabatlarida diniy qarashlar.</w:t>
      </w:r>
      <w:r>
        <w:rPr>
          <w:b/>
          <w:sz w:val="22"/>
          <w:szCs w:val="22"/>
          <w:highlight w:val="none"/>
          <w:lang w:val="en-US"/>
        </w:rPr>
        <w:t xml:space="preserve"> </w:t>
      </w:r>
      <w:r>
        <w:rPr>
          <w:sz w:val="22"/>
          <w:szCs w:val="22"/>
          <w:highlight w:val="none"/>
          <w:lang w:val="en-US"/>
        </w:rPr>
        <w:t xml:space="preserve">Har ikki romanda ota va farzand o‘rtasidagi munosabat diniy dunyoqarash bilan bevosita bog‘liq. “Cho‘qintirgan ota”da farzandlarning (Tom Hagen, Kay Adams, Fredo Corleone) e’tiqod va axloq masalasidagi pozitsiyasi ota diskursiga nisbatan turlicha shakllanadi. Sony Corleone obrazida shubha va intellektual inkor ustuvor bo‘lsa, Fredo Corleone obrazida e’tiqodiy sobitlik va ruhiy poklik namoyon bo‘ladi. Shu tariqa ota diskursi avlodlar o‘rtasida metafizik va falsafiy konfliktni yuzaga keltiradi. Bu konflikt individual tanlov va erkin iroda masalasi bilan bog‘liq holda talqin qilinadi. “Shaytanat”da esa ota va farzand o‘rtasidagi ziddiyat ko‘proq ijtimoiy-ma’naviy muhit bilan bog‘liq. Diniy qadriyatlardan og‘ish jinoyat, ma’naviy tanazzul yoki fojiaga olib keluvchi sabab sifatida ko‘rsatiladi </w:t>
      </w:r>
      <w:r>
        <w:rPr>
          <w:rFonts w:eastAsia="DengXian"/>
          <w:sz w:val="22"/>
          <w:szCs w:val="22"/>
          <w:highlight w:val="none"/>
          <w:lang w:val="uz-Latn-UZ"/>
        </w:rPr>
        <w:t>[8: 105]</w:t>
      </w:r>
      <w:r>
        <w:rPr>
          <w:sz w:val="22"/>
          <w:szCs w:val="22"/>
          <w:highlight w:val="none"/>
          <w:lang w:val="en-US"/>
        </w:rPr>
        <w:t>. Ota diskursi bu jarayonda ogohlantiruvchi, me’yor belgilovchi va tartibga soluvchi kuch vazifasini bajaradi. Demak, birinchi asarda konflikt ichki-ruhiy va metafizik xarakterga ega bo‘lsa, ikkinchi asarda u ijtimoiy-axloqiy tus oladi.</w:t>
      </w:r>
    </w:p>
    <w:p w14:paraId="77F1B9AB">
      <w:pPr>
        <w:pStyle w:val="10"/>
        <w:spacing w:before="0" w:beforeAutospacing="0" w:after="0" w:afterAutospacing="0"/>
        <w:ind w:firstLine="567"/>
        <w:jc w:val="both"/>
        <w:rPr>
          <w:b/>
          <w:i/>
          <w:sz w:val="22"/>
          <w:szCs w:val="22"/>
          <w:highlight w:val="none"/>
          <w:lang w:val="en-US"/>
        </w:rPr>
      </w:pPr>
      <w:r>
        <w:rPr>
          <w:i/>
          <w:sz w:val="22"/>
          <w:szCs w:val="22"/>
          <w:highlight w:val="none"/>
          <w:lang w:val="en-US"/>
        </w:rPr>
        <w:t>Gunoh va jazo konsepti.</w:t>
      </w:r>
      <w:r>
        <w:rPr>
          <w:b/>
          <w:i/>
          <w:sz w:val="22"/>
          <w:szCs w:val="22"/>
          <w:highlight w:val="none"/>
          <w:lang w:val="en-US"/>
        </w:rPr>
        <w:t xml:space="preserve"> </w:t>
      </w:r>
      <w:r>
        <w:rPr>
          <w:sz w:val="22"/>
          <w:szCs w:val="22"/>
          <w:highlight w:val="none"/>
          <w:lang w:val="en-US"/>
        </w:rPr>
        <w:t>Nasroniylik tafakkurida gunoh insonning ichki ruhiy holati bilan bog‘liq bo‘lib, tavba va ruhiy poklanish orqali najot topish imkonini beradi. “Cho‘qintirgan ota”da gunoh tushunchasi vijdon azobi, ichki iztirob va ilohiy adolat oldidagi mas’uliyat orqali ochiladi. Jazolanish ko‘proq ma’naviy-ruhiy jarayon sifatida talqin etiladi; inson o‘z gunohi bilan ichki kurash olib boradi. “Shaytanat” romanida esa gunoh ijtimoiy va diniy qonunbuzarlik sifatida namoyon bo‘ladi. Bu yerda amal va oqibat o‘rtasidagi sababiy bog‘liqlik aniq va muqarrar tarzda tasvirlanadi. Jazo nafaqat ilohiy, balki dunyoviy-huquqiy shaklda ham amalga oshadi. Shu tariqa ota diskursi orqali diniy adolat konkret va real hodisa sifatida gavdalanadi.</w:t>
      </w:r>
    </w:p>
    <w:p w14:paraId="6BFAAA57">
      <w:pPr>
        <w:pStyle w:val="10"/>
        <w:spacing w:before="0" w:beforeAutospacing="0" w:after="0" w:afterAutospacing="0"/>
        <w:ind w:firstLine="567"/>
        <w:jc w:val="both"/>
        <w:rPr>
          <w:b/>
          <w:i/>
          <w:sz w:val="22"/>
          <w:szCs w:val="22"/>
          <w:highlight w:val="none"/>
          <w:lang w:val="en-US"/>
        </w:rPr>
      </w:pPr>
      <w:r>
        <w:rPr>
          <w:i/>
          <w:sz w:val="22"/>
          <w:szCs w:val="22"/>
          <w:highlight w:val="none"/>
          <w:lang w:val="en-US"/>
        </w:rPr>
        <w:t>Diskursiv-strategik xususiyatlar.</w:t>
      </w:r>
      <w:r>
        <w:rPr>
          <w:b/>
          <w:i/>
          <w:sz w:val="22"/>
          <w:szCs w:val="22"/>
          <w:highlight w:val="none"/>
          <w:lang w:val="en-US"/>
        </w:rPr>
        <w:t xml:space="preserve"> </w:t>
      </w:r>
      <w:r>
        <w:rPr>
          <w:sz w:val="22"/>
          <w:szCs w:val="22"/>
          <w:highlight w:val="none"/>
          <w:lang w:val="en-US"/>
        </w:rPr>
        <w:t>Diskursiv jihatdan tahlil qilinganda, Mario Pyuzo romanida ota bilan bog‘liq nutq shakllari polifonik xarakterga ega. M. Baxtin ta’kidlaganidek, polifoniya turli ovoz va pozitsiyalarning o‘zaro dialogik munosabatini anglatadi. Asarda ota diskursi yagona haqiqatni emas, balki qarama-qarshi g‘oyalar to‘qnashuvini yuzaga chiqaradi. Ichki monolog, falsafiy dialog va polemik nutq shakllari ustuvor. “Shaytanat”da esa ota diskursi ko‘proq monologik va didaktik xarakterga ega</w:t>
      </w:r>
      <w:r>
        <w:rPr>
          <w:rFonts w:eastAsia="DengXian"/>
          <w:sz w:val="22"/>
          <w:szCs w:val="22"/>
          <w:highlight w:val="none"/>
          <w:lang w:val="uz-Latn-UZ"/>
        </w:rPr>
        <w:t xml:space="preserve"> [12: 33-40]</w:t>
      </w:r>
      <w:r>
        <w:rPr>
          <w:sz w:val="22"/>
          <w:szCs w:val="22"/>
          <w:highlight w:val="none"/>
          <w:lang w:val="en-US"/>
        </w:rPr>
        <w:t>. Pand-nasihat, qat’iy hukm va axloqiy xulosa shakllari ustuvorlik qiladi. Bu diskurs milliy mentalitet va diniy qadriyatlar bilan uyg‘unlashgan holda ifodalanadi hamda ijtimoiy tartibni mustahkamlashga xizmat qiladi.</w:t>
      </w:r>
    </w:p>
    <w:p w14:paraId="62327C62">
      <w:pPr>
        <w:pStyle w:val="10"/>
        <w:tabs>
          <w:tab w:val="left" w:pos="993"/>
        </w:tabs>
        <w:spacing w:before="0" w:beforeAutospacing="0" w:after="0" w:afterAutospacing="0"/>
        <w:ind w:firstLine="567"/>
        <w:jc w:val="both"/>
        <w:rPr>
          <w:i/>
          <w:sz w:val="22"/>
          <w:szCs w:val="22"/>
          <w:highlight w:val="none"/>
          <w:lang w:val="en-US"/>
        </w:rPr>
      </w:pPr>
      <w:r>
        <w:rPr>
          <w:i/>
          <w:sz w:val="22"/>
          <w:szCs w:val="22"/>
          <w:highlight w:val="none"/>
          <w:lang w:val="en-US"/>
        </w:rPr>
        <w:t>O‘tkazilgan qiyosiy-diskursiv tahlil natijasida quyidagi ilmiy xulosalar aniqlandi:</w:t>
      </w:r>
    </w:p>
    <w:p w14:paraId="2588E83E">
      <w:pPr>
        <w:pStyle w:val="10"/>
        <w:numPr>
          <w:ilvl w:val="0"/>
          <w:numId w:val="1"/>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Har ikki romanda ota diskursi diniy qarashlarning asosiy tashuvchisi sifatida namoyon bo‘ladi, biroq uning semantik va funksional modeli madaniy-kontekstual omillar bilan belgilanadi.</w:t>
      </w:r>
    </w:p>
    <w:p w14:paraId="64A9B17A">
      <w:pPr>
        <w:pStyle w:val="10"/>
        <w:numPr>
          <w:ilvl w:val="0"/>
          <w:numId w:val="1"/>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“Cho‘qintirgan ota”da ota diskursi nasroniylikdagi ekzistensial izlanish, shubha va tavba konsepti bilan bog‘liq bo‘lib, ichki-ruhiy konflikt asosida shakllanadi.</w:t>
      </w:r>
    </w:p>
    <w:p w14:paraId="58E0B8BD">
      <w:pPr>
        <w:pStyle w:val="10"/>
        <w:numPr>
          <w:ilvl w:val="0"/>
          <w:numId w:val="1"/>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“Shaytanat”da esa ota diskursi islomiy axloqiy-me’yoriy tizimga tayangan holda barqaror e’tiqod va ijtimoiy javobgarlik modeli sifatida namoyon bo‘ladi.</w:t>
      </w:r>
    </w:p>
    <w:p w14:paraId="27097782">
      <w:pPr>
        <w:pStyle w:val="10"/>
        <w:numPr>
          <w:ilvl w:val="0"/>
          <w:numId w:val="1"/>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Birinchi asarda diniy konflikt metafizik va individual xarakter kasb etsa, ikkinchi asarda u ijtimoiy-axloqiy mazmun bilan boyitiladi.</w:t>
      </w:r>
    </w:p>
    <w:p w14:paraId="744DF7A7">
      <w:pPr>
        <w:pStyle w:val="10"/>
        <w:numPr>
          <w:ilvl w:val="0"/>
          <w:numId w:val="1"/>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Ota obrazi har ikki madaniy makonda ham ma’naviy hokimiyat timsoli bo‘lib, diniy qadriyatlarni legitimlashtiruvchi diskurs markazi vazifasini bajaradi.</w:t>
      </w:r>
    </w:p>
    <w:p w14:paraId="1E4FFACF">
      <w:pPr>
        <w:pStyle w:val="10"/>
        <w:spacing w:before="0" w:beforeAutospacing="0" w:after="0" w:afterAutospacing="0"/>
        <w:ind w:firstLine="567"/>
        <w:jc w:val="both"/>
        <w:rPr>
          <w:sz w:val="22"/>
          <w:szCs w:val="22"/>
          <w:highlight w:val="none"/>
          <w:lang w:val="en-US"/>
        </w:rPr>
      </w:pPr>
      <w:r>
        <w:rPr>
          <w:sz w:val="22"/>
          <w:szCs w:val="22"/>
          <w:highlight w:val="none"/>
          <w:lang w:val="en-US"/>
        </w:rPr>
        <w:t>Shunday qilib, tadqiqot natijalari ota diskursining diniy qarashlari madaniy va konfessional tafakkur bilan uzviy bog‘liqligini ko‘rsatdi. Mazkur izlanish badiiy matnda e’tiqod va axloq kategoriyalarining shakllanish mexanizmini aniqlashga, shuningdek, qiyosiy adabiyotshunoslikda diskursiv metodologiyaning amaliy imkoniyatlarini kengaytirishga xizmat qiladi.</w:t>
      </w:r>
    </w:p>
    <w:p w14:paraId="5BDFCB71">
      <w:pPr>
        <w:pStyle w:val="10"/>
        <w:spacing w:before="0" w:beforeAutospacing="0" w:after="0" w:afterAutospacing="0"/>
        <w:ind w:firstLine="567"/>
        <w:jc w:val="both"/>
        <w:rPr>
          <w:b/>
          <w:sz w:val="22"/>
          <w:szCs w:val="22"/>
          <w:highlight w:val="none"/>
          <w:lang w:val="en-US"/>
        </w:rPr>
      </w:pPr>
      <w:r>
        <w:rPr>
          <w:b/>
          <w:sz w:val="22"/>
          <w:szCs w:val="22"/>
          <w:highlight w:val="none"/>
          <w:lang w:val="en-US"/>
        </w:rPr>
        <w:t xml:space="preserve">Xulosa. </w:t>
      </w:r>
      <w:r>
        <w:rPr>
          <w:sz w:val="22"/>
          <w:szCs w:val="22"/>
          <w:highlight w:val="none"/>
          <w:lang w:val="en-US"/>
        </w:rPr>
        <w:t>Mazkur tadqiqotda Mario Pyuzoning “Cho‘qintirgan ota” hamda T</w:t>
      </w:r>
      <w:r>
        <w:rPr>
          <w:sz w:val="22"/>
          <w:szCs w:val="22"/>
          <w:highlight w:val="none"/>
          <w:lang w:val="uz-Latn-UZ"/>
        </w:rPr>
        <w:t>ohir</w:t>
      </w:r>
      <w:r>
        <w:rPr>
          <w:sz w:val="22"/>
          <w:szCs w:val="22"/>
          <w:highlight w:val="none"/>
          <w:lang w:val="en-US"/>
        </w:rPr>
        <w:t xml:space="preserve"> Malikning “Shaytanat” romanlarida ota diskursining diniy qarashlari qiyosiy-diskursiv metodologiya asosida tahlil qilindi. Tadqiqot jarayonida ota obrazining nutq strategiyasi, qadriyatlar tizimi, farzandlar bilan munosabati hamda gunoh, tavba, taqdir va adolat kabi diniy konseptlarga munosabati asosiy mezon sifatida belgilandi. O‘rganish natijasida ota obrazi har ikki asarda ham oddiy ijtimoiy rol emas, balki ma’naviy hokimiyat, axloqiy me’yor va diniy qadriyatlarning markaziy tashuvchisi sifatida namoyon bo‘lishi aniqlandi. Ota diskursi badiiy matnda diniy konseptlarni legitimlashtiruvchi va g‘oyaviy yo‘nalishni belgilovchi semantik markaz vazifasini bajaradi.</w:t>
      </w:r>
    </w:p>
    <w:p w14:paraId="60443BC3">
      <w:pPr>
        <w:pStyle w:val="10"/>
        <w:spacing w:before="0" w:beforeAutospacing="0" w:after="0" w:afterAutospacing="0"/>
        <w:ind w:firstLine="567"/>
        <w:jc w:val="both"/>
        <w:rPr>
          <w:sz w:val="22"/>
          <w:szCs w:val="22"/>
          <w:highlight w:val="none"/>
          <w:lang w:val="en-US"/>
        </w:rPr>
      </w:pPr>
      <w:r>
        <w:rPr>
          <w:sz w:val="22"/>
          <w:szCs w:val="22"/>
          <w:highlight w:val="none"/>
          <w:lang w:val="en-US"/>
        </w:rPr>
        <w:t>Tahlillar shuni ko‘rsatdiki, Mario Pyuzo romanida ota diskursi nasroniylikdagi gunoh, tavba, ilohiy adolat, erkin iroda va shaxsiy e’tiqod izlanishi bilan bog‘liq ekzistensial-falsafiy xarakter kasb etadi. Unda diniy haqiqat ichki ruhiy kurash, shubha va iztirob orqali anglanadi. Ota obrazi qat’iy aqidaparast subyekt emas, balki murakkab ruhiy ziddiyatlar girdobidagi shaxs sifatida tasvirlanadi. Natijada diniy masalalar individual tafakkur va metafizik tanlov maydoniga ko‘chadi. Tohir Malikning “Shaytanat” romanida esa ota diskursi islomiy axloqiy-me’yoriy tizimga tayangan holda barqaror va qat’iy e’tiqod shaklida namoyon bo‘ladi. Bu asarda ota diniy qadriyatlarning himoyachisi, oilaviy-intizomiy markaz va ijtimoiy tartibni saqlovchi kuch sifatida gavdalanadi. Gunoh va jazo konsepti aniq sabab-oqibat munosabatida tasvirlanib, diniy me’yorlardan chekinishning fojeaviy oqibatlari badiiy asosda ochib beriladi. Shunday qilib, ota diskursi bu asarda normativ-axloqiy tizimni mustahkamlovchi vosita sifatida ishlaydi.</w:t>
      </w:r>
    </w:p>
    <w:p w14:paraId="7FCBB4D5">
      <w:pPr>
        <w:pStyle w:val="10"/>
        <w:tabs>
          <w:tab w:val="left" w:pos="851"/>
        </w:tabs>
        <w:spacing w:before="0" w:beforeAutospacing="0" w:after="0" w:afterAutospacing="0"/>
        <w:ind w:firstLine="567"/>
        <w:jc w:val="both"/>
        <w:rPr>
          <w:i/>
          <w:sz w:val="22"/>
          <w:szCs w:val="22"/>
          <w:highlight w:val="none"/>
          <w:lang w:val="en-US"/>
        </w:rPr>
      </w:pPr>
      <w:r>
        <w:rPr>
          <w:i/>
          <w:sz w:val="22"/>
          <w:szCs w:val="22"/>
          <w:highlight w:val="none"/>
          <w:lang w:val="en-US"/>
        </w:rPr>
        <w:t>Qiyosiy tahlil natijasida quyidagi umumlashmalar aniqlandi:</w:t>
      </w:r>
    </w:p>
    <w:p w14:paraId="7ECCE39B">
      <w:pPr>
        <w:pStyle w:val="10"/>
        <w:numPr>
          <w:ilvl w:val="0"/>
          <w:numId w:val="2"/>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Har ikki romanda ota diskursi diniy qarashlarni shakllantiruvchi va legitimlashtiruvchi markaziy g‘oyaviy qatlamdir.</w:t>
      </w:r>
    </w:p>
    <w:p w14:paraId="7D4D321B">
      <w:pPr>
        <w:pStyle w:val="10"/>
        <w:numPr>
          <w:ilvl w:val="0"/>
          <w:numId w:val="2"/>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Ota obrazining diniy talqini muayyan madaniy va konfessional kontekst bilan bevosita bog‘liq holda shakllanadi.</w:t>
      </w:r>
    </w:p>
    <w:p w14:paraId="4D720B67">
      <w:pPr>
        <w:pStyle w:val="10"/>
        <w:numPr>
          <w:ilvl w:val="0"/>
          <w:numId w:val="2"/>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Nasroniylik kontekstida ota diskursi ko‘proq ruhiy-psixologik izlanish, shubha va ichki konflikt bilan tavsiflansa, islomiy kontekstda u axloqiy barqarorlik, normativlik va ijtimoiy javobgarlik asosida quriladi.</w:t>
      </w:r>
    </w:p>
    <w:p w14:paraId="77710371">
      <w:pPr>
        <w:pStyle w:val="10"/>
        <w:numPr>
          <w:ilvl w:val="0"/>
          <w:numId w:val="2"/>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Ota va farzand o‘rtasidagi konflikt diniy qadriyatlarning avlodlararo uzatilishi, transformatsiyasi yoki inkori bilan bog‘liq holda yuzaga keladi.</w:t>
      </w:r>
    </w:p>
    <w:p w14:paraId="19DF7D95">
      <w:pPr>
        <w:pStyle w:val="10"/>
        <w:numPr>
          <w:ilvl w:val="0"/>
          <w:numId w:val="2"/>
        </w:numPr>
        <w:tabs>
          <w:tab w:val="left" w:pos="851"/>
        </w:tabs>
        <w:spacing w:before="0" w:beforeAutospacing="0" w:after="0" w:afterAutospacing="0"/>
        <w:ind w:left="0" w:firstLine="567"/>
        <w:jc w:val="both"/>
        <w:rPr>
          <w:sz w:val="22"/>
          <w:szCs w:val="22"/>
          <w:highlight w:val="none"/>
          <w:lang w:val="en-US"/>
        </w:rPr>
      </w:pPr>
      <w:r>
        <w:rPr>
          <w:sz w:val="22"/>
          <w:szCs w:val="22"/>
          <w:highlight w:val="none"/>
          <w:lang w:val="en-US"/>
        </w:rPr>
        <w:t>Ota diskursi badiiy matnda e’tiqod, axloq va hokimiyat o‘rtasidagi murakkab munosabatlarni ifodalovchi konseptual maydonni hosil qiladi.</w:t>
      </w:r>
    </w:p>
    <w:p w14:paraId="0E531AC9">
      <w:pPr>
        <w:pStyle w:val="10"/>
        <w:tabs>
          <w:tab w:val="left" w:pos="851"/>
        </w:tabs>
        <w:spacing w:before="0" w:beforeAutospacing="0" w:after="0" w:afterAutospacing="0"/>
        <w:ind w:firstLine="567"/>
        <w:jc w:val="both"/>
        <w:rPr>
          <w:sz w:val="22"/>
          <w:szCs w:val="22"/>
          <w:lang w:val="en-US"/>
        </w:rPr>
      </w:pPr>
      <w:r>
        <w:rPr>
          <w:sz w:val="22"/>
          <w:szCs w:val="22"/>
          <w:highlight w:val="none"/>
          <w:lang w:val="en-US"/>
        </w:rPr>
        <w:t>Xulosa qiladigan bo‘lsak, ota diskursining diniy qarashlarini qiyosiy o‘rganish badiiy matnning g‘oyaviy-estetik qatlamini chuqurroq anglashga, turli madaniy-diniy tizimlarda shakllangan axloqiy me’yorlarning adabiy ifodasini tahlil qilishga hamda qiyosiy adabiyotshunoslikda diskursiv metodologiyaning samaradorligini namoyon etishga xizmat qiladi. Mazku</w:t>
      </w:r>
      <w:r>
        <w:rPr>
          <w:sz w:val="22"/>
          <w:szCs w:val="22"/>
          <w:lang w:val="en-US"/>
        </w:rPr>
        <w:t>r tadqiqot natijalari kelgusidagi ilmiy izlanishlar uchun nazariy va metodologik asos bo‘la oladi.</w:t>
      </w:r>
    </w:p>
    <w:p w14:paraId="14D98780">
      <w:pPr>
        <w:pStyle w:val="10"/>
        <w:spacing w:before="0" w:beforeAutospacing="0" w:after="0" w:afterAutospacing="0"/>
        <w:ind w:firstLine="284"/>
        <w:jc w:val="center"/>
        <w:rPr>
          <w:b/>
          <w:sz w:val="22"/>
          <w:szCs w:val="22"/>
          <w:lang w:val="en-US"/>
        </w:rPr>
      </w:pPr>
      <w:r>
        <w:rPr>
          <w:b/>
          <w:sz w:val="22"/>
          <w:szCs w:val="22"/>
          <w:lang w:val="en-US"/>
        </w:rPr>
        <w:t>ADABIYOTLAR RO‘YXATI</w:t>
      </w:r>
    </w:p>
    <w:p w14:paraId="7C05BD7E">
      <w:pPr>
        <w:pStyle w:val="10"/>
        <w:numPr>
          <w:ilvl w:val="0"/>
          <w:numId w:val="3"/>
        </w:numPr>
        <w:tabs>
          <w:tab w:val="left" w:pos="993"/>
        </w:tabs>
        <w:spacing w:before="0" w:beforeAutospacing="0" w:after="0" w:afterAutospacing="0"/>
        <w:ind w:left="0" w:firstLine="567"/>
        <w:jc w:val="both"/>
        <w:rPr>
          <w:sz w:val="22"/>
          <w:szCs w:val="22"/>
          <w:lang w:val="en-US"/>
        </w:rPr>
      </w:pPr>
      <w:r>
        <w:rPr>
          <w:rFonts w:eastAsia="Calibri"/>
          <w:color w:val="000000"/>
          <w:sz w:val="22"/>
          <w:szCs w:val="22"/>
          <w:lang w:val="en-US"/>
        </w:rPr>
        <w:t>Abjalova M., Gulomova N. Author’s Corpus of Alisher Navoi and its Semantic Database. // IEEE – UBMK – 2022: 7th International Conference on Computer Science and Engineering</w:t>
      </w:r>
      <w:r>
        <w:rPr>
          <w:rFonts w:eastAsia="Calibri"/>
          <w:bCs/>
          <w:color w:val="000000"/>
          <w:sz w:val="22"/>
          <w:szCs w:val="22"/>
          <w:lang w:val="en-US"/>
        </w:rPr>
        <w:t xml:space="preserve">. </w:t>
      </w:r>
      <w:r>
        <w:rPr>
          <w:rFonts w:eastAsia="Calibri"/>
          <w:color w:val="000000"/>
          <w:sz w:val="22"/>
          <w:szCs w:val="22"/>
          <w:lang w:val="en-US"/>
        </w:rPr>
        <w:t>24-26 September 2022.</w:t>
      </w:r>
      <w:r>
        <w:rPr>
          <w:rFonts w:eastAsia="Calibri"/>
          <w:bCs/>
          <w:color w:val="000000"/>
          <w:sz w:val="22"/>
          <w:szCs w:val="22"/>
          <w:lang w:val="en-US"/>
        </w:rPr>
        <w:t xml:space="preserve"> – </w:t>
      </w:r>
      <w:r>
        <w:rPr>
          <w:rFonts w:eastAsia="Calibri"/>
          <w:color w:val="333333"/>
          <w:sz w:val="22"/>
          <w:szCs w:val="22"/>
          <w:shd w:val="clear" w:color="auto" w:fill="FFFFFF"/>
          <w:lang w:val="en-US"/>
        </w:rPr>
        <w:t>Diyarbakir, Turkey.</w:t>
      </w:r>
      <w:r>
        <w:rPr>
          <w:rFonts w:eastAsia="Calibri"/>
          <w:bCs/>
          <w:color w:val="000000"/>
          <w:sz w:val="22"/>
          <w:szCs w:val="22"/>
          <w:lang w:val="en-US"/>
        </w:rPr>
        <w:t xml:space="preserve"> </w:t>
      </w:r>
      <w:r>
        <w:rPr>
          <w:rFonts w:eastAsia="Calibri"/>
          <w:sz w:val="22"/>
          <w:szCs w:val="22"/>
          <w:lang w:val="en-US"/>
        </w:rPr>
        <w:t xml:space="preserve">– pp. 182-187. Impakt Factor 5.5. </w:t>
      </w:r>
      <w:r>
        <w:rPr>
          <w:rFonts w:eastAsia="Calibri"/>
          <w:color w:val="333333"/>
          <w:sz w:val="22"/>
          <w:szCs w:val="22"/>
          <w:lang w:val="en-US"/>
        </w:rPr>
        <w:t>DOI:</w:t>
      </w:r>
      <w:r>
        <w:rPr>
          <w:rFonts w:eastAsia="Calibri"/>
          <w:bCs/>
          <w:color w:val="333333"/>
          <w:sz w:val="22"/>
          <w:szCs w:val="22"/>
          <w:lang w:val="en-US"/>
        </w:rPr>
        <w:t xml:space="preserve"> </w:t>
      </w:r>
      <w:r>
        <w:fldChar w:fldCharType="begin"/>
      </w:r>
      <w:r>
        <w:instrText xml:space="preserve"> HYPERLINK "https://doi.org/10.1109/UBMK55850.2022.9919546" \t "_blank" </w:instrText>
      </w:r>
      <w:r>
        <w:fldChar w:fldCharType="separate"/>
      </w:r>
      <w:r>
        <w:rPr>
          <w:rFonts w:eastAsia="Calibri"/>
          <w:color w:val="006699"/>
          <w:sz w:val="22"/>
          <w:szCs w:val="22"/>
          <w:u w:val="single"/>
          <w:shd w:val="clear" w:color="auto" w:fill="FFFFFF"/>
          <w:lang w:val="en-US"/>
        </w:rPr>
        <w:t>10.1109/UBMK55850.2022.9919546</w:t>
      </w:r>
      <w:r>
        <w:rPr>
          <w:rFonts w:eastAsia="Calibri"/>
          <w:color w:val="006699"/>
          <w:sz w:val="22"/>
          <w:szCs w:val="22"/>
          <w:u w:val="single"/>
          <w:shd w:val="clear" w:color="auto" w:fill="FFFFFF"/>
          <w:lang w:val="en-US"/>
        </w:rPr>
        <w:fldChar w:fldCharType="end"/>
      </w:r>
    </w:p>
    <w:p w14:paraId="2EE65772">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Ablakulova G. </w:t>
      </w:r>
      <w:r>
        <w:rPr>
          <w:i/>
          <w:sz w:val="22"/>
          <w:szCs w:val="22"/>
          <w:lang w:val="en-US"/>
        </w:rPr>
        <w:t>“</w:t>
      </w:r>
      <w:r>
        <w:rPr>
          <w:rStyle w:val="6"/>
          <w:i w:val="0"/>
          <w:sz w:val="22"/>
          <w:szCs w:val="22"/>
          <w:lang w:val="en-US"/>
        </w:rPr>
        <w:t>Shaytanat” –</w:t>
      </w:r>
      <w:r>
        <w:rPr>
          <w:i/>
          <w:sz w:val="22"/>
          <w:szCs w:val="22"/>
          <w:lang w:val="en-US"/>
        </w:rPr>
        <w:t xml:space="preserve"> yoshlar uchun ogohlantiruvchi asar // </w:t>
      </w:r>
      <w:r>
        <w:rPr>
          <w:rStyle w:val="6"/>
          <w:i w:val="0"/>
          <w:sz w:val="22"/>
          <w:szCs w:val="22"/>
          <w:lang w:val="en-US"/>
        </w:rPr>
        <w:t>Akademicheskiye issledovaniya v sovremennoy nauke</w:t>
      </w:r>
      <w:r>
        <w:rPr>
          <w:i/>
          <w:sz w:val="22"/>
          <w:szCs w:val="22"/>
          <w:lang w:val="en-US"/>
        </w:rPr>
        <w:t>,</w:t>
      </w:r>
      <w:r>
        <w:rPr>
          <w:sz w:val="22"/>
          <w:szCs w:val="22"/>
          <w:lang w:val="en-US"/>
        </w:rPr>
        <w:t xml:space="preserve"> 2025. – № 4 (71). – P.110-1133.</w:t>
      </w:r>
    </w:p>
    <w:p w14:paraId="6AC578D7">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Fairclough N. </w:t>
      </w:r>
      <w:r>
        <w:rPr>
          <w:rStyle w:val="6"/>
          <w:i w:val="0"/>
          <w:sz w:val="22"/>
          <w:szCs w:val="22"/>
          <w:lang w:val="en-US"/>
        </w:rPr>
        <w:t>Critical Discourse Analysis</w:t>
      </w:r>
      <w:r>
        <w:rPr>
          <w:sz w:val="22"/>
          <w:szCs w:val="22"/>
          <w:lang w:val="en-US"/>
        </w:rPr>
        <w:t>. –  London: Longman, 1995. – P.1-20.</w:t>
      </w:r>
    </w:p>
    <w:p w14:paraId="26D06376">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Foucault M. </w:t>
      </w:r>
      <w:r>
        <w:rPr>
          <w:rStyle w:val="6"/>
          <w:i w:val="0"/>
          <w:sz w:val="22"/>
          <w:szCs w:val="22"/>
          <w:lang w:val="en-US"/>
        </w:rPr>
        <w:t>The Archaeology of Knowledge</w:t>
      </w:r>
      <w:r>
        <w:rPr>
          <w:sz w:val="22"/>
          <w:szCs w:val="22"/>
          <w:lang w:val="en-US"/>
        </w:rPr>
        <w:t>. – London: Routledge, 1972. – P.55-60.</w:t>
      </w:r>
    </w:p>
    <w:p w14:paraId="00944C03">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Freud S. </w:t>
      </w:r>
      <w:r>
        <w:rPr>
          <w:rStyle w:val="6"/>
          <w:i w:val="0"/>
          <w:sz w:val="22"/>
          <w:szCs w:val="22"/>
          <w:lang w:val="en-US"/>
        </w:rPr>
        <w:t>The Ego and the Id</w:t>
      </w:r>
      <w:r>
        <w:rPr>
          <w:sz w:val="22"/>
          <w:szCs w:val="22"/>
          <w:lang w:val="en-US"/>
        </w:rPr>
        <w:t>. – London: Hogarth Press, 1927. – P.30-45.</w:t>
      </w:r>
    </w:p>
    <w:p w14:paraId="1939F81D">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Frye N. </w:t>
      </w:r>
      <w:r>
        <w:rPr>
          <w:rStyle w:val="6"/>
          <w:i w:val="0"/>
          <w:sz w:val="22"/>
          <w:szCs w:val="22"/>
          <w:lang w:val="en-US"/>
        </w:rPr>
        <w:t>Anatomy of Criticism: Four Essays</w:t>
      </w:r>
      <w:r>
        <w:rPr>
          <w:sz w:val="22"/>
          <w:szCs w:val="22"/>
          <w:lang w:val="en-US"/>
        </w:rPr>
        <w:t>. Princeton, NJ: Princeton University Press, 1957. – P. 14.</w:t>
      </w:r>
    </w:p>
    <w:p w14:paraId="73CECBB5">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Giddens A. </w:t>
      </w:r>
      <w:r>
        <w:rPr>
          <w:rStyle w:val="6"/>
          <w:i w:val="0"/>
          <w:sz w:val="22"/>
          <w:szCs w:val="22"/>
          <w:lang w:val="en-US"/>
        </w:rPr>
        <w:t>Modernity and Self-Identity</w:t>
      </w:r>
      <w:r>
        <w:rPr>
          <w:sz w:val="22"/>
          <w:szCs w:val="22"/>
          <w:lang w:val="en-US"/>
        </w:rPr>
        <w:t>. – Stanford: Stanford University Press, 1991. – P.1-15.</w:t>
      </w:r>
    </w:p>
    <w:p w14:paraId="37772907">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Jung C.G. </w:t>
      </w:r>
      <w:r>
        <w:rPr>
          <w:rStyle w:val="6"/>
          <w:i w:val="0"/>
          <w:sz w:val="22"/>
          <w:szCs w:val="22"/>
          <w:lang w:val="en-US"/>
        </w:rPr>
        <w:t>The Archetypes and the Collective Unconscious</w:t>
      </w:r>
      <w:r>
        <w:rPr>
          <w:sz w:val="22"/>
          <w:szCs w:val="22"/>
          <w:lang w:val="en-US"/>
        </w:rPr>
        <w:t>. – Princeton: Princeton University Press, 1969. – P.87-95.</w:t>
      </w:r>
    </w:p>
    <w:p w14:paraId="1433FC9A">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Lacan J. </w:t>
      </w:r>
      <w:r>
        <w:rPr>
          <w:rStyle w:val="6"/>
          <w:i w:val="0"/>
          <w:sz w:val="22"/>
          <w:szCs w:val="22"/>
          <w:lang w:val="en-US"/>
        </w:rPr>
        <w:t>Écrits: A Selection</w:t>
      </w:r>
      <w:r>
        <w:rPr>
          <w:i/>
          <w:sz w:val="22"/>
          <w:szCs w:val="22"/>
          <w:lang w:val="en-US"/>
        </w:rPr>
        <w:t xml:space="preserve">. – </w:t>
      </w:r>
      <w:r>
        <w:rPr>
          <w:sz w:val="22"/>
          <w:szCs w:val="22"/>
          <w:lang w:val="en-US"/>
        </w:rPr>
        <w:t>New York</w:t>
      </w:r>
      <w:r>
        <w:rPr>
          <w:i/>
          <w:sz w:val="22"/>
          <w:szCs w:val="22"/>
          <w:lang w:val="en-US"/>
        </w:rPr>
        <w:t xml:space="preserve">: </w:t>
      </w:r>
      <w:r>
        <w:rPr>
          <w:sz w:val="22"/>
          <w:szCs w:val="22"/>
          <w:lang w:val="en-US"/>
        </w:rPr>
        <w:t xml:space="preserve">W.W.Norton, 1977. – P.67-75. </w:t>
      </w:r>
    </w:p>
    <w:p w14:paraId="3271F467">
      <w:pPr>
        <w:pStyle w:val="10"/>
        <w:numPr>
          <w:ilvl w:val="0"/>
          <w:numId w:val="3"/>
        </w:numPr>
        <w:tabs>
          <w:tab w:val="left" w:pos="993"/>
        </w:tabs>
        <w:spacing w:before="0" w:beforeAutospacing="0" w:after="0" w:afterAutospacing="0"/>
        <w:ind w:left="0" w:firstLine="567"/>
        <w:jc w:val="both"/>
        <w:rPr>
          <w:sz w:val="22"/>
          <w:szCs w:val="22"/>
          <w:lang w:val="en-US"/>
        </w:rPr>
      </w:pPr>
      <w:r>
        <w:rPr>
          <w:sz w:val="22"/>
          <w:szCs w:val="22"/>
          <w:lang w:val="en-US"/>
        </w:rPr>
        <w:t xml:space="preserve">Ozotov A. G‘ulomova N. </w:t>
      </w:r>
      <w:r>
        <w:fldChar w:fldCharType="begin"/>
      </w:r>
      <w:r>
        <w:instrText xml:space="preserve"> HYPERLINK "http://unipublish.uz/index.php/fivti/article/download/107/97" </w:instrText>
      </w:r>
      <w:r>
        <w:fldChar w:fldCharType="separate"/>
      </w:r>
      <w:r>
        <w:rPr>
          <w:rStyle w:val="9"/>
          <w:color w:val="auto"/>
          <w:sz w:val="22"/>
          <w:szCs w:val="22"/>
          <w:u w:val="none"/>
          <w:shd w:val="clear" w:color="auto" w:fill="FFFFFF"/>
          <w:lang w:val="en-US"/>
        </w:rPr>
        <w:t xml:space="preserve">Ingliz va o‘zbek tillari ota diskursida nutqiy etiketlarning lingvokulturologik xususiyatlari. </w:t>
      </w:r>
      <w:r>
        <w:rPr>
          <w:rStyle w:val="9"/>
          <w:color w:val="auto"/>
          <w:sz w:val="22"/>
          <w:szCs w:val="22"/>
          <w:u w:val="none"/>
          <w:shd w:val="clear" w:color="auto" w:fill="FFFFFF"/>
          <w:lang w:val="en-US"/>
        </w:rPr>
        <w:fldChar w:fldCharType="end"/>
      </w:r>
      <w:r>
        <w:rPr>
          <w:color w:val="222222"/>
          <w:sz w:val="22"/>
          <w:szCs w:val="22"/>
          <w:shd w:val="clear" w:color="auto" w:fill="FFFFFF"/>
          <w:lang w:val="en-US"/>
        </w:rPr>
        <w:t xml:space="preserve">//Taraqqiyot Spektri. – 2025. – </w:t>
      </w:r>
      <w:r>
        <w:rPr>
          <w:color w:val="222222"/>
          <w:sz w:val="22"/>
          <w:szCs w:val="22"/>
          <w:shd w:val="clear" w:color="auto" w:fill="FFFFFF"/>
        </w:rPr>
        <w:t>Т</w:t>
      </w:r>
      <w:r>
        <w:rPr>
          <w:color w:val="222222"/>
          <w:sz w:val="22"/>
          <w:szCs w:val="22"/>
          <w:shd w:val="clear" w:color="auto" w:fill="FFFFFF"/>
          <w:lang w:val="en-US"/>
        </w:rPr>
        <w:t xml:space="preserve">. 1. – №. 11. – </w:t>
      </w:r>
      <w:r>
        <w:rPr>
          <w:color w:val="222222"/>
          <w:sz w:val="22"/>
          <w:szCs w:val="22"/>
          <w:shd w:val="clear" w:color="auto" w:fill="FFFFFF"/>
        </w:rPr>
        <w:t>С</w:t>
      </w:r>
      <w:r>
        <w:rPr>
          <w:color w:val="222222"/>
          <w:sz w:val="22"/>
          <w:szCs w:val="22"/>
          <w:shd w:val="clear" w:color="auto" w:fill="FFFFFF"/>
          <w:lang w:val="en-US"/>
        </w:rPr>
        <w:t>.1-9.</w:t>
      </w:r>
    </w:p>
    <w:p w14:paraId="25C9648E">
      <w:pPr>
        <w:pStyle w:val="10"/>
        <w:numPr>
          <w:ilvl w:val="0"/>
          <w:numId w:val="3"/>
        </w:numPr>
        <w:tabs>
          <w:tab w:val="left" w:pos="993"/>
        </w:tabs>
        <w:spacing w:before="0" w:beforeAutospacing="0" w:after="0" w:afterAutospacing="0"/>
        <w:ind w:left="0" w:firstLine="567"/>
        <w:jc w:val="both"/>
        <w:rPr>
          <w:sz w:val="22"/>
          <w:szCs w:val="22"/>
          <w:lang w:val="en-US"/>
        </w:rPr>
      </w:pPr>
      <w:r>
        <w:rPr>
          <w:color w:val="212529"/>
          <w:sz w:val="22"/>
          <w:szCs w:val="22"/>
          <w:lang w:val="en-US"/>
        </w:rPr>
        <w:t xml:space="preserve">Sirojiddinov Sh., Abjalova M., Normamatov S., Gulomova N. “The Problem of the Archaic Words’ Semantic Description in the Alisher Navoi Authorship Corpus,” </w:t>
      </w:r>
      <w:r>
        <w:rPr>
          <w:rFonts w:eastAsia="Calibri"/>
          <w:color w:val="000000"/>
          <w:sz w:val="22"/>
          <w:szCs w:val="22"/>
          <w:lang w:val="en-US"/>
        </w:rPr>
        <w:t>9th International Conference on Computer Science and Engineering (UBMK), 26-28 october, 2024. Antalya, Turkiye, – PP. 48-53.</w:t>
      </w:r>
    </w:p>
    <w:p w14:paraId="79E4BEFF">
      <w:pPr>
        <w:pStyle w:val="10"/>
        <w:numPr>
          <w:ilvl w:val="0"/>
          <w:numId w:val="3"/>
        </w:numPr>
        <w:tabs>
          <w:tab w:val="left" w:pos="993"/>
        </w:tabs>
        <w:spacing w:before="0" w:beforeAutospacing="0" w:after="0" w:afterAutospacing="0"/>
        <w:ind w:left="0" w:firstLine="567"/>
        <w:jc w:val="both"/>
        <w:rPr>
          <w:sz w:val="22"/>
          <w:szCs w:val="22"/>
        </w:rPr>
      </w:pPr>
      <w:r>
        <w:rPr>
          <w:sz w:val="22"/>
          <w:szCs w:val="22"/>
        </w:rPr>
        <w:t xml:space="preserve">Бахтин М. </w:t>
      </w:r>
      <w:r>
        <w:rPr>
          <w:rStyle w:val="6"/>
          <w:i w:val="0"/>
          <w:sz w:val="22"/>
          <w:szCs w:val="22"/>
        </w:rPr>
        <w:t>Проблемй поетики Достоевского</w:t>
      </w:r>
      <w:r>
        <w:rPr>
          <w:sz w:val="22"/>
          <w:szCs w:val="22"/>
        </w:rPr>
        <w:t>. – Москва: Искусство, 1979. – С.33-40.</w:t>
      </w:r>
    </w:p>
    <w:sectPr>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DengXian">
    <w:altName w:val="Verdana"/>
    <w:panose1 w:val="02010600030101010101"/>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CF5451"/>
    <w:multiLevelType w:val="multilevel"/>
    <w:tmpl w:val="19CF5451"/>
    <w:lvl w:ilvl="0" w:tentative="0">
      <w:start w:val="1"/>
      <w:numFmt w:val="decimal"/>
      <w:lvlText w:val="%1."/>
      <w:lvlJc w:val="left"/>
      <w:pPr>
        <w:ind w:left="644" w:hanging="360"/>
      </w:pPr>
      <w:rPr>
        <w:rFonts w:hint="default"/>
        <w:b/>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5DA66EB7"/>
    <w:multiLevelType w:val="multilevel"/>
    <w:tmpl w:val="5DA66E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F4A289D"/>
    <w:multiLevelType w:val="multilevel"/>
    <w:tmpl w:val="6F4A289D"/>
    <w:lvl w:ilvl="0" w:tentative="0">
      <w:start w:val="1"/>
      <w:numFmt w:val="decimal"/>
      <w:lvlText w:val="%1."/>
      <w:lvlJc w:val="left"/>
      <w:pPr>
        <w:tabs>
          <w:tab w:val="left" w:pos="720"/>
        </w:tabs>
        <w:ind w:left="720" w:hanging="360"/>
      </w:pPr>
    </w:lvl>
    <w:lvl w:ilvl="1" w:tentative="0">
      <w:start w:val="4"/>
      <w:numFmt w:val="bullet"/>
      <w:lvlText w:val="-"/>
      <w:lvlJc w:val="left"/>
      <w:pPr>
        <w:ind w:left="1440" w:hanging="360"/>
      </w:pPr>
      <w:rPr>
        <w:rFonts w:hint="default" w:ascii="Times New Roman" w:hAnsi="Times New Roman" w:eastAsia="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hideSpellingErrors/>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3E65"/>
    <w:rsid w:val="0001144A"/>
    <w:rsid w:val="000C0277"/>
    <w:rsid w:val="00155DDA"/>
    <w:rsid w:val="0015680B"/>
    <w:rsid w:val="001A58FE"/>
    <w:rsid w:val="001B13E4"/>
    <w:rsid w:val="001B7BA1"/>
    <w:rsid w:val="001C26DD"/>
    <w:rsid w:val="001F67A5"/>
    <w:rsid w:val="00220853"/>
    <w:rsid w:val="00233F0D"/>
    <w:rsid w:val="00287A45"/>
    <w:rsid w:val="00296309"/>
    <w:rsid w:val="002978BE"/>
    <w:rsid w:val="00340A37"/>
    <w:rsid w:val="00367F54"/>
    <w:rsid w:val="003D793A"/>
    <w:rsid w:val="0041176E"/>
    <w:rsid w:val="004376F4"/>
    <w:rsid w:val="00447311"/>
    <w:rsid w:val="00470F88"/>
    <w:rsid w:val="00481A71"/>
    <w:rsid w:val="004B45C8"/>
    <w:rsid w:val="004B4CED"/>
    <w:rsid w:val="005277FA"/>
    <w:rsid w:val="00571297"/>
    <w:rsid w:val="005A2936"/>
    <w:rsid w:val="005A7E8C"/>
    <w:rsid w:val="005C051C"/>
    <w:rsid w:val="00726FC4"/>
    <w:rsid w:val="007329AC"/>
    <w:rsid w:val="00781C83"/>
    <w:rsid w:val="00792C76"/>
    <w:rsid w:val="00796EA4"/>
    <w:rsid w:val="007B19B2"/>
    <w:rsid w:val="007B5E7C"/>
    <w:rsid w:val="007F05CD"/>
    <w:rsid w:val="00814DC6"/>
    <w:rsid w:val="00825F76"/>
    <w:rsid w:val="008E3BE9"/>
    <w:rsid w:val="008E58BC"/>
    <w:rsid w:val="0090213D"/>
    <w:rsid w:val="00913AFF"/>
    <w:rsid w:val="00934A97"/>
    <w:rsid w:val="00973E3D"/>
    <w:rsid w:val="00986E8C"/>
    <w:rsid w:val="009920D8"/>
    <w:rsid w:val="009A3B85"/>
    <w:rsid w:val="009C34EE"/>
    <w:rsid w:val="009D27B7"/>
    <w:rsid w:val="00A27420"/>
    <w:rsid w:val="00A5535C"/>
    <w:rsid w:val="00A64B06"/>
    <w:rsid w:val="00A94852"/>
    <w:rsid w:val="00B04EF8"/>
    <w:rsid w:val="00B150D1"/>
    <w:rsid w:val="00B31CE6"/>
    <w:rsid w:val="00B47040"/>
    <w:rsid w:val="00B56ADD"/>
    <w:rsid w:val="00B609D0"/>
    <w:rsid w:val="00BC2D35"/>
    <w:rsid w:val="00BE1FF9"/>
    <w:rsid w:val="00C177B0"/>
    <w:rsid w:val="00C30645"/>
    <w:rsid w:val="00C30949"/>
    <w:rsid w:val="00C4141C"/>
    <w:rsid w:val="00C4761C"/>
    <w:rsid w:val="00C53F4B"/>
    <w:rsid w:val="00C7266C"/>
    <w:rsid w:val="00C93E65"/>
    <w:rsid w:val="00CB2E06"/>
    <w:rsid w:val="00CF1586"/>
    <w:rsid w:val="00CF2AE5"/>
    <w:rsid w:val="00CF6410"/>
    <w:rsid w:val="00D13416"/>
    <w:rsid w:val="00DB07B1"/>
    <w:rsid w:val="00DF184F"/>
    <w:rsid w:val="00DF66CB"/>
    <w:rsid w:val="00E60807"/>
    <w:rsid w:val="00E83924"/>
    <w:rsid w:val="00E962C6"/>
    <w:rsid w:val="00EE5DE3"/>
    <w:rsid w:val="00F00A79"/>
    <w:rsid w:val="00F67746"/>
    <w:rsid w:val="00FC6938"/>
    <w:rsid w:val="00FD3A2A"/>
    <w:rsid w:val="2B8236FF"/>
    <w:rsid w:val="7813790D"/>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3">
    <w:name w:val="heading 3"/>
    <w:basedOn w:val="1"/>
    <w:next w:val="1"/>
    <w:link w:val="14"/>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footnote reference"/>
    <w:basedOn w:val="4"/>
    <w:semiHidden/>
    <w:unhideWhenUsed/>
    <w:qFormat/>
    <w:uiPriority w:val="99"/>
    <w:rPr>
      <w:vertAlign w:val="superscript"/>
    </w:rPr>
  </w:style>
  <w:style w:type="paragraph" w:styleId="8">
    <w:name w:val="footnote text"/>
    <w:basedOn w:val="1"/>
    <w:link w:val="16"/>
    <w:unhideWhenUsed/>
    <w:qFormat/>
    <w:uiPriority w:val="99"/>
    <w:pPr>
      <w:spacing w:after="0" w:line="240" w:lineRule="auto"/>
    </w:pPr>
    <w:rPr>
      <w:sz w:val="20"/>
      <w:szCs w:val="20"/>
    </w:rPr>
  </w:style>
  <w:style w:type="character" w:styleId="9">
    <w:name w:val="Hyperlink"/>
    <w:basedOn w:val="4"/>
    <w:semiHidden/>
    <w:unhideWhenUsed/>
    <w:qFormat/>
    <w:uiPriority w:val="99"/>
    <w:rPr>
      <w:color w:val="0000FF"/>
      <w:u w:val="single"/>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character" w:styleId="11">
    <w:name w:val="Strong"/>
    <w:basedOn w:val="4"/>
    <w:qFormat/>
    <w:uiPriority w:val="22"/>
    <w:rPr>
      <w:b/>
      <w:bCs/>
    </w:rPr>
  </w:style>
  <w:style w:type="character" w:customStyle="1" w:styleId="12">
    <w:name w:val="Заголовок 2 Знак"/>
    <w:basedOn w:val="4"/>
    <w:link w:val="2"/>
    <w:qFormat/>
    <w:uiPriority w:val="9"/>
    <w:rPr>
      <w:rFonts w:ascii="Times New Roman" w:hAnsi="Times New Roman" w:eastAsia="Times New Roman" w:cs="Times New Roman"/>
      <w:b/>
      <w:bCs/>
      <w:sz w:val="36"/>
      <w:szCs w:val="36"/>
      <w:lang w:eastAsia="ru-RU"/>
    </w:rPr>
  </w:style>
  <w:style w:type="paragraph" w:styleId="13">
    <w:name w:val="List Paragraph"/>
    <w:basedOn w:val="1"/>
    <w:qFormat/>
    <w:uiPriority w:val="99"/>
    <w:pPr>
      <w:ind w:left="720"/>
      <w:contextualSpacing/>
    </w:pPr>
  </w:style>
  <w:style w:type="character" w:customStyle="1" w:styleId="14">
    <w:name w:val="Заголовок 3 Знак"/>
    <w:basedOn w:val="4"/>
    <w:link w:val="3"/>
    <w:semiHidden/>
    <w:qFormat/>
    <w:uiPriority w:val="9"/>
    <w:rPr>
      <w:rFonts w:asciiTheme="majorHAnsi" w:hAnsiTheme="majorHAnsi" w:eastAsiaTheme="majorEastAsia" w:cstheme="majorBidi"/>
      <w:color w:val="1F4E79" w:themeColor="accent1" w:themeShade="80"/>
      <w:sz w:val="24"/>
      <w:szCs w:val="24"/>
    </w:rPr>
  </w:style>
  <w:style w:type="paragraph" w:styleId="15">
    <w:name w:val="No Spacing"/>
    <w:qFormat/>
    <w:uiPriority w:val="1"/>
    <w:pPr>
      <w:spacing w:after="0" w:line="240" w:lineRule="auto"/>
    </w:pPr>
    <w:rPr>
      <w:rFonts w:asciiTheme="minorHAnsi" w:hAnsiTheme="minorHAnsi" w:eastAsiaTheme="minorHAnsi" w:cstheme="minorBidi"/>
      <w:sz w:val="22"/>
      <w:szCs w:val="22"/>
      <w:lang w:val="ru-RU" w:eastAsia="en-US" w:bidi="ar-SA"/>
    </w:rPr>
  </w:style>
  <w:style w:type="character" w:customStyle="1" w:styleId="16">
    <w:name w:val="Текст сноски Знак"/>
    <w:basedOn w:val="4"/>
    <w:link w:val="8"/>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DC48B-121E-4E8E-84BA-059F6F434DBA}">
  <ds:schemaRefs/>
</ds:datastoreItem>
</file>

<file path=docProps/app.xml><?xml version="1.0" encoding="utf-8"?>
<Properties xmlns="http://schemas.openxmlformats.org/officeDocument/2006/extended-properties" xmlns:vt="http://schemas.openxmlformats.org/officeDocument/2006/docPropsVTypes">
  <Template>Normal</Template>
  <Pages>5</Pages>
  <Words>2737</Words>
  <Characters>20049</Characters>
  <Lines>162</Lines>
  <Paragraphs>45</Paragraphs>
  <TotalTime>82</TotalTime>
  <ScaleCrop>false</ScaleCrop>
  <LinksUpToDate>false</LinksUpToDate>
  <CharactersWithSpaces>22735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2026-02-17T08:52:00Z</dcterms:created>
  <dc:creator>Hi-Tech</dc:creator>
  <cp:lastModifiedBy>Akbar Ozodov</cp:lastModifiedBy>
  <dcterms:modified xsi:type="dcterms:W3CDTF">2026-04-14T07:08:06Z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eyJoZGlkIjoiYmU5ZDY4MDZjZjIwZmNjNjc2ZWUxM2NhNmU3NjQ3MWMiLCJ1c2VySWQiOiI4ODEzNDc3OTU1NjA0In0=</vt:lpwstr>
  </property>
  <property fmtid="{D5CDD505-2E9C-101B-9397-08002B2CF9AE}" pid="3" name="KSOProductBuildVer">
    <vt:lpwstr>1033-12.1.0.25242</vt:lpwstr>
  </property>
  <property fmtid="{D5CDD505-2E9C-101B-9397-08002B2CF9AE}" pid="4" name="ICV">
    <vt:lpwstr>62E9C227FC98411E84F079D9B49D4526_13</vt:lpwstr>
  </property>
</Properties>
</file>