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06" w:rsidRDefault="00430B06" w:rsidP="0020408D">
      <w:pPr>
        <w:spacing w:after="0"/>
        <w:jc w:val="center"/>
        <w:rPr>
          <w:b/>
        </w:rPr>
      </w:pPr>
    </w:p>
    <w:p w:rsidR="00430B06" w:rsidRDefault="00430B06" w:rsidP="0020408D">
      <w:pPr>
        <w:spacing w:after="0"/>
        <w:jc w:val="center"/>
        <w:rPr>
          <w:b/>
        </w:rPr>
      </w:pPr>
    </w:p>
    <w:p w:rsidR="005B71D8" w:rsidRPr="00DA6817" w:rsidRDefault="005B71D8" w:rsidP="0020408D">
      <w:pPr>
        <w:spacing w:after="0"/>
        <w:jc w:val="center"/>
        <w:rPr>
          <w:b/>
        </w:rPr>
      </w:pPr>
      <w:r w:rsidRPr="00DA6817">
        <w:rPr>
          <w:b/>
        </w:rPr>
        <w:t>Tutorial</w:t>
      </w:r>
      <w:r w:rsidR="00DA6817">
        <w:rPr>
          <w:b/>
        </w:rPr>
        <w:t xml:space="preserve"> 13</w:t>
      </w:r>
    </w:p>
    <w:p w:rsidR="005B71D8" w:rsidRPr="00DA6817" w:rsidRDefault="005B71D8" w:rsidP="0020408D">
      <w:pPr>
        <w:spacing w:after="0"/>
        <w:jc w:val="center"/>
        <w:rPr>
          <w:b/>
        </w:rPr>
      </w:pPr>
      <w:r w:rsidRPr="00DA6817">
        <w:rPr>
          <w:b/>
        </w:rPr>
        <w:t>National Income Accounting</w:t>
      </w:r>
    </w:p>
    <w:p w:rsidR="005B71D8" w:rsidRDefault="005B71D8" w:rsidP="005B6E27">
      <w:pPr>
        <w:spacing w:after="0"/>
        <w:jc w:val="center"/>
      </w:pPr>
    </w:p>
    <w:p w:rsidR="005B71D8" w:rsidRDefault="005B71D8" w:rsidP="005B6E27">
      <w:pPr>
        <w:spacing w:after="0"/>
        <w:jc w:val="both"/>
      </w:pPr>
      <w:r>
        <w:t xml:space="preserve">Q1. GNP at market price is Rs. 2000 </w:t>
      </w:r>
      <w:proofErr w:type="spellStart"/>
      <w:r>
        <w:t>crores</w:t>
      </w:r>
      <w:proofErr w:type="spellEnd"/>
      <w:r>
        <w:t xml:space="preserve"> and the capital stock is worth Rs. 4000 </w:t>
      </w:r>
      <w:proofErr w:type="spellStart"/>
      <w:r>
        <w:t>crores</w:t>
      </w:r>
      <w:proofErr w:type="spellEnd"/>
      <w:r>
        <w:t>. The capital stock depreci</w:t>
      </w:r>
      <w:r w:rsidR="007041DC">
        <w:t>a</w:t>
      </w:r>
      <w:r>
        <w:t xml:space="preserve">tes at 12.5% per annum. Factor income from abroad is 400 </w:t>
      </w:r>
      <w:proofErr w:type="spellStart"/>
      <w:r>
        <w:t>crores</w:t>
      </w:r>
      <w:proofErr w:type="spellEnd"/>
      <w:r>
        <w:t xml:space="preserve"> and factor income to abroad </w:t>
      </w:r>
      <w:r w:rsidR="007041DC">
        <w:t>be</w:t>
      </w:r>
      <w:r>
        <w:t xml:space="preserve"> Rs. 600 </w:t>
      </w:r>
      <w:proofErr w:type="spellStart"/>
      <w:r>
        <w:t>crores</w:t>
      </w:r>
      <w:proofErr w:type="spellEnd"/>
      <w:r>
        <w:t xml:space="preserve">. Indirect taxes amount to Rs. 200 </w:t>
      </w:r>
      <w:proofErr w:type="spellStart"/>
      <w:r>
        <w:t>crores</w:t>
      </w:r>
      <w:proofErr w:type="spellEnd"/>
      <w:r>
        <w:t xml:space="preserve"> and subsidies are Rs. 30 </w:t>
      </w:r>
      <w:proofErr w:type="spellStart"/>
      <w:r>
        <w:t>crores</w:t>
      </w:r>
      <w:proofErr w:type="spellEnd"/>
      <w:r>
        <w:t>. Find out:</w:t>
      </w:r>
    </w:p>
    <w:p w:rsidR="005B71D8" w:rsidRDefault="005B71D8" w:rsidP="005B6E27">
      <w:pPr>
        <w:spacing w:after="0"/>
        <w:jc w:val="both"/>
      </w:pPr>
      <w:r>
        <w:t>a. NDP at Market price (</w:t>
      </w:r>
      <w:proofErr w:type="spellStart"/>
      <w:r w:rsidR="007041DC">
        <w:t>Ans</w:t>
      </w:r>
      <w:proofErr w:type="spellEnd"/>
      <w:r w:rsidR="007041DC">
        <w:t xml:space="preserve">: </w:t>
      </w:r>
      <w:r>
        <w:t>1700 Cr.)</w:t>
      </w:r>
    </w:p>
    <w:p w:rsidR="005B71D8" w:rsidRDefault="005B71D8" w:rsidP="005B6E27">
      <w:pPr>
        <w:spacing w:after="0"/>
        <w:jc w:val="both"/>
      </w:pPr>
      <w:r>
        <w:t xml:space="preserve">b. NDP at Factor </w:t>
      </w:r>
      <w:proofErr w:type="gramStart"/>
      <w:r>
        <w:t>cost  (</w:t>
      </w:r>
      <w:proofErr w:type="spellStart"/>
      <w:proofErr w:type="gramEnd"/>
      <w:r w:rsidR="007041DC">
        <w:t>Ans</w:t>
      </w:r>
      <w:proofErr w:type="spellEnd"/>
      <w:r w:rsidR="007041DC">
        <w:t xml:space="preserve">: </w:t>
      </w:r>
      <w:r>
        <w:t>1530 Cr.)</w:t>
      </w:r>
    </w:p>
    <w:p w:rsidR="005B71D8" w:rsidRDefault="005B71D8" w:rsidP="005B6E27">
      <w:pPr>
        <w:spacing w:after="0"/>
        <w:jc w:val="both"/>
      </w:pPr>
    </w:p>
    <w:p w:rsidR="005B71D8" w:rsidRDefault="005B71D8" w:rsidP="005B6E27">
      <w:pPr>
        <w:spacing w:after="0"/>
        <w:jc w:val="both"/>
      </w:pPr>
      <w:r>
        <w:t xml:space="preserve">Q2. Based on the following information calculate GNP at market price by Expenditure Method and GDP at market price by Income Method. </w:t>
      </w:r>
      <w:proofErr w:type="gramStart"/>
      <w:r>
        <w:t>(260 cr. &amp; 255 Cr.)</w:t>
      </w:r>
      <w:proofErr w:type="gramEnd"/>
    </w:p>
    <w:tbl>
      <w:tblPr>
        <w:tblW w:w="946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17"/>
        <w:gridCol w:w="6379"/>
        <w:gridCol w:w="2268"/>
      </w:tblGrid>
      <w:tr w:rsidR="005B71D8" w:rsidRPr="005613E9">
        <w:tc>
          <w:tcPr>
            <w:tcW w:w="817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S.N.</w:t>
            </w:r>
          </w:p>
        </w:tc>
        <w:tc>
          <w:tcPr>
            <w:tcW w:w="6379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Items</w:t>
            </w:r>
          </w:p>
        </w:tc>
        <w:tc>
          <w:tcPr>
            <w:tcW w:w="2268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Rs. In million</w:t>
            </w:r>
          </w:p>
        </w:tc>
      </w:tr>
      <w:tr w:rsidR="005B71D8" w:rsidRPr="005613E9">
        <w:tc>
          <w:tcPr>
            <w:tcW w:w="817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1</w:t>
            </w:r>
          </w:p>
        </w:tc>
        <w:tc>
          <w:tcPr>
            <w:tcW w:w="6379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Private  final consumption expenditure</w:t>
            </w:r>
          </w:p>
        </w:tc>
        <w:tc>
          <w:tcPr>
            <w:tcW w:w="2268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200</w:t>
            </w:r>
          </w:p>
        </w:tc>
      </w:tr>
      <w:tr w:rsidR="005B71D8" w:rsidRPr="005613E9">
        <w:tc>
          <w:tcPr>
            <w:tcW w:w="817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2</w:t>
            </w:r>
          </w:p>
        </w:tc>
        <w:tc>
          <w:tcPr>
            <w:tcW w:w="6379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Government  final consumption expenditure</w:t>
            </w:r>
          </w:p>
        </w:tc>
        <w:tc>
          <w:tcPr>
            <w:tcW w:w="2268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20</w:t>
            </w:r>
          </w:p>
        </w:tc>
      </w:tr>
      <w:tr w:rsidR="005B71D8" w:rsidRPr="005613E9">
        <w:tc>
          <w:tcPr>
            <w:tcW w:w="817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3</w:t>
            </w:r>
          </w:p>
        </w:tc>
        <w:tc>
          <w:tcPr>
            <w:tcW w:w="6379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Gross domestic capital formation</w:t>
            </w:r>
          </w:p>
        </w:tc>
        <w:tc>
          <w:tcPr>
            <w:tcW w:w="2268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40</w:t>
            </w:r>
          </w:p>
        </w:tc>
      </w:tr>
      <w:tr w:rsidR="005B71D8" w:rsidRPr="005613E9">
        <w:tc>
          <w:tcPr>
            <w:tcW w:w="817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4</w:t>
            </w:r>
          </w:p>
        </w:tc>
        <w:tc>
          <w:tcPr>
            <w:tcW w:w="6379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Net exports</w:t>
            </w:r>
          </w:p>
        </w:tc>
        <w:tc>
          <w:tcPr>
            <w:tcW w:w="2268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(-)5</w:t>
            </w:r>
          </w:p>
        </w:tc>
      </w:tr>
      <w:tr w:rsidR="005B71D8" w:rsidRPr="005613E9">
        <w:tc>
          <w:tcPr>
            <w:tcW w:w="817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5</w:t>
            </w:r>
          </w:p>
        </w:tc>
        <w:tc>
          <w:tcPr>
            <w:tcW w:w="6379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Wages and salaries</w:t>
            </w:r>
          </w:p>
        </w:tc>
        <w:tc>
          <w:tcPr>
            <w:tcW w:w="2268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165</w:t>
            </w:r>
          </w:p>
        </w:tc>
      </w:tr>
      <w:tr w:rsidR="005B71D8" w:rsidRPr="005613E9">
        <w:tc>
          <w:tcPr>
            <w:tcW w:w="817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6</w:t>
            </w:r>
          </w:p>
        </w:tc>
        <w:tc>
          <w:tcPr>
            <w:tcW w:w="6379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Employer’s contribution to social security schemes</w:t>
            </w:r>
          </w:p>
        </w:tc>
        <w:tc>
          <w:tcPr>
            <w:tcW w:w="2268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10</w:t>
            </w:r>
          </w:p>
        </w:tc>
      </w:tr>
      <w:tr w:rsidR="005B71D8" w:rsidRPr="005613E9">
        <w:tc>
          <w:tcPr>
            <w:tcW w:w="817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7</w:t>
            </w:r>
          </w:p>
        </w:tc>
        <w:tc>
          <w:tcPr>
            <w:tcW w:w="6379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Profits</w:t>
            </w:r>
          </w:p>
        </w:tc>
        <w:tc>
          <w:tcPr>
            <w:tcW w:w="2268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15</w:t>
            </w:r>
          </w:p>
        </w:tc>
      </w:tr>
      <w:tr w:rsidR="005B71D8" w:rsidRPr="005613E9">
        <w:tc>
          <w:tcPr>
            <w:tcW w:w="817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8</w:t>
            </w:r>
          </w:p>
        </w:tc>
        <w:tc>
          <w:tcPr>
            <w:tcW w:w="6379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Interest</w:t>
            </w:r>
          </w:p>
        </w:tc>
        <w:tc>
          <w:tcPr>
            <w:tcW w:w="2268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20</w:t>
            </w:r>
          </w:p>
        </w:tc>
      </w:tr>
      <w:tr w:rsidR="005B71D8" w:rsidRPr="005613E9">
        <w:tc>
          <w:tcPr>
            <w:tcW w:w="817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9</w:t>
            </w:r>
          </w:p>
        </w:tc>
        <w:tc>
          <w:tcPr>
            <w:tcW w:w="6379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Indirect taxes</w:t>
            </w:r>
          </w:p>
        </w:tc>
        <w:tc>
          <w:tcPr>
            <w:tcW w:w="2268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30</w:t>
            </w:r>
          </w:p>
        </w:tc>
      </w:tr>
      <w:tr w:rsidR="005B71D8" w:rsidRPr="005613E9">
        <w:tc>
          <w:tcPr>
            <w:tcW w:w="817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10</w:t>
            </w:r>
          </w:p>
        </w:tc>
        <w:tc>
          <w:tcPr>
            <w:tcW w:w="6379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Subsidies</w:t>
            </w:r>
          </w:p>
        </w:tc>
        <w:tc>
          <w:tcPr>
            <w:tcW w:w="2268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5</w:t>
            </w:r>
          </w:p>
        </w:tc>
      </w:tr>
      <w:tr w:rsidR="005B71D8" w:rsidRPr="005613E9">
        <w:tc>
          <w:tcPr>
            <w:tcW w:w="817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11</w:t>
            </w:r>
          </w:p>
        </w:tc>
        <w:tc>
          <w:tcPr>
            <w:tcW w:w="6379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Rent</w:t>
            </w:r>
          </w:p>
        </w:tc>
        <w:tc>
          <w:tcPr>
            <w:tcW w:w="2268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15</w:t>
            </w:r>
          </w:p>
        </w:tc>
      </w:tr>
      <w:tr w:rsidR="005B71D8" w:rsidRPr="005613E9">
        <w:tc>
          <w:tcPr>
            <w:tcW w:w="817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12</w:t>
            </w:r>
          </w:p>
        </w:tc>
        <w:tc>
          <w:tcPr>
            <w:tcW w:w="6379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Net factor income from abroad</w:t>
            </w:r>
          </w:p>
        </w:tc>
        <w:tc>
          <w:tcPr>
            <w:tcW w:w="2268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5</w:t>
            </w:r>
          </w:p>
        </w:tc>
      </w:tr>
      <w:tr w:rsidR="005B71D8" w:rsidRPr="005613E9">
        <w:tc>
          <w:tcPr>
            <w:tcW w:w="817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13</w:t>
            </w:r>
          </w:p>
        </w:tc>
        <w:tc>
          <w:tcPr>
            <w:tcW w:w="6379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Consumption of fixed capital or depreciation</w:t>
            </w:r>
          </w:p>
        </w:tc>
        <w:tc>
          <w:tcPr>
            <w:tcW w:w="2268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5</w:t>
            </w:r>
          </w:p>
        </w:tc>
      </w:tr>
    </w:tbl>
    <w:p w:rsidR="005B71D8" w:rsidRDefault="005B71D8" w:rsidP="005B6E27">
      <w:pPr>
        <w:spacing w:after="0"/>
        <w:jc w:val="both"/>
      </w:pPr>
    </w:p>
    <w:p w:rsidR="005B71D8" w:rsidRDefault="005B71D8" w:rsidP="005B6E27">
      <w:pPr>
        <w:spacing w:after="0"/>
        <w:jc w:val="both"/>
      </w:pPr>
      <w:r>
        <w:t xml:space="preserve">Q3. From the data given below calculate National Income by a) Income Method and b) Expenditure Method.  </w:t>
      </w:r>
      <w:proofErr w:type="gramStart"/>
      <w:r>
        <w:t>(Ans. 62069 Cr.)</w:t>
      </w:r>
      <w:proofErr w:type="gramEnd"/>
    </w:p>
    <w:tbl>
      <w:tblPr>
        <w:tblW w:w="946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17"/>
        <w:gridCol w:w="6379"/>
        <w:gridCol w:w="2268"/>
      </w:tblGrid>
      <w:tr w:rsidR="005B71D8" w:rsidRPr="005613E9">
        <w:tc>
          <w:tcPr>
            <w:tcW w:w="817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S.N.</w:t>
            </w:r>
          </w:p>
        </w:tc>
        <w:tc>
          <w:tcPr>
            <w:tcW w:w="6379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Items</w:t>
            </w:r>
          </w:p>
        </w:tc>
        <w:tc>
          <w:tcPr>
            <w:tcW w:w="2268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Rs. In million</w:t>
            </w:r>
          </w:p>
        </w:tc>
      </w:tr>
      <w:tr w:rsidR="005B71D8" w:rsidRPr="005613E9">
        <w:tc>
          <w:tcPr>
            <w:tcW w:w="817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1</w:t>
            </w:r>
          </w:p>
        </w:tc>
        <w:tc>
          <w:tcPr>
            <w:tcW w:w="6379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Government final consumption expenditure</w:t>
            </w:r>
          </w:p>
        </w:tc>
        <w:tc>
          <w:tcPr>
            <w:tcW w:w="2268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7341</w:t>
            </w:r>
          </w:p>
        </w:tc>
      </w:tr>
      <w:tr w:rsidR="005B71D8" w:rsidRPr="005613E9">
        <w:tc>
          <w:tcPr>
            <w:tcW w:w="817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2</w:t>
            </w:r>
          </w:p>
        </w:tc>
        <w:tc>
          <w:tcPr>
            <w:tcW w:w="6379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Indirect taxes</w:t>
            </w:r>
          </w:p>
        </w:tc>
        <w:tc>
          <w:tcPr>
            <w:tcW w:w="2268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8834</w:t>
            </w:r>
          </w:p>
        </w:tc>
      </w:tr>
      <w:tr w:rsidR="005B71D8" w:rsidRPr="005613E9">
        <w:tc>
          <w:tcPr>
            <w:tcW w:w="817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3</w:t>
            </w:r>
          </w:p>
        </w:tc>
        <w:tc>
          <w:tcPr>
            <w:tcW w:w="6379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Gross fixed capital formation</w:t>
            </w:r>
          </w:p>
        </w:tc>
        <w:tc>
          <w:tcPr>
            <w:tcW w:w="2268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13248</w:t>
            </w:r>
          </w:p>
        </w:tc>
      </w:tr>
      <w:tr w:rsidR="005B71D8" w:rsidRPr="005613E9">
        <w:tc>
          <w:tcPr>
            <w:tcW w:w="817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4</w:t>
            </w:r>
          </w:p>
        </w:tc>
        <w:tc>
          <w:tcPr>
            <w:tcW w:w="6379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Mixed income from self employed</w:t>
            </w:r>
          </w:p>
        </w:tc>
        <w:tc>
          <w:tcPr>
            <w:tcW w:w="2268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29267</w:t>
            </w:r>
          </w:p>
        </w:tc>
      </w:tr>
      <w:tr w:rsidR="005B71D8" w:rsidRPr="005613E9">
        <w:tc>
          <w:tcPr>
            <w:tcW w:w="817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5</w:t>
            </w:r>
          </w:p>
        </w:tc>
        <w:tc>
          <w:tcPr>
            <w:tcW w:w="6379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Subsidies</w:t>
            </w:r>
          </w:p>
        </w:tc>
        <w:tc>
          <w:tcPr>
            <w:tcW w:w="2268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1120</w:t>
            </w:r>
          </w:p>
        </w:tc>
      </w:tr>
      <w:tr w:rsidR="005B71D8" w:rsidRPr="005613E9">
        <w:tc>
          <w:tcPr>
            <w:tcW w:w="817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6</w:t>
            </w:r>
          </w:p>
        </w:tc>
        <w:tc>
          <w:tcPr>
            <w:tcW w:w="6379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Change in stock</w:t>
            </w:r>
          </w:p>
        </w:tc>
        <w:tc>
          <w:tcPr>
            <w:tcW w:w="2268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3170</w:t>
            </w:r>
          </w:p>
        </w:tc>
      </w:tr>
      <w:tr w:rsidR="005B71D8" w:rsidRPr="005613E9">
        <w:tc>
          <w:tcPr>
            <w:tcW w:w="817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7</w:t>
            </w:r>
          </w:p>
        </w:tc>
        <w:tc>
          <w:tcPr>
            <w:tcW w:w="6379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Rent, interest and profit</w:t>
            </w:r>
          </w:p>
        </w:tc>
        <w:tc>
          <w:tcPr>
            <w:tcW w:w="2268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9637</w:t>
            </w:r>
          </w:p>
        </w:tc>
      </w:tr>
      <w:tr w:rsidR="005B71D8" w:rsidRPr="005613E9">
        <w:tc>
          <w:tcPr>
            <w:tcW w:w="817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8</w:t>
            </w:r>
          </w:p>
        </w:tc>
        <w:tc>
          <w:tcPr>
            <w:tcW w:w="6379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Depreciation</w:t>
            </w:r>
          </w:p>
        </w:tc>
        <w:tc>
          <w:tcPr>
            <w:tcW w:w="2268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4046</w:t>
            </w:r>
          </w:p>
        </w:tc>
      </w:tr>
      <w:tr w:rsidR="005B71D8" w:rsidRPr="005613E9">
        <w:tc>
          <w:tcPr>
            <w:tcW w:w="817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9</w:t>
            </w:r>
          </w:p>
        </w:tc>
        <w:tc>
          <w:tcPr>
            <w:tcW w:w="6379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Private final consumption expenditure</w:t>
            </w:r>
          </w:p>
        </w:tc>
        <w:tc>
          <w:tcPr>
            <w:tcW w:w="2268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51177</w:t>
            </w:r>
          </w:p>
        </w:tc>
      </w:tr>
      <w:tr w:rsidR="005B71D8" w:rsidRPr="005613E9">
        <w:tc>
          <w:tcPr>
            <w:tcW w:w="817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10</w:t>
            </w:r>
          </w:p>
        </w:tc>
        <w:tc>
          <w:tcPr>
            <w:tcW w:w="6379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Exports of goods and services</w:t>
            </w:r>
          </w:p>
        </w:tc>
        <w:tc>
          <w:tcPr>
            <w:tcW w:w="2268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4812</w:t>
            </w:r>
          </w:p>
        </w:tc>
      </w:tr>
      <w:tr w:rsidR="005B71D8" w:rsidRPr="005613E9">
        <w:tc>
          <w:tcPr>
            <w:tcW w:w="817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11</w:t>
            </w:r>
          </w:p>
        </w:tc>
        <w:tc>
          <w:tcPr>
            <w:tcW w:w="6379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Net factor income from abroad (NFIA)</w:t>
            </w:r>
          </w:p>
        </w:tc>
        <w:tc>
          <w:tcPr>
            <w:tcW w:w="2268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(-)255</w:t>
            </w:r>
          </w:p>
        </w:tc>
      </w:tr>
      <w:tr w:rsidR="005B71D8" w:rsidRPr="005613E9">
        <w:tc>
          <w:tcPr>
            <w:tcW w:w="817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12</w:t>
            </w:r>
          </w:p>
        </w:tc>
        <w:tc>
          <w:tcPr>
            <w:tcW w:w="6379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Compensation of employees</w:t>
            </w:r>
          </w:p>
        </w:tc>
        <w:tc>
          <w:tcPr>
            <w:tcW w:w="2268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23420</w:t>
            </w:r>
          </w:p>
        </w:tc>
      </w:tr>
      <w:tr w:rsidR="005B71D8" w:rsidRPr="005613E9">
        <w:tc>
          <w:tcPr>
            <w:tcW w:w="817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13</w:t>
            </w:r>
          </w:p>
        </w:tc>
        <w:tc>
          <w:tcPr>
            <w:tcW w:w="6379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Import of goods and services</w:t>
            </w:r>
          </w:p>
        </w:tc>
        <w:tc>
          <w:tcPr>
            <w:tcW w:w="2268" w:type="dxa"/>
          </w:tcPr>
          <w:p w:rsidR="005B71D8" w:rsidRPr="005613E9" w:rsidRDefault="005B71D8" w:rsidP="005613E9">
            <w:pPr>
              <w:spacing w:after="0" w:line="240" w:lineRule="auto"/>
              <w:jc w:val="both"/>
            </w:pPr>
            <w:r w:rsidRPr="005613E9">
              <w:t>5664</w:t>
            </w:r>
          </w:p>
        </w:tc>
      </w:tr>
    </w:tbl>
    <w:p w:rsidR="005B71D8" w:rsidRDefault="005B71D8" w:rsidP="006C291D">
      <w:pPr>
        <w:spacing w:after="0"/>
        <w:jc w:val="both"/>
      </w:pPr>
    </w:p>
    <w:p w:rsidR="005B71D8" w:rsidRDefault="005B71D8" w:rsidP="005B6E27">
      <w:pPr>
        <w:spacing w:after="0"/>
        <w:jc w:val="both"/>
      </w:pPr>
      <w:r>
        <w:t xml:space="preserve">Q4. Industry A sells raw materials worth Rs. 100 to </w:t>
      </w:r>
      <w:proofErr w:type="gramStart"/>
      <w:r>
        <w:t>B,</w:t>
      </w:r>
      <w:proofErr w:type="gramEnd"/>
      <w:r>
        <w:t xml:space="preserve"> Industry B sells semi-manufactured goods for Rs. 100 to Industry C and for Rs. 50 to Industry D. Industry C sells processed food for Rs. 100 to D and for Rs 150 to private consumption. Industry D sells the finished goods to private consumption for Rs. 300. Find out </w:t>
      </w:r>
      <w:proofErr w:type="spellStart"/>
      <w:r>
        <w:t>i</w:t>
      </w:r>
      <w:proofErr w:type="spellEnd"/>
      <w:r>
        <w:t xml:space="preserve">) value added by industry of origin </w:t>
      </w:r>
      <w:proofErr w:type="gramStart"/>
      <w:r>
        <w:t>and  ii</w:t>
      </w:r>
      <w:proofErr w:type="gramEnd"/>
      <w:r>
        <w:t>) national income.(</w:t>
      </w:r>
      <w:proofErr w:type="spellStart"/>
      <w:r w:rsidR="007041DC">
        <w:t>Ans</w:t>
      </w:r>
      <w:proofErr w:type="spellEnd"/>
      <w:r w:rsidR="007041DC">
        <w:t xml:space="preserve">: </w:t>
      </w:r>
      <w:r>
        <w:t>Rs. 450)</w:t>
      </w:r>
    </w:p>
    <w:p w:rsidR="005B71D8" w:rsidRDefault="005B71D8" w:rsidP="005B6E27">
      <w:pPr>
        <w:spacing w:after="0"/>
        <w:jc w:val="both"/>
      </w:pPr>
    </w:p>
    <w:sectPr w:rsidR="005B71D8" w:rsidSect="00986A20">
      <w:pgSz w:w="11906" w:h="16838"/>
      <w:pgMar w:top="117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B6E27"/>
    <w:rsid w:val="001B4630"/>
    <w:rsid w:val="0020408D"/>
    <w:rsid w:val="002960B5"/>
    <w:rsid w:val="002C1888"/>
    <w:rsid w:val="002E0104"/>
    <w:rsid w:val="00430B06"/>
    <w:rsid w:val="00436220"/>
    <w:rsid w:val="004A47BF"/>
    <w:rsid w:val="004F0028"/>
    <w:rsid w:val="005613E9"/>
    <w:rsid w:val="00592CA7"/>
    <w:rsid w:val="005B6E27"/>
    <w:rsid w:val="005B71D8"/>
    <w:rsid w:val="006813AE"/>
    <w:rsid w:val="006C291D"/>
    <w:rsid w:val="007041DC"/>
    <w:rsid w:val="00812F9A"/>
    <w:rsid w:val="00986A20"/>
    <w:rsid w:val="009C4461"/>
    <w:rsid w:val="00BB58D2"/>
    <w:rsid w:val="00CC5851"/>
    <w:rsid w:val="00DA03AC"/>
    <w:rsid w:val="00DA6817"/>
    <w:rsid w:val="00E9563F"/>
    <w:rsid w:val="00EF0824"/>
    <w:rsid w:val="00F44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0B5"/>
    <w:pPr>
      <w:spacing w:after="200" w:line="276" w:lineRule="auto"/>
    </w:pPr>
    <w:rPr>
      <w:rFonts w:cs="Calibr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B6E27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347</Words>
  <Characters>1672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</Company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Monica Chaudhary</dc:creator>
  <cp:keywords/>
  <dc:description/>
  <cp:lastModifiedBy>mukta.mani</cp:lastModifiedBy>
  <cp:revision>10</cp:revision>
  <dcterms:created xsi:type="dcterms:W3CDTF">2015-11-18T05:54:00Z</dcterms:created>
  <dcterms:modified xsi:type="dcterms:W3CDTF">2017-04-28T10:20:00Z</dcterms:modified>
</cp:coreProperties>
</file>