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zs99le7u61w" w:id="0"/>
      <w:bookmarkEnd w:id="0"/>
      <w:r w:rsidDel="00000000" w:rsidR="00000000" w:rsidRPr="00000000">
        <w:rPr>
          <w:rtl w:val="0"/>
        </w:rPr>
        <w:t xml:space="preserve">Introducción DevOps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oaj55l8tbm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ezrpn8dtq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Observaciones/Recomendación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euj0j31rr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yi6m72wnov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Diccionario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c301vhl4n8tt" w:id="1"/>
      <w:bookmarkEnd w:id="1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Planear → Hacer → Verificar → Actuar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 Continuous Integration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Continuous Delivery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8oaj55l8tbmc" w:id="2"/>
      <w:bookmarkEnd w:id="2"/>
      <w:r w:rsidDel="00000000" w:rsidR="00000000" w:rsidRPr="00000000">
        <w:rPr>
          <w:rtl w:val="0"/>
        </w:rPr>
        <w:t xml:space="preserve">Investigar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Trunk-Based development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Herramientas de Análisis de código.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Pentest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DecSecOps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TestCafe (Test)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Artefactory / Nexus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nezrpn8dtqb" w:id="3"/>
      <w:bookmarkEnd w:id="3"/>
      <w:r w:rsidDel="00000000" w:rsidR="00000000" w:rsidRPr="00000000">
        <w:rPr>
          <w:rtl w:val="0"/>
        </w:rPr>
        <w:t xml:space="preserve">Observaciones/Recomendación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Limitar acceso a DB Producción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Trabajo desarrollo en git: feature → rama_develop → merge_rama_integration → release_master_prod (validar por uno o más DevSr o TL)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CI del CD en producción.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euj0j31rrh3" w:id="4"/>
      <w:bookmarkEnd w:id="4"/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Curso AWS: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https://explore.skillbuilder.aws/learn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wyi6m72wnov7" w:id="5"/>
      <w:bookmarkEnd w:id="5"/>
      <w:r w:rsidDel="00000000" w:rsidR="00000000" w:rsidRPr="00000000">
        <w:rPr>
          <w:rtl w:val="0"/>
        </w:rPr>
        <w:t xml:space="preserve">Diccionario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workaround </w:t>
      </w:r>
      <w:r w:rsidDel="00000000" w:rsidR="00000000" w:rsidRPr="00000000">
        <w:rPr>
          <w:rtl w:val="0"/>
        </w:rPr>
        <w:t xml:space="preserve">= solución alterna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pipeline o cauce</w:t>
      </w:r>
      <w:r w:rsidDel="00000000" w:rsidR="00000000" w:rsidRPr="00000000">
        <w:rPr>
          <w:rtl w:val="0"/>
        </w:rPr>
        <w:t xml:space="preserve">: consiste en una cadena de procesos conectados de forma tal que la salida de cada elemento de la cadena es la entrada del próximo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on-premises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se refiere a que los titulares de la licencia instalan el sistema operativo en su propio entorno informático, sin recurrir a la nube o necesitar acceso a internet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FaaS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es un tipo de servicio informático en la nube en la que el proveedor de servicios en la nube (PSN) posee y gestiona todos los aspectos del entorno informático, incluyendo la infraestructura de hardware, middleware, sistema operativo e incluso las aplicaciones.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lore.skillbuilder.aws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