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F334B" w14:textId="388F0E14" w:rsidR="00A9424A" w:rsidRPr="00E92E2A" w:rsidRDefault="00E92E2A" w:rsidP="00E92E2A">
      <w:pPr>
        <w:spacing w:line="480" w:lineRule="auto"/>
        <w:jc w:val="center"/>
        <w:rPr>
          <w:rFonts w:ascii="Garamond" w:hAnsi="Garamond"/>
          <w:b/>
          <w:bCs/>
        </w:rPr>
      </w:pPr>
      <w:r w:rsidRPr="00E92E2A">
        <w:rPr>
          <w:rFonts w:ascii="Garamond" w:hAnsi="Garamond"/>
          <w:b/>
          <w:bCs/>
        </w:rPr>
        <w:t>Tracking Campus Emissions from Biomass Gasification</w:t>
      </w:r>
    </w:p>
    <w:p w14:paraId="09667CC6" w14:textId="4EC34D27" w:rsidR="00E92E2A" w:rsidRPr="00E92E2A" w:rsidRDefault="00E92E2A" w:rsidP="00E92E2A">
      <w:pPr>
        <w:spacing w:line="480" w:lineRule="auto"/>
        <w:rPr>
          <w:rFonts w:ascii="Garamond" w:hAnsi="Garamond"/>
          <w:b/>
          <w:bCs/>
        </w:rPr>
      </w:pPr>
      <w:r w:rsidRPr="00E92E2A">
        <w:rPr>
          <w:rFonts w:ascii="Garamond" w:hAnsi="Garamond"/>
          <w:b/>
          <w:bCs/>
        </w:rPr>
        <w:t>Introduction</w:t>
      </w:r>
    </w:p>
    <w:p w14:paraId="3573AFA7" w14:textId="1B2BF125" w:rsidR="00E92E2A" w:rsidRPr="00117DC6" w:rsidRDefault="00E92E2A" w:rsidP="00117DC6">
      <w:pPr>
        <w:spacing w:line="480" w:lineRule="auto"/>
        <w:rPr>
          <w:rFonts w:ascii="Garamond" w:hAnsi="Garamond"/>
        </w:rPr>
      </w:pPr>
      <w:r w:rsidRPr="00E92E2A">
        <w:rPr>
          <w:rFonts w:ascii="Garamond" w:hAnsi="Garamond"/>
          <w:b/>
          <w:bCs/>
        </w:rPr>
        <w:tab/>
      </w:r>
      <w:r w:rsidRPr="00E92E2A">
        <w:rPr>
          <w:rFonts w:ascii="Garamond" w:hAnsi="Garamond"/>
        </w:rPr>
        <w:t xml:space="preserve">The following report was created by Gabe Desmond, ’20.5 as part of a </w:t>
      </w:r>
      <w:r w:rsidR="00117DC6">
        <w:rPr>
          <w:rFonts w:ascii="Garamond" w:hAnsi="Garamond"/>
        </w:rPr>
        <w:t xml:space="preserve">summer 2020 </w:t>
      </w:r>
      <w:r w:rsidRPr="00E92E2A">
        <w:rPr>
          <w:rFonts w:ascii="Garamond" w:hAnsi="Garamond"/>
        </w:rPr>
        <w:t xml:space="preserve">sustainability fellowship with the </w:t>
      </w:r>
      <w:hyperlink r:id="rId5" w:history="1">
        <w:r w:rsidRPr="00E92E2A">
          <w:rPr>
            <w:rFonts w:ascii="Garamond" w:eastAsia="Times New Roman" w:hAnsi="Garamond" w:cs="Times New Roman"/>
            <w:color w:val="0000FF"/>
            <w:u w:val="single"/>
          </w:rPr>
          <w:t>University of New Hampshire's Sustainability Institute</w:t>
        </w:r>
      </w:hyperlink>
      <w:r w:rsidRPr="00E92E2A">
        <w:rPr>
          <w:rFonts w:ascii="Garamond" w:eastAsia="Times New Roman" w:hAnsi="Garamond" w:cs="Times New Roman"/>
        </w:rPr>
        <w:t xml:space="preserve"> (UNHSI). </w:t>
      </w:r>
      <w:r w:rsidRPr="00E92E2A">
        <w:rPr>
          <w:rFonts w:ascii="Garamond" w:hAnsi="Garamond"/>
        </w:rPr>
        <w:t xml:space="preserve">The project was supervised by Jack Byrne, Middlebury’s Dean of Environmental Affairs. Additional guidance was given by Mike Moser, Director of Facility Services, Marc Lapin, Associate Laboratory Professor in Environmental Studies, and Adam Sherman, Manager of the Biomass Energy Resource </w:t>
      </w:r>
      <w:r w:rsidRPr="00117DC6">
        <w:rPr>
          <w:rFonts w:ascii="Garamond" w:hAnsi="Garamond"/>
        </w:rPr>
        <w:t>Center (BERC). Support from UNHSI staff Jenn Andrews, and Megan Carney helped facilitate the project and larger summer experience.</w:t>
      </w:r>
    </w:p>
    <w:p w14:paraId="0D5DB0FE" w14:textId="027602FF" w:rsidR="00117DC6" w:rsidRPr="001D1D9E" w:rsidRDefault="0042605C" w:rsidP="001D1D9E">
      <w:pPr>
        <w:spacing w:line="480" w:lineRule="auto"/>
        <w:rPr>
          <w:rFonts w:ascii="Garamond" w:eastAsia="Times New Roman" w:hAnsi="Garamond" w:cs="Times New Roman"/>
          <w:color w:val="000000" w:themeColor="text1"/>
        </w:rPr>
      </w:pPr>
      <w:r>
        <w:rPr>
          <w:noProof/>
        </w:rPr>
        <mc:AlternateContent>
          <mc:Choice Requires="wps">
            <w:drawing>
              <wp:anchor distT="0" distB="0" distL="114300" distR="114300" simplePos="0" relativeHeight="251657215" behindDoc="0" locked="0" layoutInCell="1" allowOverlap="1" wp14:anchorId="17979A98" wp14:editId="6E15F735">
                <wp:simplePos x="0" y="0"/>
                <wp:positionH relativeFrom="column">
                  <wp:posOffset>1504950</wp:posOffset>
                </wp:positionH>
                <wp:positionV relativeFrom="paragraph">
                  <wp:posOffset>3933190</wp:posOffset>
                </wp:positionV>
                <wp:extent cx="4500880" cy="379730"/>
                <wp:effectExtent l="0" t="0" r="7620" b="1270"/>
                <wp:wrapThrough wrapText="bothSides">
                  <wp:wrapPolygon edited="0">
                    <wp:start x="0" y="0"/>
                    <wp:lineTo x="0" y="20950"/>
                    <wp:lineTo x="21576" y="20950"/>
                    <wp:lineTo x="21576"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4500880" cy="379730"/>
                        </a:xfrm>
                        <a:prstGeom prst="rect">
                          <a:avLst/>
                        </a:prstGeom>
                        <a:noFill/>
                        <a:ln>
                          <a:noFill/>
                        </a:ln>
                      </wps:spPr>
                      <wps:txbx>
                        <w:txbxContent>
                          <w:p w14:paraId="4DFF9873" w14:textId="578D7BE8" w:rsidR="0042605C" w:rsidRPr="00EA06DA" w:rsidRDefault="0042605C" w:rsidP="0042605C">
                            <w:pPr>
                              <w:pStyle w:val="Caption"/>
                              <w:rPr>
                                <w:rFonts w:ascii="Garamond" w:eastAsia="Times New Roman" w:hAnsi="Garamond" w:cs="Times New Roman"/>
                                <w:noProof/>
                                <w:sz w:val="24"/>
                                <w:szCs w:val="24"/>
                              </w:rPr>
                            </w:pPr>
                            <w:r w:rsidRPr="00EA06DA">
                              <w:rPr>
                                <w:rFonts w:ascii="Garamond" w:hAnsi="Garamond"/>
                                <w:sz w:val="24"/>
                                <w:szCs w:val="24"/>
                              </w:rPr>
                              <w:t xml:space="preserve">Figure </w:t>
                            </w:r>
                            <w:r w:rsidRPr="00EA06DA">
                              <w:rPr>
                                <w:rFonts w:ascii="Garamond" w:hAnsi="Garamond"/>
                                <w:sz w:val="24"/>
                                <w:szCs w:val="24"/>
                              </w:rPr>
                              <w:fldChar w:fldCharType="begin"/>
                            </w:r>
                            <w:r w:rsidRPr="00EA06DA">
                              <w:rPr>
                                <w:rFonts w:ascii="Garamond" w:hAnsi="Garamond"/>
                                <w:sz w:val="24"/>
                                <w:szCs w:val="24"/>
                              </w:rPr>
                              <w:instrText xml:space="preserve"> SEQ Figure \* ARABIC </w:instrText>
                            </w:r>
                            <w:r w:rsidRPr="00EA06DA">
                              <w:rPr>
                                <w:rFonts w:ascii="Garamond" w:hAnsi="Garamond"/>
                                <w:sz w:val="24"/>
                                <w:szCs w:val="24"/>
                              </w:rPr>
                              <w:fldChar w:fldCharType="separate"/>
                            </w:r>
                            <w:r w:rsidR="008F404C">
                              <w:rPr>
                                <w:rFonts w:ascii="Garamond" w:hAnsi="Garamond"/>
                                <w:noProof/>
                                <w:sz w:val="24"/>
                                <w:szCs w:val="24"/>
                              </w:rPr>
                              <w:t>1</w:t>
                            </w:r>
                            <w:r w:rsidRPr="00EA06DA">
                              <w:rPr>
                                <w:rFonts w:ascii="Garamond" w:hAnsi="Garamond"/>
                                <w:sz w:val="24"/>
                                <w:szCs w:val="24"/>
                              </w:rPr>
                              <w:fldChar w:fldCharType="end"/>
                            </w:r>
                            <w:r w:rsidRPr="00EA06DA">
                              <w:rPr>
                                <w:rFonts w:ascii="Garamond" w:hAnsi="Garamond"/>
                                <w:sz w:val="24"/>
                                <w:szCs w:val="24"/>
                              </w:rPr>
                              <w:t>: Middlebury's currently reported annual emissions. Data from Middlebury's GHG Inventory.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979A98" id="_x0000_t202" coordsize="21600,21600" o:spt="202" path="m,l,21600r21600,l21600,xe">
                <v:stroke joinstyle="miter"/>
                <v:path gradientshapeok="t" o:connecttype="rect"/>
              </v:shapetype>
              <v:shape id="Text Box 2" o:spid="_x0000_s1026" type="#_x0000_t202" style="position:absolute;margin-left:118.5pt;margin-top:309.7pt;width:354.4pt;height:29.9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" filled="f" stroked="f">
                <v:textbox inset="0,0,0,0">
                  <w:txbxContent>
                    <w:p w14:paraId="4DFF9873" w14:textId="578D7BE8" w:rsidR="0042605C" w:rsidRPr="00EA06DA" w:rsidRDefault="0042605C" w:rsidP="0042605C">
                      <w:pPr>
                        <w:pStyle w:val="Caption"/>
                        <w:rPr>
                          <w:rFonts w:ascii="Garamond" w:eastAsia="Times New Roman" w:hAnsi="Garamond" w:cs="Times New Roman"/>
                          <w:noProof/>
                          <w:sz w:val="24"/>
                          <w:szCs w:val="24"/>
                        </w:rPr>
                      </w:pPr>
                      <w:r w:rsidRPr="00EA06DA">
                        <w:rPr>
                          <w:rFonts w:ascii="Garamond" w:hAnsi="Garamond"/>
                          <w:sz w:val="24"/>
                          <w:szCs w:val="24"/>
                        </w:rPr>
                        <w:t xml:space="preserve">Figure </w:t>
                      </w:r>
                      <w:r w:rsidRPr="00EA06DA">
                        <w:rPr>
                          <w:rFonts w:ascii="Garamond" w:hAnsi="Garamond"/>
                          <w:sz w:val="24"/>
                          <w:szCs w:val="24"/>
                        </w:rPr>
                        <w:fldChar w:fldCharType="begin"/>
                      </w:r>
                      <w:r w:rsidRPr="00EA06DA">
                        <w:rPr>
                          <w:rFonts w:ascii="Garamond" w:hAnsi="Garamond"/>
                          <w:sz w:val="24"/>
                          <w:szCs w:val="24"/>
                        </w:rPr>
                        <w:instrText xml:space="preserve"> SEQ Figure \* ARABIC </w:instrText>
                      </w:r>
                      <w:r w:rsidRPr="00EA06DA">
                        <w:rPr>
                          <w:rFonts w:ascii="Garamond" w:hAnsi="Garamond"/>
                          <w:sz w:val="24"/>
                          <w:szCs w:val="24"/>
                        </w:rPr>
                        <w:fldChar w:fldCharType="separate"/>
                      </w:r>
                      <w:r w:rsidR="008F404C">
                        <w:rPr>
                          <w:rFonts w:ascii="Garamond" w:hAnsi="Garamond"/>
                          <w:noProof/>
                          <w:sz w:val="24"/>
                          <w:szCs w:val="24"/>
                        </w:rPr>
                        <w:t>1</w:t>
                      </w:r>
                      <w:r w:rsidRPr="00EA06DA">
                        <w:rPr>
                          <w:rFonts w:ascii="Garamond" w:hAnsi="Garamond"/>
                          <w:sz w:val="24"/>
                          <w:szCs w:val="24"/>
                        </w:rPr>
                        <w:fldChar w:fldCharType="end"/>
                      </w:r>
                      <w:r w:rsidRPr="00EA06DA">
                        <w:rPr>
                          <w:rFonts w:ascii="Garamond" w:hAnsi="Garamond"/>
                          <w:sz w:val="24"/>
                          <w:szCs w:val="24"/>
                        </w:rPr>
                        <w:t>: Middlebury's currently reported annual emissions. Data from Middlebury's GHG Inventory.</w:t>
                      </w:r>
                    </w:p>
                  </w:txbxContent>
                </v:textbox>
                <w10:wrap type="through"/>
              </v:shape>
            </w:pict>
          </mc:Fallback>
        </mc:AlternateContent>
      </w:r>
      <w:r w:rsidR="00117DC6" w:rsidRPr="00117DC6">
        <w:rPr>
          <w:rFonts w:ascii="Garamond" w:eastAsia="Times New Roman" w:hAnsi="Garamond" w:cs="Times New Roman"/>
          <w:noProof/>
        </w:rPr>
        <w:drawing>
          <wp:anchor distT="0" distB="0" distL="114300" distR="114300" simplePos="0" relativeHeight="251658240" behindDoc="0" locked="0" layoutInCell="1" allowOverlap="1" wp14:anchorId="793040D3" wp14:editId="790D35B3">
            <wp:simplePos x="0" y="0"/>
            <wp:positionH relativeFrom="column">
              <wp:posOffset>1504950</wp:posOffset>
            </wp:positionH>
            <wp:positionV relativeFrom="paragraph">
              <wp:posOffset>669925</wp:posOffset>
            </wp:positionV>
            <wp:extent cx="4500880" cy="3200400"/>
            <wp:effectExtent l="0" t="0" r="7620" b="12700"/>
            <wp:wrapThrough wrapText="bothSides">
              <wp:wrapPolygon edited="0">
                <wp:start x="0" y="0"/>
                <wp:lineTo x="0" y="21600"/>
                <wp:lineTo x="21576" y="21600"/>
                <wp:lineTo x="21576"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r w:rsidR="00E92E2A" w:rsidRPr="00117DC6">
        <w:rPr>
          <w:rFonts w:ascii="Garamond" w:hAnsi="Garamond"/>
        </w:rPr>
        <w:tab/>
        <w:t xml:space="preserve">Middlebury’s </w:t>
      </w:r>
      <w:hyperlink r:id="rId7" w:history="1">
        <w:r w:rsidR="00E92E2A" w:rsidRPr="00117DC6">
          <w:rPr>
            <w:rFonts w:ascii="Garamond" w:eastAsia="Times New Roman" w:hAnsi="Garamond" w:cs="Times New Roman"/>
            <w:color w:val="0000FF"/>
            <w:u w:val="single"/>
          </w:rPr>
          <w:t>biomass plant</w:t>
        </w:r>
      </w:hyperlink>
      <w:r w:rsidR="00E92E2A" w:rsidRPr="00117DC6">
        <w:rPr>
          <w:rFonts w:ascii="Garamond" w:eastAsia="Times New Roman" w:hAnsi="Garamond" w:cs="Times New Roman"/>
        </w:rPr>
        <w:t xml:space="preserve"> first went online</w:t>
      </w:r>
      <w:r w:rsidR="00117DC6" w:rsidRPr="00117DC6">
        <w:rPr>
          <w:rFonts w:ascii="Garamond" w:eastAsia="Times New Roman" w:hAnsi="Garamond" w:cs="Times New Roman"/>
        </w:rPr>
        <w:t xml:space="preserve"> in February of 2009, as part of the college’s goal to be carbon neutral by 2016, a goal which has since been met. Because biomass is currently accounted for as a carbon neutral source of energy according to </w:t>
      </w:r>
      <w:hyperlink r:id="rId8" w:history="1">
        <w:r w:rsidR="00117DC6" w:rsidRPr="00117DC6">
          <w:rPr>
            <w:rStyle w:val="Hyperlink"/>
            <w:rFonts w:ascii="Garamond" w:eastAsia="Times New Roman" w:hAnsi="Garamond" w:cs="Times New Roman"/>
          </w:rPr>
          <w:t>GHG Protocol guidelines</w:t>
        </w:r>
      </w:hyperlink>
      <w:r>
        <w:rPr>
          <w:rFonts w:ascii="Garamond" w:eastAsia="Times New Roman" w:hAnsi="Garamond" w:cs="Times New Roman"/>
          <w:color w:val="0000FF"/>
        </w:rPr>
        <w:t>,</w:t>
      </w:r>
      <w:r>
        <w:rPr>
          <w:rFonts w:ascii="Garamond" w:eastAsia="Times New Roman" w:hAnsi="Garamond" w:cs="Times New Roman"/>
          <w:color w:val="000000" w:themeColor="text1"/>
        </w:rPr>
        <w:t xml:space="preserve"> the transition from combusting no. 6 fuel oil to gasifying woodchips, was a large part of how Middlebury met those carbon neutrality goals. The effect of that transition can be seen directly in Middlebury’s current greenhouse gas inventory, which saw a 34% reduction in emissions between </w:t>
      </w:r>
      <w:r w:rsidRPr="0042605C">
        <w:rPr>
          <w:rFonts w:ascii="Garamond" w:eastAsia="Times New Roman" w:hAnsi="Garamond" w:cs="Times New Roman"/>
          <w:color w:val="000000" w:themeColor="text1"/>
        </w:rPr>
        <w:t xml:space="preserve">fiscal year 2009 and </w:t>
      </w:r>
      <w:r w:rsidRPr="0042605C">
        <w:rPr>
          <w:rFonts w:ascii="Garamond" w:eastAsia="Times New Roman" w:hAnsi="Garamond" w:cs="Times New Roman"/>
          <w:color w:val="000000" w:themeColor="text1"/>
        </w:rPr>
        <w:lastRenderedPageBreak/>
        <w:t xml:space="preserve">fiscal year 2010 (Figure 1). This reduction is in large part due to not having to </w:t>
      </w:r>
      <w:r w:rsidRPr="001D1D9E">
        <w:rPr>
          <w:rFonts w:ascii="Garamond" w:eastAsia="Times New Roman" w:hAnsi="Garamond" w:cs="Times New Roman"/>
          <w:color w:val="000000" w:themeColor="text1"/>
        </w:rPr>
        <w:t xml:space="preserve">account for emissions related to biomass. </w:t>
      </w:r>
    </w:p>
    <w:p w14:paraId="6B79D0EF" w14:textId="77777777" w:rsidR="001D1D9E" w:rsidRDefault="0042605C" w:rsidP="001D1D9E">
      <w:pPr>
        <w:spacing w:line="480" w:lineRule="auto"/>
        <w:rPr>
          <w:rFonts w:ascii="Garamond" w:eastAsia="Times New Roman" w:hAnsi="Garamond" w:cs="Times New Roman"/>
        </w:rPr>
      </w:pPr>
      <w:r w:rsidRPr="001D1D9E">
        <w:rPr>
          <w:rFonts w:ascii="Garamond" w:eastAsia="Times New Roman" w:hAnsi="Garamond" w:cs="Times New Roman"/>
          <w:color w:val="000000" w:themeColor="text1"/>
        </w:rPr>
        <w:tab/>
        <w:t xml:space="preserve">The carbon neutrality of biomass, however, is </w:t>
      </w:r>
      <w:hyperlink r:id="rId9" w:history="1">
        <w:r w:rsidRPr="001D1D9E">
          <w:rPr>
            <w:rFonts w:ascii="Garamond" w:eastAsia="Times New Roman" w:hAnsi="Garamond" w:cs="Times New Roman"/>
            <w:color w:val="0000FF"/>
            <w:u w:val="single"/>
          </w:rPr>
          <w:t>highly disputed</w:t>
        </w:r>
      </w:hyperlink>
      <w:r w:rsidRPr="001D1D9E">
        <w:rPr>
          <w:rFonts w:ascii="Garamond" w:eastAsia="Times New Roman" w:hAnsi="Garamond" w:cs="Times New Roman"/>
        </w:rPr>
        <w:t>. T</w:t>
      </w:r>
      <w:r w:rsidR="00E14253" w:rsidRPr="001D1D9E">
        <w:rPr>
          <w:rFonts w:ascii="Garamond" w:eastAsia="Times New Roman" w:hAnsi="Garamond" w:cs="Times New Roman"/>
        </w:rPr>
        <w:t>he aim of this report is to summarize the research done over the summer to better calculate the impacts of biomass on Middlebury’s</w:t>
      </w:r>
      <w:r w:rsidR="00813E29" w:rsidRPr="001D1D9E">
        <w:rPr>
          <w:rFonts w:ascii="Garamond" w:eastAsia="Times New Roman" w:hAnsi="Garamond" w:cs="Times New Roman"/>
        </w:rPr>
        <w:t xml:space="preserve"> carbon footprint. Ultimately, due to limited access to data and established methodology, an absolute value of the greenhouse gas emissions from Middlebury’s biomass plant was not derived. Upper and lower limits, however, were defined, along with a deeper analysis into the sustainability of Middlebury’s biomass system. </w:t>
      </w:r>
      <w:r w:rsidR="001D1D9E" w:rsidRPr="001D1D9E">
        <w:rPr>
          <w:rFonts w:ascii="Garamond" w:eastAsia="Times New Roman" w:hAnsi="Garamond" w:cs="Times New Roman"/>
        </w:rPr>
        <w:t xml:space="preserve">Additionally, the upstream (scope 3) emissions from the harvesting, production, and transportation of woodchips was calculated. Annually, 30-40,000 metric tons of carbon dioxide (MTCDE) exit the smokestack of Middlebury’s biomass plant, while 50-70,000 MTCDE are sequestered on the lands where the woodchips are harvested. Please see accounting methodology for more information. </w:t>
      </w:r>
    </w:p>
    <w:p w14:paraId="0DC18A17" w14:textId="36AA605D" w:rsidR="001D1D9E" w:rsidRDefault="001D1D9E" w:rsidP="001D1D9E">
      <w:pPr>
        <w:spacing w:line="480" w:lineRule="auto"/>
        <w:ind w:firstLine="720"/>
        <w:rPr>
          <w:rFonts w:ascii="Garamond" w:eastAsia="Times New Roman" w:hAnsi="Garamond" w:cs="Times New Roman"/>
        </w:rPr>
      </w:pPr>
      <w:r w:rsidRPr="001D1D9E">
        <w:rPr>
          <w:rFonts w:ascii="Garamond" w:eastAsia="Times New Roman" w:hAnsi="Garamond" w:cs="Times New Roman"/>
        </w:rPr>
        <w:t xml:space="preserve">Additionally, according to the USDA’s </w:t>
      </w:r>
      <w:hyperlink r:id="rId10" w:history="1">
        <w:r w:rsidRPr="001D1D9E">
          <w:rPr>
            <w:rFonts w:ascii="Garamond" w:eastAsia="Times New Roman" w:hAnsi="Garamond" w:cs="Times New Roman"/>
            <w:color w:val="0000FF"/>
            <w:u w:val="single"/>
          </w:rPr>
          <w:t>Forests of Vermont</w:t>
        </w:r>
      </w:hyperlink>
      <w:r w:rsidRPr="001D1D9E">
        <w:rPr>
          <w:rFonts w:ascii="Garamond" w:eastAsia="Times New Roman" w:hAnsi="Garamond" w:cs="Times New Roman"/>
        </w:rPr>
        <w:t xml:space="preserve"> report, </w:t>
      </w:r>
      <w:r>
        <w:rPr>
          <w:rFonts w:ascii="Garamond" w:eastAsia="Times New Roman" w:hAnsi="Garamond" w:cs="Times New Roman"/>
        </w:rPr>
        <w:t>a net 4,390,000 MTCDE are sequestered annually on timberlands in the state of Vermont. 3,050,000 of those MTCDE are sequestered directly by above ground biomass, while the rest stems from below ground biomass, dead wood, and soil carbon. Because there is net sequestration in the larger Vermont bioenergy system, many people consider biomass sustainable, although this would be entirely different if there was higher demand for wood products in the state and there was not net sequestration, as is seen in many parts of the world.</w:t>
      </w:r>
    </w:p>
    <w:p w14:paraId="147C3C22" w14:textId="7D1BB1C0" w:rsidR="001D1D9E" w:rsidRDefault="001D1D9E" w:rsidP="001D1D9E">
      <w:pPr>
        <w:spacing w:line="480" w:lineRule="auto"/>
        <w:rPr>
          <w:rFonts w:ascii="Garamond" w:eastAsia="Times New Roman" w:hAnsi="Garamond" w:cs="Times New Roman"/>
        </w:rPr>
      </w:pPr>
    </w:p>
    <w:p w14:paraId="2A7F04F1" w14:textId="47D30B86" w:rsidR="001D1D9E" w:rsidRDefault="00DD1D1E" w:rsidP="001D1D9E">
      <w:pPr>
        <w:spacing w:line="480" w:lineRule="auto"/>
        <w:rPr>
          <w:rFonts w:ascii="Garamond" w:eastAsia="Times New Roman" w:hAnsi="Garamond" w:cs="Times New Roman"/>
          <w:b/>
          <w:bCs/>
        </w:rPr>
      </w:pPr>
      <w:r>
        <w:rPr>
          <w:rFonts w:ascii="Garamond" w:eastAsia="Times New Roman" w:hAnsi="Garamond" w:cs="Times New Roman"/>
          <w:b/>
          <w:bCs/>
        </w:rPr>
        <w:t>Existing Methodology</w:t>
      </w:r>
    </w:p>
    <w:p w14:paraId="04D9DBD3" w14:textId="5DF50010" w:rsidR="00DD1D1E" w:rsidRPr="00B0396E" w:rsidRDefault="00DD1D1E" w:rsidP="00B0396E">
      <w:pPr>
        <w:spacing w:line="480" w:lineRule="auto"/>
        <w:rPr>
          <w:rFonts w:ascii="Garamond" w:eastAsia="Times New Roman" w:hAnsi="Garamond" w:cs="Times New Roman"/>
        </w:rPr>
      </w:pPr>
      <w:r w:rsidRPr="00DD1D1E">
        <w:rPr>
          <w:rFonts w:ascii="Garamond" w:eastAsia="Times New Roman" w:hAnsi="Garamond" w:cs="Times New Roman"/>
          <w:b/>
          <w:bCs/>
        </w:rPr>
        <w:tab/>
      </w:r>
      <w:r w:rsidRPr="00DD1D1E">
        <w:rPr>
          <w:rFonts w:ascii="Garamond" w:eastAsia="Times New Roman" w:hAnsi="Garamond" w:cs="Times New Roman"/>
        </w:rPr>
        <w:t xml:space="preserve">Currently there is no widely accepted methodology for bioenergy accounting. That being said, the Greenhouse Gas Protocol, World Resources Institute (WRI), and World Business Council </w:t>
      </w:r>
      <w:r w:rsidRPr="00B0396E">
        <w:rPr>
          <w:rFonts w:ascii="Garamond" w:eastAsia="Times New Roman" w:hAnsi="Garamond" w:cs="Times New Roman"/>
        </w:rPr>
        <w:t xml:space="preserve">for Sustainable Development (WBCSD) are collaborating on </w:t>
      </w:r>
      <w:hyperlink r:id="rId11" w:history="1">
        <w:r w:rsidRPr="00B0396E">
          <w:rPr>
            <w:rFonts w:ascii="Garamond" w:eastAsia="Times New Roman" w:hAnsi="Garamond" w:cs="Times New Roman"/>
            <w:color w:val="0000FF"/>
            <w:u w:val="single"/>
          </w:rPr>
          <w:t>such guidance</w:t>
        </w:r>
      </w:hyperlink>
      <w:r w:rsidRPr="00B0396E">
        <w:rPr>
          <w:rFonts w:ascii="Garamond" w:eastAsia="Times New Roman" w:hAnsi="Garamond" w:cs="Times New Roman"/>
        </w:rPr>
        <w:t xml:space="preserve"> which is to be finished </w:t>
      </w:r>
      <w:r w:rsidRPr="00B0396E">
        <w:rPr>
          <w:rFonts w:ascii="Garamond" w:eastAsia="Times New Roman" w:hAnsi="Garamond" w:cs="Times New Roman"/>
        </w:rPr>
        <w:lastRenderedPageBreak/>
        <w:t>by the end of 2021. As such, it is highly recommended that biomass accounting at Middlebury is revisited once they publish their guidelines.</w:t>
      </w:r>
    </w:p>
    <w:p w14:paraId="68340845" w14:textId="71DF81A6" w:rsidR="00DD1D1E" w:rsidRDefault="004F6A7A" w:rsidP="00B0396E">
      <w:pPr>
        <w:spacing w:line="480" w:lineRule="auto"/>
        <w:rPr>
          <w:rFonts w:ascii="Garamond" w:eastAsia="Times New Roman" w:hAnsi="Garamond" w:cs="Times New Roman"/>
        </w:rPr>
      </w:pPr>
      <w:r w:rsidRPr="00B0396E">
        <w:rPr>
          <w:rFonts w:ascii="Garamond" w:hAnsi="Garamond"/>
          <w:noProof/>
        </w:rPr>
        <mc:AlternateContent>
          <mc:Choice Requires="wps">
            <w:drawing>
              <wp:anchor distT="0" distB="0" distL="114300" distR="114300" simplePos="0" relativeHeight="251661312" behindDoc="1" locked="0" layoutInCell="1" allowOverlap="1" wp14:anchorId="1BD39109" wp14:editId="62CA09ED">
                <wp:simplePos x="0" y="0"/>
                <wp:positionH relativeFrom="column">
                  <wp:posOffset>-14605</wp:posOffset>
                </wp:positionH>
                <wp:positionV relativeFrom="paragraph">
                  <wp:posOffset>3914140</wp:posOffset>
                </wp:positionV>
                <wp:extent cx="5946140" cy="30861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6140" cy="308610"/>
                        </a:xfrm>
                        <a:prstGeom prst="rect">
                          <a:avLst/>
                        </a:prstGeom>
                        <a:solidFill>
                          <a:prstClr val="white"/>
                        </a:solidFill>
                        <a:ln>
                          <a:noFill/>
                        </a:ln>
                      </wps:spPr>
                      <wps:txbx>
                        <w:txbxContent>
                          <w:p w14:paraId="27331BEE" w14:textId="4EFB8FF4" w:rsidR="004F6A7A" w:rsidRPr="00EA06DA" w:rsidRDefault="004F6A7A" w:rsidP="004F6A7A">
                            <w:pPr>
                              <w:pStyle w:val="Caption"/>
                              <w:rPr>
                                <w:rFonts w:ascii="Garamond" w:eastAsia="Times New Roman" w:hAnsi="Garamond" w:cs="Times New Roman"/>
                                <w:noProof/>
                                <w:sz w:val="24"/>
                                <w:szCs w:val="24"/>
                              </w:rPr>
                            </w:pPr>
                            <w:r w:rsidRPr="00EA06DA">
                              <w:rPr>
                                <w:rFonts w:ascii="Garamond" w:hAnsi="Garamond"/>
                                <w:sz w:val="24"/>
                                <w:szCs w:val="24"/>
                              </w:rPr>
                              <w:t xml:space="preserve">Figure </w:t>
                            </w:r>
                            <w:r w:rsidRPr="00EA06DA">
                              <w:rPr>
                                <w:rFonts w:ascii="Garamond" w:hAnsi="Garamond"/>
                                <w:sz w:val="24"/>
                                <w:szCs w:val="24"/>
                              </w:rPr>
                              <w:fldChar w:fldCharType="begin"/>
                            </w:r>
                            <w:r w:rsidRPr="00EA06DA">
                              <w:rPr>
                                <w:rFonts w:ascii="Garamond" w:hAnsi="Garamond"/>
                                <w:sz w:val="24"/>
                                <w:szCs w:val="24"/>
                              </w:rPr>
                              <w:instrText xml:space="preserve"> SEQ Figure \* ARABIC </w:instrText>
                            </w:r>
                            <w:r w:rsidRPr="00EA06DA">
                              <w:rPr>
                                <w:rFonts w:ascii="Garamond" w:hAnsi="Garamond"/>
                                <w:sz w:val="24"/>
                                <w:szCs w:val="24"/>
                              </w:rPr>
                              <w:fldChar w:fldCharType="separate"/>
                            </w:r>
                            <w:r w:rsidR="008F404C">
                              <w:rPr>
                                <w:rFonts w:ascii="Garamond" w:hAnsi="Garamond"/>
                                <w:noProof/>
                                <w:sz w:val="24"/>
                                <w:szCs w:val="24"/>
                              </w:rPr>
                              <w:t>2</w:t>
                            </w:r>
                            <w:r w:rsidRPr="00EA06DA">
                              <w:rPr>
                                <w:rFonts w:ascii="Garamond" w:hAnsi="Garamond"/>
                                <w:sz w:val="24"/>
                                <w:szCs w:val="24"/>
                              </w:rPr>
                              <w:fldChar w:fldCharType="end"/>
                            </w:r>
                            <w:r w:rsidRPr="00EA06DA">
                              <w:rPr>
                                <w:rFonts w:ascii="Garamond" w:hAnsi="Garamond"/>
                                <w:sz w:val="24"/>
                                <w:szCs w:val="24"/>
                              </w:rPr>
                              <w:t>: Middlebury Accounting Framework designed by BERC.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39109" id="Text Box 4" o:spid="_x0000_s1027" type="#_x0000_t202" style="position:absolute;margin-left:-1.15pt;margin-top:308.2pt;width:468.2pt;height:24.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" stroked="f">
                <v:textbox inset="0,0,0,0">
                  <w:txbxContent>
                    <w:p w14:paraId="27331BEE" w14:textId="4EFB8FF4" w:rsidR="004F6A7A" w:rsidRPr="00EA06DA" w:rsidRDefault="004F6A7A" w:rsidP="004F6A7A">
                      <w:pPr>
                        <w:pStyle w:val="Caption"/>
                        <w:rPr>
                          <w:rFonts w:ascii="Garamond" w:eastAsia="Times New Roman" w:hAnsi="Garamond" w:cs="Times New Roman"/>
                          <w:noProof/>
                          <w:sz w:val="24"/>
                          <w:szCs w:val="24"/>
                        </w:rPr>
                      </w:pPr>
                      <w:r w:rsidRPr="00EA06DA">
                        <w:rPr>
                          <w:rFonts w:ascii="Garamond" w:hAnsi="Garamond"/>
                          <w:sz w:val="24"/>
                          <w:szCs w:val="24"/>
                        </w:rPr>
                        <w:t xml:space="preserve">Figure </w:t>
                      </w:r>
                      <w:r w:rsidRPr="00EA06DA">
                        <w:rPr>
                          <w:rFonts w:ascii="Garamond" w:hAnsi="Garamond"/>
                          <w:sz w:val="24"/>
                          <w:szCs w:val="24"/>
                        </w:rPr>
                        <w:fldChar w:fldCharType="begin"/>
                      </w:r>
                      <w:r w:rsidRPr="00EA06DA">
                        <w:rPr>
                          <w:rFonts w:ascii="Garamond" w:hAnsi="Garamond"/>
                          <w:sz w:val="24"/>
                          <w:szCs w:val="24"/>
                        </w:rPr>
                        <w:instrText xml:space="preserve"> SEQ Figure \* ARABIC </w:instrText>
                      </w:r>
                      <w:r w:rsidRPr="00EA06DA">
                        <w:rPr>
                          <w:rFonts w:ascii="Garamond" w:hAnsi="Garamond"/>
                          <w:sz w:val="24"/>
                          <w:szCs w:val="24"/>
                        </w:rPr>
                        <w:fldChar w:fldCharType="separate"/>
                      </w:r>
                      <w:r w:rsidR="008F404C">
                        <w:rPr>
                          <w:rFonts w:ascii="Garamond" w:hAnsi="Garamond"/>
                          <w:noProof/>
                          <w:sz w:val="24"/>
                          <w:szCs w:val="24"/>
                        </w:rPr>
                        <w:t>2</w:t>
                      </w:r>
                      <w:r w:rsidRPr="00EA06DA">
                        <w:rPr>
                          <w:rFonts w:ascii="Garamond" w:hAnsi="Garamond"/>
                          <w:sz w:val="24"/>
                          <w:szCs w:val="24"/>
                        </w:rPr>
                        <w:fldChar w:fldCharType="end"/>
                      </w:r>
                      <w:r w:rsidRPr="00EA06DA">
                        <w:rPr>
                          <w:rFonts w:ascii="Garamond" w:hAnsi="Garamond"/>
                          <w:sz w:val="24"/>
                          <w:szCs w:val="24"/>
                        </w:rPr>
                        <w:t>: Middlebury Accounting Framework designed by BERC.</w:t>
                      </w:r>
                    </w:p>
                  </w:txbxContent>
                </v:textbox>
                <w10:wrap type="square"/>
              </v:shape>
            </w:pict>
          </mc:Fallback>
        </mc:AlternateContent>
      </w:r>
      <w:r w:rsidRPr="00B0396E">
        <w:rPr>
          <w:rFonts w:ascii="Garamond" w:eastAsia="Times New Roman" w:hAnsi="Garamond" w:cs="Times New Roman"/>
          <w:noProof/>
        </w:rPr>
        <w:drawing>
          <wp:anchor distT="0" distB="0" distL="114300" distR="114300" simplePos="0" relativeHeight="251659264" behindDoc="1" locked="0" layoutInCell="1" allowOverlap="1" wp14:anchorId="6121E3F9" wp14:editId="6FC95124">
            <wp:simplePos x="0" y="0"/>
            <wp:positionH relativeFrom="column">
              <wp:posOffset>-14605</wp:posOffset>
            </wp:positionH>
            <wp:positionV relativeFrom="paragraph">
              <wp:posOffset>1607185</wp:posOffset>
            </wp:positionV>
            <wp:extent cx="5946140" cy="2306955"/>
            <wp:effectExtent l="0" t="0" r="0" b="4445"/>
            <wp:wrapTight wrapText="bothSides">
              <wp:wrapPolygon edited="0">
                <wp:start x="0" y="0"/>
                <wp:lineTo x="0" y="21523"/>
                <wp:lineTo x="21545" y="21523"/>
                <wp:lineTo x="21545"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6140" cy="2306955"/>
                    </a:xfrm>
                    <a:prstGeom prst="rect">
                      <a:avLst/>
                    </a:prstGeom>
                  </pic:spPr>
                </pic:pic>
              </a:graphicData>
            </a:graphic>
            <wp14:sizeRelH relativeFrom="page">
              <wp14:pctWidth>0</wp14:pctWidth>
            </wp14:sizeRelH>
            <wp14:sizeRelV relativeFrom="page">
              <wp14:pctHeight>0</wp14:pctHeight>
            </wp14:sizeRelV>
          </wp:anchor>
        </w:drawing>
      </w:r>
      <w:r w:rsidR="00DD1D1E" w:rsidRPr="00B0396E">
        <w:rPr>
          <w:rFonts w:ascii="Garamond" w:eastAsia="Times New Roman" w:hAnsi="Garamond" w:cs="Times New Roman"/>
        </w:rPr>
        <w:tab/>
        <w:t xml:space="preserve">Other methodologies are such as the </w:t>
      </w:r>
      <w:hyperlink r:id="rId13" w:history="1">
        <w:r w:rsidR="00DD1D1E" w:rsidRPr="00B0396E">
          <w:rPr>
            <w:rFonts w:ascii="Garamond" w:eastAsia="Times New Roman" w:hAnsi="Garamond" w:cs="Times New Roman"/>
            <w:color w:val="0000FF"/>
            <w:u w:val="single"/>
          </w:rPr>
          <w:t>DRAX</w:t>
        </w:r>
      </w:hyperlink>
      <w:r w:rsidR="00DD1D1E" w:rsidRPr="00B0396E">
        <w:rPr>
          <w:rFonts w:ascii="Garamond" w:eastAsia="Times New Roman" w:hAnsi="Garamond" w:cs="Times New Roman"/>
        </w:rPr>
        <w:t xml:space="preserve"> model, </w:t>
      </w:r>
      <w:hyperlink r:id="rId14" w:history="1">
        <w:proofErr w:type="spellStart"/>
        <w:r w:rsidR="00DD1D1E" w:rsidRPr="00B0396E">
          <w:rPr>
            <w:rFonts w:ascii="Garamond" w:eastAsia="Times New Roman" w:hAnsi="Garamond" w:cs="Times New Roman"/>
            <w:color w:val="0000FF"/>
            <w:u w:val="single"/>
          </w:rPr>
          <w:t>BioGrace</w:t>
        </w:r>
        <w:proofErr w:type="spellEnd"/>
        <w:r w:rsidR="00DD1D1E" w:rsidRPr="00B0396E">
          <w:rPr>
            <w:rFonts w:ascii="Garamond" w:eastAsia="Times New Roman" w:hAnsi="Garamond" w:cs="Times New Roman"/>
            <w:color w:val="0000FF"/>
            <w:u w:val="single"/>
          </w:rPr>
          <w:t xml:space="preserve"> II</w:t>
        </w:r>
      </w:hyperlink>
      <w:r w:rsidR="00DD1D1E" w:rsidRPr="00B0396E">
        <w:rPr>
          <w:rFonts w:ascii="Garamond" w:eastAsia="Times New Roman" w:hAnsi="Garamond" w:cs="Times New Roman"/>
        </w:rPr>
        <w:t xml:space="preserve">, and Canada’s </w:t>
      </w:r>
      <w:hyperlink r:id="rId15" w:history="1">
        <w:r w:rsidR="00DD1D1E" w:rsidRPr="00B0396E">
          <w:rPr>
            <w:rFonts w:ascii="Garamond" w:eastAsia="Times New Roman" w:hAnsi="Garamond" w:cs="Times New Roman"/>
            <w:color w:val="0000FF"/>
            <w:u w:val="single"/>
          </w:rPr>
          <w:t>National Forest Inventory Calculator</w:t>
        </w:r>
      </w:hyperlink>
      <w:r w:rsidR="00DD1D1E" w:rsidRPr="00B0396E">
        <w:rPr>
          <w:rFonts w:ascii="Garamond" w:eastAsia="Times New Roman" w:hAnsi="Garamond" w:cs="Times New Roman"/>
        </w:rPr>
        <w:t xml:space="preserve"> exist. These models, however, focus on </w:t>
      </w:r>
      <w:r w:rsidRPr="00B0396E">
        <w:rPr>
          <w:rFonts w:ascii="Garamond" w:eastAsia="Times New Roman" w:hAnsi="Garamond" w:cs="Times New Roman"/>
        </w:rPr>
        <w:t xml:space="preserve">system or nation-wide calculations about biomass. Additionally, due to model complexity, it is likely not sustainable to have Middlebury regularly train interns in running such models to update the college’s greenhouse gas inventory. Other guidelines, such as those designed by BERC (Figure 2) provide simpler </w:t>
      </w:r>
      <w:proofErr w:type="gramStart"/>
      <w:r w:rsidRPr="00B0396E">
        <w:rPr>
          <w:rFonts w:ascii="Garamond" w:eastAsia="Times New Roman" w:hAnsi="Garamond" w:cs="Times New Roman"/>
        </w:rPr>
        <w:t>guidelines, but</w:t>
      </w:r>
      <w:proofErr w:type="gramEnd"/>
      <w:r w:rsidRPr="00B0396E">
        <w:rPr>
          <w:rFonts w:ascii="Garamond" w:eastAsia="Times New Roman" w:hAnsi="Garamond" w:cs="Times New Roman"/>
        </w:rPr>
        <w:t xml:space="preserve"> rely on several assumptions that may or may not accurately reflect the realities of Middlebury’s biomass system. This methodology, for example, assumes that if a stand’s carbon stores are regenerated within a human lifetime, combustion is carbo neutral. While this may be true in a lifecycle analysis, it is not necessarily true </w:t>
      </w:r>
      <w:r w:rsidR="00B0396E" w:rsidRPr="00B0396E">
        <w:rPr>
          <w:rFonts w:ascii="Garamond" w:eastAsia="Times New Roman" w:hAnsi="Garamond" w:cs="Times New Roman"/>
        </w:rPr>
        <w:t>in terms of annual accounting. Additionally, the model assumes that 90% of wood is sustainably harvested, a value they admit is a ‘conservative estimate.’ The reality is, we have very limited knowledge of how much of the wood we consume is sustainably harvested</w:t>
      </w:r>
      <w:r w:rsidR="00B0396E">
        <w:rPr>
          <w:rFonts w:ascii="Garamond" w:eastAsia="Times New Roman" w:hAnsi="Garamond" w:cs="Times New Roman"/>
        </w:rPr>
        <w:t>.</w:t>
      </w:r>
      <w:r w:rsidR="00B0396E" w:rsidRPr="00B0396E">
        <w:rPr>
          <w:rFonts w:ascii="Garamond" w:eastAsia="Times New Roman" w:hAnsi="Garamond" w:cs="Times New Roman"/>
        </w:rPr>
        <w:t xml:space="preserve"> </w:t>
      </w:r>
      <w:r w:rsidR="00B0396E">
        <w:rPr>
          <w:rFonts w:ascii="Garamond" w:eastAsia="Times New Roman" w:hAnsi="Garamond" w:cs="Times New Roman"/>
        </w:rPr>
        <w:t>A</w:t>
      </w:r>
      <w:r w:rsidR="00B0396E" w:rsidRPr="00B0396E">
        <w:rPr>
          <w:rFonts w:ascii="Garamond" w:eastAsia="Times New Roman" w:hAnsi="Garamond" w:cs="Times New Roman"/>
        </w:rPr>
        <w:t xml:space="preserve">ccording to a </w:t>
      </w:r>
      <w:hyperlink r:id="rId16" w:history="1">
        <w:r w:rsidR="00B0396E" w:rsidRPr="00B0396E">
          <w:rPr>
            <w:rFonts w:ascii="Garamond" w:eastAsia="Times New Roman" w:hAnsi="Garamond" w:cs="Times New Roman"/>
            <w:color w:val="0000FF"/>
            <w:u w:val="single"/>
          </w:rPr>
          <w:t>senior thesis</w:t>
        </w:r>
      </w:hyperlink>
      <w:r w:rsidR="00B0396E" w:rsidRPr="00B0396E">
        <w:rPr>
          <w:rFonts w:ascii="Garamond" w:eastAsia="Times New Roman" w:hAnsi="Garamond" w:cs="Times New Roman"/>
        </w:rPr>
        <w:t xml:space="preserve"> by Ellen </w:t>
      </w:r>
      <w:proofErr w:type="spellStart"/>
      <w:r w:rsidR="00B0396E" w:rsidRPr="00B0396E">
        <w:rPr>
          <w:rFonts w:ascii="Garamond" w:eastAsia="Times New Roman" w:hAnsi="Garamond" w:cs="Times New Roman"/>
        </w:rPr>
        <w:t>Kerchner</w:t>
      </w:r>
      <w:proofErr w:type="spellEnd"/>
      <w:r w:rsidR="00B0396E">
        <w:rPr>
          <w:rFonts w:ascii="Garamond" w:eastAsia="Times New Roman" w:hAnsi="Garamond" w:cs="Times New Roman"/>
        </w:rPr>
        <w:t xml:space="preserve"> ’15, all of three of the harvest sites she visited met Vermont Family Forest guidelines for sustainable harvesting. As such, it was decided that it made the most sense to develop new methodology for this project that allows for calculations </w:t>
      </w:r>
      <w:r w:rsidR="00B0396E">
        <w:rPr>
          <w:rFonts w:ascii="Garamond" w:eastAsia="Times New Roman" w:hAnsi="Garamond" w:cs="Times New Roman"/>
        </w:rPr>
        <w:lastRenderedPageBreak/>
        <w:t xml:space="preserve">related to not only biomass emissions, but also related sequestration and upstream emissions from harvesting, chipping, and transporting the fuel stock. </w:t>
      </w:r>
    </w:p>
    <w:p w14:paraId="267DAF1F" w14:textId="3EB40ECE" w:rsidR="00B0396E" w:rsidRPr="0003684F" w:rsidRDefault="00B0396E" w:rsidP="0003684F">
      <w:pPr>
        <w:spacing w:line="480" w:lineRule="auto"/>
        <w:rPr>
          <w:rFonts w:ascii="Garamond" w:eastAsia="Times New Roman" w:hAnsi="Garamond" w:cs="Times New Roman"/>
        </w:rPr>
      </w:pPr>
    </w:p>
    <w:p w14:paraId="1CA8C6CF" w14:textId="4AD1B379" w:rsidR="00B0396E" w:rsidRPr="0003684F" w:rsidRDefault="00B0396E" w:rsidP="0003684F">
      <w:pPr>
        <w:spacing w:line="480" w:lineRule="auto"/>
        <w:rPr>
          <w:rFonts w:ascii="Garamond" w:eastAsia="Times New Roman" w:hAnsi="Garamond" w:cs="Times New Roman"/>
          <w:b/>
          <w:bCs/>
        </w:rPr>
      </w:pPr>
      <w:r w:rsidRPr="0003684F">
        <w:rPr>
          <w:rFonts w:ascii="Garamond" w:eastAsia="Times New Roman" w:hAnsi="Garamond" w:cs="Times New Roman"/>
          <w:b/>
          <w:bCs/>
        </w:rPr>
        <w:t>Methodology</w:t>
      </w:r>
    </w:p>
    <w:p w14:paraId="69DF17EC" w14:textId="7E3C9CEE" w:rsidR="00B0396E" w:rsidRPr="0003684F" w:rsidRDefault="00B0396E" w:rsidP="0003684F">
      <w:pPr>
        <w:spacing w:line="480" w:lineRule="auto"/>
        <w:rPr>
          <w:rFonts w:ascii="Garamond" w:eastAsia="Times New Roman" w:hAnsi="Garamond" w:cs="Times New Roman"/>
        </w:rPr>
      </w:pPr>
      <w:r w:rsidRPr="0003684F">
        <w:rPr>
          <w:rFonts w:ascii="Garamond" w:eastAsia="Times New Roman" w:hAnsi="Garamond" w:cs="Times New Roman"/>
          <w:b/>
          <w:bCs/>
        </w:rPr>
        <w:tab/>
      </w:r>
      <w:r w:rsidRPr="0003684F">
        <w:rPr>
          <w:rFonts w:ascii="Garamond" w:eastAsia="Times New Roman" w:hAnsi="Garamond" w:cs="Times New Roman"/>
        </w:rPr>
        <w:t>Ultimately, the developed methodology is broken into three categories: direct (scope 1) emissions from combustion, indirect (scope 3) emissions from upstream harvesting, production, and transportation of woodchips, and sequestration of carbon.</w:t>
      </w:r>
    </w:p>
    <w:p w14:paraId="70CABE44" w14:textId="1CD3ADEA" w:rsidR="0003684F" w:rsidRPr="0003684F" w:rsidRDefault="0003684F" w:rsidP="00D0468C">
      <w:pPr>
        <w:spacing w:line="480" w:lineRule="auto"/>
        <w:rPr>
          <w:rFonts w:ascii="Garamond" w:eastAsia="Times New Roman" w:hAnsi="Garamond" w:cs="Times New Roman"/>
        </w:rPr>
      </w:pPr>
      <w:r w:rsidRPr="0003684F">
        <w:rPr>
          <w:rFonts w:ascii="Garamond" w:eastAsia="Times New Roman" w:hAnsi="Garamond" w:cs="Times New Roman"/>
        </w:rPr>
        <w:tab/>
        <w:t xml:space="preserve">Direct emissions are primarily a function of how many tons of woodchips are gasified each year. This data is collected each year by Jenn Pottinger, Facility Services’ Customer Service Coordinator. A </w:t>
      </w:r>
      <w:hyperlink r:id="rId17" w:history="1">
        <w:r w:rsidRPr="0003684F">
          <w:rPr>
            <w:rFonts w:ascii="Garamond" w:eastAsia="Times New Roman" w:hAnsi="Garamond" w:cs="Times New Roman"/>
            <w:color w:val="0000FF"/>
            <w:u w:val="single"/>
          </w:rPr>
          <w:t>2003 study</w:t>
        </w:r>
      </w:hyperlink>
      <w:r w:rsidRPr="0003684F">
        <w:rPr>
          <w:rFonts w:ascii="Garamond" w:eastAsia="Times New Roman" w:hAnsi="Garamond" w:cs="Times New Roman"/>
        </w:rPr>
        <w:t xml:space="preserve"> of the carbon content in Northeastern hardwoods allowed for calculating how much carbon dioxide is released from gasifying those woodchips. Lastly, EPA </w:t>
      </w:r>
      <w:hyperlink r:id="rId18" w:history="1">
        <w:r w:rsidRPr="0003684F">
          <w:rPr>
            <w:rFonts w:ascii="Garamond" w:eastAsia="Times New Roman" w:hAnsi="Garamond" w:cs="Times New Roman"/>
            <w:color w:val="0000FF"/>
            <w:u w:val="single"/>
          </w:rPr>
          <w:t>conversion factors</w:t>
        </w:r>
      </w:hyperlink>
      <w:r w:rsidRPr="0003684F">
        <w:rPr>
          <w:rFonts w:ascii="Garamond" w:eastAsia="Times New Roman" w:hAnsi="Garamond" w:cs="Times New Roman"/>
        </w:rPr>
        <w:t xml:space="preserve"> were used to calculate the methane and nitrous oxide emissions from biomass gasification and their relative global warming potentials to derive a final MTCDE value for combustion.</w:t>
      </w:r>
    </w:p>
    <w:p w14:paraId="79406864" w14:textId="36F1C954" w:rsidR="00D0468C" w:rsidRDefault="0003684F" w:rsidP="00D0468C">
      <w:pPr>
        <w:spacing w:line="480" w:lineRule="auto"/>
        <w:rPr>
          <w:rFonts w:ascii="Garamond" w:eastAsia="Times New Roman" w:hAnsi="Garamond" w:cs="Times New Roman"/>
        </w:rPr>
      </w:pPr>
      <w:r w:rsidRPr="0003684F">
        <w:rPr>
          <w:rFonts w:ascii="Garamond" w:eastAsia="Times New Roman" w:hAnsi="Garamond" w:cs="Times New Roman"/>
        </w:rPr>
        <w:tab/>
        <w:t xml:space="preserve">Indirect (scope 3) emissions were broken down into four categories: tree harvesting, transportation from harvest site to chipping site, operating the chipping machinery, and transportation from chipping site to Middlebury. This is in line with the Greenhouse Gas Protocols’ </w:t>
      </w:r>
      <w:hyperlink r:id="rId19" w:history="1">
        <w:r w:rsidRPr="0003684F">
          <w:rPr>
            <w:rFonts w:ascii="Garamond" w:eastAsia="Times New Roman" w:hAnsi="Garamond" w:cs="Times New Roman"/>
            <w:color w:val="0000FF"/>
            <w:u w:val="single"/>
          </w:rPr>
          <w:t>scope 3 calculation guidance</w:t>
        </w:r>
      </w:hyperlink>
      <w:r w:rsidRPr="0003684F">
        <w:rPr>
          <w:rFonts w:ascii="Garamond" w:eastAsia="Times New Roman" w:hAnsi="Garamond" w:cs="Times New Roman"/>
        </w:rPr>
        <w:t xml:space="preserve">. </w:t>
      </w:r>
      <w:r>
        <w:rPr>
          <w:rFonts w:ascii="Garamond" w:eastAsia="Times New Roman" w:hAnsi="Garamond" w:cs="Times New Roman"/>
        </w:rPr>
        <w:t xml:space="preserve">Unfortunately, during summer 2020, Middlebury’s biomass plant was not operating due to campus closures related to COVID-19. This made it difficult to be in contact with Lathrop Forest Products, the company that harvests </w:t>
      </w:r>
      <w:r w:rsidR="00D0468C">
        <w:rPr>
          <w:rFonts w:ascii="Garamond" w:eastAsia="Times New Roman" w:hAnsi="Garamond" w:cs="Times New Roman"/>
        </w:rPr>
        <w:t xml:space="preserve">and processes all of our woodchips. Mike Moser, Director of Facility Services, however, was able to get in contact with Chris Acker, who runs </w:t>
      </w:r>
      <w:r w:rsidR="00D0468C" w:rsidRPr="00D0468C">
        <w:rPr>
          <w:rFonts w:ascii="Garamond" w:eastAsia="Times New Roman" w:hAnsi="Garamond" w:cs="Times New Roman"/>
        </w:rPr>
        <w:t>Acker Excavating, the delivery company Middlebury contracts with to get woodchips. Mike relayed the following information</w:t>
      </w:r>
      <w:r w:rsidR="00D0468C">
        <w:rPr>
          <w:rFonts w:ascii="Garamond" w:eastAsia="Times New Roman" w:hAnsi="Garamond" w:cs="Times New Roman"/>
        </w:rPr>
        <w:t>.</w:t>
      </w:r>
      <w:r w:rsidR="00D0468C" w:rsidRPr="00D0468C">
        <w:rPr>
          <w:rFonts w:ascii="Garamond" w:eastAsia="Times New Roman" w:hAnsi="Garamond" w:cs="Times New Roman"/>
        </w:rPr>
        <w:t xml:space="preserve"> </w:t>
      </w:r>
    </w:p>
    <w:p w14:paraId="6F9376B7" w14:textId="67E2C946" w:rsidR="00D0468C" w:rsidRPr="00D0468C" w:rsidRDefault="00D0468C" w:rsidP="00D0468C">
      <w:pPr>
        <w:spacing w:line="480" w:lineRule="auto"/>
        <w:ind w:left="720"/>
        <w:rPr>
          <w:rFonts w:ascii="Garamond" w:eastAsia="Times New Roman" w:hAnsi="Garamond" w:cs="Arial"/>
        </w:rPr>
      </w:pPr>
      <w:r w:rsidRPr="00D0468C">
        <w:rPr>
          <w:rFonts w:ascii="Garamond" w:eastAsia="Times New Roman" w:hAnsi="Garamond" w:cs="Times New Roman"/>
        </w:rPr>
        <w:t>“</w:t>
      </w:r>
      <w:r w:rsidRPr="00D0468C">
        <w:rPr>
          <w:rFonts w:ascii="Garamond" w:eastAsia="Times New Roman" w:hAnsi="Garamond" w:cs="Arial"/>
        </w:rPr>
        <w:t xml:space="preserve">From Chris Acker (who’s very in touch with Lathrop logging process).  For a single </w:t>
      </w:r>
      <w:proofErr w:type="gramStart"/>
      <w:r w:rsidRPr="00D0468C">
        <w:rPr>
          <w:rFonts w:ascii="Garamond" w:eastAsia="Times New Roman" w:hAnsi="Garamond" w:cs="Arial"/>
        </w:rPr>
        <w:t>30 ton</w:t>
      </w:r>
      <w:proofErr w:type="gramEnd"/>
      <w:r w:rsidRPr="00D0468C">
        <w:rPr>
          <w:rFonts w:ascii="Garamond" w:eastAsia="Times New Roman" w:hAnsi="Garamond" w:cs="Arial"/>
        </w:rPr>
        <w:t xml:space="preserve"> load of chips of </w:t>
      </w:r>
      <w:proofErr w:type="spellStart"/>
      <w:r w:rsidRPr="00D0468C">
        <w:rPr>
          <w:rFonts w:ascii="Garamond" w:eastAsia="Times New Roman" w:hAnsi="Garamond" w:cs="Arial"/>
        </w:rPr>
        <w:t>Midd</w:t>
      </w:r>
      <w:proofErr w:type="spellEnd"/>
      <w:r w:rsidRPr="00D0468C">
        <w:rPr>
          <w:rFonts w:ascii="Garamond" w:eastAsia="Times New Roman" w:hAnsi="Garamond" w:cs="Arial"/>
        </w:rPr>
        <w:t xml:space="preserve">:  log cutter operates about ½ hour and consumes 5 gallons of </w:t>
      </w:r>
      <w:r w:rsidRPr="00D0468C">
        <w:rPr>
          <w:rFonts w:ascii="Garamond" w:eastAsia="Times New Roman" w:hAnsi="Garamond" w:cs="Arial"/>
        </w:rPr>
        <w:lastRenderedPageBreak/>
        <w:t xml:space="preserve">diesel.  Skidder operates for about 1 hour and consumes 5 gallons of diesel.  Assume about 10 gallons to load a log truck in wood and drive truck to Lathrop mill in Bristol, and unload truck at mill.  Assume about 5 gallons to chip 30 tons of logs at mill.  Assume another 5 </w:t>
      </w:r>
      <w:proofErr w:type="spellStart"/>
      <w:r w:rsidRPr="00D0468C">
        <w:rPr>
          <w:rFonts w:ascii="Garamond" w:eastAsia="Times New Roman" w:hAnsi="Garamond" w:cs="Arial"/>
        </w:rPr>
        <w:t>misc</w:t>
      </w:r>
      <w:proofErr w:type="spellEnd"/>
      <w:r w:rsidRPr="00D0468C">
        <w:rPr>
          <w:rFonts w:ascii="Garamond" w:eastAsia="Times New Roman" w:hAnsi="Garamond" w:cs="Arial"/>
        </w:rPr>
        <w:t xml:space="preserve"> gallons to load chip truck at mill and other parts of operation.  So…. 30 gallons of diesel / 30 tons of chips from harvest to loaded truck at mill ready for delivery to College</w:t>
      </w:r>
      <w:r>
        <w:rPr>
          <w:rFonts w:ascii="Garamond" w:eastAsia="Times New Roman" w:hAnsi="Garamond" w:cs="Arial"/>
        </w:rPr>
        <w:t>”</w:t>
      </w:r>
    </w:p>
    <w:p w14:paraId="6C4303BC" w14:textId="67B903D2" w:rsidR="0003684F" w:rsidRPr="00EB7E5B" w:rsidRDefault="00D0468C" w:rsidP="00EB7E5B">
      <w:pPr>
        <w:spacing w:line="480" w:lineRule="auto"/>
        <w:rPr>
          <w:rFonts w:ascii="Garamond" w:eastAsia="Times New Roman" w:hAnsi="Garamond" w:cs="Times New Roman"/>
        </w:rPr>
      </w:pPr>
      <w:r>
        <w:rPr>
          <w:rFonts w:ascii="Garamond" w:eastAsia="Times New Roman" w:hAnsi="Garamond" w:cs="Times New Roman"/>
        </w:rPr>
        <w:t xml:space="preserve">Jenn Pottinger also has a log of how many deliveries are made each year. This allows for calculations to produce how many gallons of diesel are combusted annually upstream to get woodchips to the </w:t>
      </w:r>
      <w:r w:rsidRPr="00EB7E5B">
        <w:rPr>
          <w:rFonts w:ascii="Garamond" w:eastAsia="Times New Roman" w:hAnsi="Garamond" w:cs="Times New Roman"/>
        </w:rPr>
        <w:t>biomass plant. For consistency purposes, the emissions factor for diesel from the current Middlebury greenhouse gas inventory on diesel emissions was used to calculate MTCDE emitted from diesel.</w:t>
      </w:r>
    </w:p>
    <w:p w14:paraId="1AE084F1" w14:textId="4BA44A28" w:rsidR="00E92E2A" w:rsidRDefault="00D0468C" w:rsidP="00E92E2A">
      <w:pPr>
        <w:spacing w:line="480" w:lineRule="auto"/>
        <w:rPr>
          <w:rFonts w:ascii="Garamond" w:eastAsia="Times New Roman" w:hAnsi="Garamond" w:cs="Times New Roman"/>
        </w:rPr>
      </w:pPr>
      <w:r w:rsidRPr="00EB7E5B">
        <w:rPr>
          <w:rFonts w:ascii="Garamond" w:eastAsia="Times New Roman" w:hAnsi="Garamond" w:cs="Times New Roman"/>
        </w:rPr>
        <w:tab/>
        <w:t xml:space="preserve">Lastly, sequestration needed to be calculated. Every year the Vermont Agency of Natural Resources publishes </w:t>
      </w:r>
      <w:hyperlink r:id="rId20" w:history="1">
        <w:r w:rsidRPr="00EB7E5B">
          <w:rPr>
            <w:rFonts w:ascii="Garamond" w:eastAsia="Times New Roman" w:hAnsi="Garamond" w:cs="Times New Roman"/>
            <w:color w:val="0000FF"/>
            <w:u w:val="single"/>
          </w:rPr>
          <w:t>annual harvest reports</w:t>
        </w:r>
      </w:hyperlink>
      <w:r w:rsidRPr="00EB7E5B">
        <w:rPr>
          <w:rFonts w:ascii="Garamond" w:eastAsia="Times New Roman" w:hAnsi="Garamond" w:cs="Times New Roman"/>
        </w:rPr>
        <w:t xml:space="preserve">. </w:t>
      </w:r>
      <w:r w:rsidR="00EB7E5B" w:rsidRPr="00EB7E5B">
        <w:rPr>
          <w:rFonts w:ascii="Garamond" w:eastAsia="Times New Roman" w:hAnsi="Garamond" w:cs="Times New Roman"/>
        </w:rPr>
        <w:t xml:space="preserve">Given that the total wood consumption of Middlebury annually is known, the percent of annual harvests from Middlebury can be calculated. Additionally, the USDA publishes </w:t>
      </w:r>
      <w:hyperlink r:id="rId21" w:history="1">
        <w:r w:rsidR="00EB7E5B" w:rsidRPr="00EB7E5B">
          <w:rPr>
            <w:rFonts w:ascii="Garamond" w:eastAsia="Times New Roman" w:hAnsi="Garamond" w:cs="Times New Roman"/>
            <w:color w:val="0000FF"/>
            <w:u w:val="single"/>
          </w:rPr>
          <w:t>net sequestration numbers</w:t>
        </w:r>
      </w:hyperlink>
      <w:r w:rsidR="00EB7E5B" w:rsidRPr="00EB7E5B">
        <w:rPr>
          <w:rFonts w:ascii="Garamond" w:eastAsia="Times New Roman" w:hAnsi="Garamond" w:cs="Times New Roman"/>
        </w:rPr>
        <w:t xml:space="preserve"> for Vermont.</w:t>
      </w:r>
      <w:r w:rsidR="00EB7E5B">
        <w:rPr>
          <w:rFonts w:ascii="Garamond" w:eastAsia="Times New Roman" w:hAnsi="Garamond" w:cs="Times New Roman"/>
        </w:rPr>
        <w:t xml:space="preserve"> From here, a proportionate amount of sequestration for Middlebury can be calculated. Of course, not all sequestrations are the result of the wood products industry, so this number provides one end of the extreme boundaries. The calculator has a tool to change this percentage to see different sequestration numbers based on different assumption about what percent of sequestration can be seen as ‘upstream.’ Additionally, it should be noted that while these numbers represent the broad range of the impacts of Middlebury’s biomass plant, it would be inappropriate to actually claim ownership of those sequestrations, as that growth is occurring on land owned by others.</w:t>
      </w:r>
    </w:p>
    <w:p w14:paraId="78BDC3BC" w14:textId="07B79C2F" w:rsidR="00EB7E5B" w:rsidRDefault="00EB7E5B" w:rsidP="00E92E2A">
      <w:pPr>
        <w:spacing w:line="480" w:lineRule="auto"/>
        <w:rPr>
          <w:rFonts w:ascii="Garamond" w:eastAsia="Times New Roman" w:hAnsi="Garamond" w:cs="Times New Roman"/>
        </w:rPr>
      </w:pPr>
    </w:p>
    <w:p w14:paraId="29EF62E9" w14:textId="5FB24216" w:rsidR="00745B66" w:rsidRDefault="00745B66" w:rsidP="00E92E2A">
      <w:pPr>
        <w:spacing w:line="480" w:lineRule="auto"/>
        <w:rPr>
          <w:rFonts w:ascii="Garamond" w:eastAsia="Times New Roman" w:hAnsi="Garamond" w:cs="Times New Roman"/>
        </w:rPr>
      </w:pPr>
    </w:p>
    <w:p w14:paraId="549E1DBB" w14:textId="77777777" w:rsidR="00745B66" w:rsidRDefault="00745B66" w:rsidP="00E92E2A">
      <w:pPr>
        <w:spacing w:line="480" w:lineRule="auto"/>
        <w:rPr>
          <w:rFonts w:ascii="Garamond" w:eastAsia="Times New Roman" w:hAnsi="Garamond" w:cs="Times New Roman"/>
        </w:rPr>
      </w:pPr>
    </w:p>
    <w:p w14:paraId="3D071C2E" w14:textId="55027C40" w:rsidR="00EA06DA" w:rsidRPr="00EA06DA" w:rsidRDefault="00EB7E5B" w:rsidP="00EA06DA">
      <w:pPr>
        <w:spacing w:line="480" w:lineRule="auto"/>
        <w:rPr>
          <w:rFonts w:ascii="Garamond" w:eastAsia="Times New Roman" w:hAnsi="Garamond" w:cs="Times New Roman"/>
          <w:b/>
          <w:bCs/>
        </w:rPr>
      </w:pPr>
      <w:r>
        <w:rPr>
          <w:rFonts w:ascii="Garamond" w:eastAsia="Times New Roman" w:hAnsi="Garamond" w:cs="Times New Roman"/>
          <w:b/>
          <w:bCs/>
        </w:rPr>
        <w:lastRenderedPageBreak/>
        <w:t>Result</w:t>
      </w:r>
      <w:r w:rsidR="008F404C">
        <w:rPr>
          <w:rFonts w:ascii="Garamond" w:eastAsia="Times New Roman" w:hAnsi="Garamond" w:cs="Times New Roman"/>
          <w:b/>
          <w:bCs/>
        </w:rPr>
        <w:t>s and Discussion</w:t>
      </w:r>
      <w:r w:rsidR="00EA06DA">
        <w:rPr>
          <w:rFonts w:ascii="Garamond" w:hAnsi="Garamond"/>
        </w:rPr>
        <w:t xml:space="preserve">     </w:t>
      </w:r>
    </w:p>
    <w:tbl>
      <w:tblPr>
        <w:tblStyle w:val="TableGrid"/>
        <w:tblpPr w:leftFromText="180" w:rightFromText="180" w:vertAnchor="text" w:horzAnchor="margin" w:tblpY="2717"/>
        <w:tblW w:w="0" w:type="auto"/>
        <w:tblLook w:val="04A0" w:firstRow="1" w:lastRow="0" w:firstColumn="1" w:lastColumn="0" w:noHBand="0" w:noVBand="1"/>
      </w:tblPr>
      <w:tblGrid>
        <w:gridCol w:w="3240"/>
        <w:gridCol w:w="1975"/>
      </w:tblGrid>
      <w:tr w:rsidR="00EA06DA" w14:paraId="0C8DE20B" w14:textId="77777777" w:rsidTr="00EA06DA">
        <w:tc>
          <w:tcPr>
            <w:tcW w:w="3240" w:type="dxa"/>
          </w:tcPr>
          <w:p w14:paraId="75DFCE79" w14:textId="77777777" w:rsidR="00EA06DA" w:rsidRPr="00EB7E5B" w:rsidRDefault="00EA06DA" w:rsidP="00EA06DA">
            <w:pPr>
              <w:rPr>
                <w:rFonts w:ascii="Garamond" w:eastAsia="Times New Roman" w:hAnsi="Garamond" w:cs="Times New Roman"/>
              </w:rPr>
            </w:pPr>
            <w:r>
              <w:rPr>
                <w:rFonts w:ascii="Garamond" w:eastAsia="Times New Roman" w:hAnsi="Garamond" w:cs="Times New Roman"/>
              </w:rPr>
              <w:t>Biomass combustion emissions</w:t>
            </w:r>
          </w:p>
        </w:tc>
        <w:tc>
          <w:tcPr>
            <w:tcW w:w="1975" w:type="dxa"/>
          </w:tcPr>
          <w:p w14:paraId="2600ECEC" w14:textId="77777777" w:rsidR="00EA06DA" w:rsidRPr="00EB7E5B" w:rsidRDefault="00EA06DA" w:rsidP="00EA06DA">
            <w:pPr>
              <w:rPr>
                <w:rFonts w:ascii="Garamond" w:eastAsia="Times New Roman" w:hAnsi="Garamond" w:cs="Times New Roman"/>
              </w:rPr>
            </w:pPr>
            <w:r w:rsidRPr="00EB7E5B">
              <w:rPr>
                <w:rFonts w:ascii="Garamond" w:eastAsia="Times New Roman" w:hAnsi="Garamond" w:cs="Times New Roman"/>
              </w:rPr>
              <w:t>34,438</w:t>
            </w:r>
            <w:r>
              <w:rPr>
                <w:rFonts w:ascii="Garamond" w:eastAsia="Times New Roman" w:hAnsi="Garamond" w:cs="Times New Roman"/>
              </w:rPr>
              <w:t xml:space="preserve"> MTCDE</w:t>
            </w:r>
          </w:p>
        </w:tc>
      </w:tr>
      <w:tr w:rsidR="00EA06DA" w14:paraId="1DA58607" w14:textId="77777777" w:rsidTr="00EA06DA">
        <w:tc>
          <w:tcPr>
            <w:tcW w:w="3240" w:type="dxa"/>
          </w:tcPr>
          <w:p w14:paraId="3A257E56" w14:textId="77777777" w:rsidR="00EA06DA" w:rsidRPr="00EB7E5B" w:rsidRDefault="00EA06DA" w:rsidP="00EA06DA">
            <w:pPr>
              <w:rPr>
                <w:rFonts w:ascii="Garamond" w:eastAsia="Times New Roman" w:hAnsi="Garamond" w:cs="Times New Roman"/>
              </w:rPr>
            </w:pPr>
            <w:r>
              <w:rPr>
                <w:rFonts w:ascii="Garamond" w:eastAsia="Times New Roman" w:hAnsi="Garamond" w:cs="Times New Roman"/>
              </w:rPr>
              <w:t>Upstream emissions</w:t>
            </w:r>
          </w:p>
        </w:tc>
        <w:tc>
          <w:tcPr>
            <w:tcW w:w="1975" w:type="dxa"/>
          </w:tcPr>
          <w:p w14:paraId="4B6C87E0" w14:textId="77777777" w:rsidR="00EA06DA" w:rsidRPr="00EB7E5B" w:rsidRDefault="00EA06DA" w:rsidP="00EA06DA">
            <w:pPr>
              <w:rPr>
                <w:rFonts w:ascii="Garamond" w:eastAsia="Times New Roman" w:hAnsi="Garamond" w:cs="Times New Roman"/>
              </w:rPr>
            </w:pPr>
            <w:r>
              <w:rPr>
                <w:rFonts w:ascii="Garamond" w:eastAsia="Times New Roman" w:hAnsi="Garamond" w:cs="Times New Roman"/>
              </w:rPr>
              <w:t>210 MTCDE</w:t>
            </w:r>
          </w:p>
        </w:tc>
      </w:tr>
      <w:tr w:rsidR="00EA06DA" w14:paraId="69FE9D75" w14:textId="77777777" w:rsidTr="00EA06DA">
        <w:tc>
          <w:tcPr>
            <w:tcW w:w="3240" w:type="dxa"/>
          </w:tcPr>
          <w:p w14:paraId="7213725D" w14:textId="77777777" w:rsidR="00EA06DA" w:rsidRPr="00745B66" w:rsidRDefault="00EA06DA" w:rsidP="00EA06DA">
            <w:pPr>
              <w:rPr>
                <w:rFonts w:ascii="Garamond" w:eastAsia="Times New Roman" w:hAnsi="Garamond" w:cs="Times New Roman"/>
              </w:rPr>
            </w:pPr>
            <w:r>
              <w:rPr>
                <w:rFonts w:ascii="Garamond" w:eastAsia="Times New Roman" w:hAnsi="Garamond" w:cs="Times New Roman"/>
              </w:rPr>
              <w:t>Total proportionate sequestration</w:t>
            </w:r>
          </w:p>
        </w:tc>
        <w:tc>
          <w:tcPr>
            <w:tcW w:w="1975" w:type="dxa"/>
          </w:tcPr>
          <w:p w14:paraId="6F173FFC" w14:textId="77777777" w:rsidR="00EA06DA" w:rsidRPr="00745B66" w:rsidRDefault="00EA06DA" w:rsidP="00EA06DA">
            <w:pPr>
              <w:rPr>
                <w:rFonts w:ascii="Garamond" w:eastAsia="Times New Roman" w:hAnsi="Garamond" w:cs="Times New Roman"/>
              </w:rPr>
            </w:pPr>
            <w:r>
              <w:rPr>
                <w:rFonts w:ascii="Garamond" w:eastAsia="Times New Roman" w:hAnsi="Garamond" w:cs="Times New Roman"/>
              </w:rPr>
              <w:t>-</w:t>
            </w:r>
            <w:r w:rsidRPr="00745B66">
              <w:rPr>
                <w:rFonts w:ascii="Garamond" w:eastAsia="Times New Roman" w:hAnsi="Garamond" w:cs="Times New Roman"/>
              </w:rPr>
              <w:t>59,049 MTCDE</w:t>
            </w:r>
          </w:p>
        </w:tc>
      </w:tr>
      <w:tr w:rsidR="00EA06DA" w14:paraId="1FFC0E1A" w14:textId="77777777" w:rsidTr="00EA06DA">
        <w:tc>
          <w:tcPr>
            <w:tcW w:w="3240" w:type="dxa"/>
          </w:tcPr>
          <w:p w14:paraId="67EB7588" w14:textId="77777777" w:rsidR="00EA06DA" w:rsidRPr="00745B66" w:rsidRDefault="00EA06DA" w:rsidP="00EA06DA">
            <w:pPr>
              <w:rPr>
                <w:rFonts w:ascii="Garamond" w:eastAsia="Times New Roman" w:hAnsi="Garamond" w:cs="Times New Roman"/>
              </w:rPr>
            </w:pPr>
            <w:r w:rsidRPr="00745B66">
              <w:rPr>
                <w:rFonts w:ascii="Garamond" w:eastAsia="Times New Roman" w:hAnsi="Garamond" w:cs="Times New Roman"/>
              </w:rPr>
              <w:t>Maximum emissions (assumes no claimable sequestration)</w:t>
            </w:r>
          </w:p>
        </w:tc>
        <w:tc>
          <w:tcPr>
            <w:tcW w:w="1975" w:type="dxa"/>
          </w:tcPr>
          <w:p w14:paraId="4F08CF0D" w14:textId="77777777" w:rsidR="00EA06DA" w:rsidRPr="00745B66" w:rsidRDefault="00EA06DA" w:rsidP="00EA06DA">
            <w:pPr>
              <w:rPr>
                <w:rFonts w:ascii="Garamond" w:eastAsia="Times New Roman" w:hAnsi="Garamond" w:cs="Times New Roman"/>
              </w:rPr>
            </w:pPr>
            <w:r w:rsidRPr="00745B66">
              <w:rPr>
                <w:rFonts w:ascii="Garamond" w:eastAsia="Times New Roman" w:hAnsi="Garamond" w:cs="Times New Roman"/>
              </w:rPr>
              <w:t>34,648 MTCDE</w:t>
            </w:r>
          </w:p>
        </w:tc>
      </w:tr>
      <w:tr w:rsidR="00EA06DA" w14:paraId="394680C0" w14:textId="77777777" w:rsidTr="00EA06DA">
        <w:tc>
          <w:tcPr>
            <w:tcW w:w="3240" w:type="dxa"/>
          </w:tcPr>
          <w:p w14:paraId="23B5AFE6" w14:textId="77777777" w:rsidR="00EA06DA" w:rsidRPr="00745B66" w:rsidRDefault="00EA06DA" w:rsidP="00EA06DA">
            <w:pPr>
              <w:rPr>
                <w:rFonts w:ascii="Garamond" w:eastAsia="Times New Roman" w:hAnsi="Garamond" w:cs="Times New Roman"/>
              </w:rPr>
            </w:pPr>
            <w:r w:rsidRPr="00745B66">
              <w:rPr>
                <w:rFonts w:ascii="Garamond" w:eastAsia="Times New Roman" w:hAnsi="Garamond" w:cs="Times New Roman"/>
              </w:rPr>
              <w:t>Minimum emissions (assumes all sequestration is claimable)</w:t>
            </w:r>
          </w:p>
        </w:tc>
        <w:tc>
          <w:tcPr>
            <w:tcW w:w="1975" w:type="dxa"/>
          </w:tcPr>
          <w:p w14:paraId="0C29C3BA" w14:textId="77777777" w:rsidR="00EA06DA" w:rsidRPr="00745B66" w:rsidRDefault="00EA06DA" w:rsidP="00EA06DA">
            <w:pPr>
              <w:rPr>
                <w:rFonts w:ascii="Garamond" w:eastAsia="Times New Roman" w:hAnsi="Garamond" w:cs="Times New Roman"/>
              </w:rPr>
            </w:pPr>
            <w:r w:rsidRPr="00745B66">
              <w:rPr>
                <w:rFonts w:ascii="Garamond" w:eastAsia="Times New Roman" w:hAnsi="Garamond" w:cs="Times New Roman"/>
              </w:rPr>
              <w:t>24,402 MTCDE</w:t>
            </w:r>
          </w:p>
        </w:tc>
      </w:tr>
      <w:tr w:rsidR="00EA06DA" w14:paraId="569D9B46" w14:textId="77777777" w:rsidTr="00EA06DA">
        <w:tc>
          <w:tcPr>
            <w:tcW w:w="3240" w:type="dxa"/>
          </w:tcPr>
          <w:p w14:paraId="60C618D8" w14:textId="77777777" w:rsidR="00EA06DA" w:rsidRPr="00745B66" w:rsidRDefault="00EA06DA" w:rsidP="00EA06DA">
            <w:pPr>
              <w:rPr>
                <w:rFonts w:ascii="Garamond" w:eastAsia="Times New Roman" w:hAnsi="Garamond" w:cs="Times New Roman"/>
              </w:rPr>
            </w:pPr>
            <w:r>
              <w:rPr>
                <w:rFonts w:ascii="Garamond" w:eastAsia="Times New Roman" w:hAnsi="Garamond" w:cs="Times New Roman"/>
              </w:rPr>
              <w:t>Amount of sequestration needed to be claimed to meet carbon neutrality</w:t>
            </w:r>
          </w:p>
        </w:tc>
        <w:tc>
          <w:tcPr>
            <w:tcW w:w="1975" w:type="dxa"/>
          </w:tcPr>
          <w:p w14:paraId="2AB4012B" w14:textId="77777777" w:rsidR="00EA06DA" w:rsidRPr="00745B66" w:rsidRDefault="00EA06DA" w:rsidP="00EA06DA">
            <w:pPr>
              <w:rPr>
                <w:rFonts w:ascii="Garamond" w:eastAsia="Times New Roman" w:hAnsi="Garamond" w:cs="Times New Roman"/>
              </w:rPr>
            </w:pPr>
            <w:r>
              <w:rPr>
                <w:rFonts w:ascii="Garamond" w:eastAsia="Times New Roman" w:hAnsi="Garamond" w:cs="Times New Roman"/>
              </w:rPr>
              <w:t>58.6%</w:t>
            </w:r>
          </w:p>
        </w:tc>
      </w:tr>
    </w:tbl>
    <w:p w14:paraId="5CB3372C" w14:textId="12875E1A" w:rsidR="00745B66" w:rsidRDefault="00EA06DA" w:rsidP="00E92E2A">
      <w:pPr>
        <w:spacing w:line="480" w:lineRule="auto"/>
        <w:rPr>
          <w:rFonts w:ascii="Garamond" w:eastAsia="Times New Roman" w:hAnsi="Garamond" w:cs="Times New Roman"/>
        </w:rPr>
      </w:pPr>
      <w:r>
        <w:rPr>
          <w:noProof/>
        </w:rPr>
        <w:t xml:space="preserve"> </w:t>
      </w:r>
      <w:r>
        <w:rPr>
          <w:noProof/>
        </w:rPr>
        <mc:AlternateContent>
          <mc:Choice Requires="wps">
            <w:drawing>
              <wp:anchor distT="0" distB="0" distL="114300" distR="114300" simplePos="0" relativeHeight="251663360" behindDoc="0" locked="0" layoutInCell="1" allowOverlap="1" wp14:anchorId="7837CCDC" wp14:editId="1555B630">
                <wp:simplePos x="0" y="0"/>
                <wp:positionH relativeFrom="column">
                  <wp:posOffset>11137</wp:posOffset>
                </wp:positionH>
                <wp:positionV relativeFrom="paragraph">
                  <wp:posOffset>1383665</wp:posOffset>
                </wp:positionV>
                <wp:extent cx="32639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63900" cy="1828800"/>
                        </a:xfrm>
                        <a:prstGeom prst="rect">
                          <a:avLst/>
                        </a:prstGeom>
                        <a:noFill/>
                        <a:ln w="6350">
                          <a:noFill/>
                        </a:ln>
                      </wps:spPr>
                      <wps:txbx>
                        <w:txbxContent>
                          <w:p w14:paraId="0243C7FB" w14:textId="587EDF03" w:rsidR="00EA06DA" w:rsidRPr="00EF3652" w:rsidRDefault="00EA06DA" w:rsidP="00EA06DA">
                            <w:pPr>
                              <w:pStyle w:val="Caption"/>
                              <w:keepNext/>
                              <w:rPr>
                                <w:rFonts w:ascii="Garamond" w:hAnsi="Garamond"/>
                              </w:rPr>
                            </w:pPr>
                            <w:r w:rsidRPr="00EA06DA">
                              <w:rPr>
                                <w:rFonts w:ascii="Garamond" w:hAnsi="Garamond"/>
                                <w:sz w:val="24"/>
                                <w:szCs w:val="24"/>
                              </w:rPr>
                              <w:t xml:space="preserve">Table </w:t>
                            </w:r>
                            <w:r w:rsidRPr="00EA06DA">
                              <w:rPr>
                                <w:rFonts w:ascii="Garamond" w:hAnsi="Garamond"/>
                                <w:sz w:val="24"/>
                                <w:szCs w:val="24"/>
                              </w:rPr>
                              <w:fldChar w:fldCharType="begin"/>
                            </w:r>
                            <w:r w:rsidRPr="00EA06DA">
                              <w:rPr>
                                <w:rFonts w:ascii="Garamond" w:hAnsi="Garamond"/>
                                <w:sz w:val="24"/>
                                <w:szCs w:val="24"/>
                              </w:rPr>
                              <w:instrText xml:space="preserve"> SEQ Table \* ARABIC </w:instrText>
                            </w:r>
                            <w:r w:rsidRPr="00EA06DA">
                              <w:rPr>
                                <w:rFonts w:ascii="Garamond" w:hAnsi="Garamond"/>
                                <w:sz w:val="24"/>
                                <w:szCs w:val="24"/>
                              </w:rPr>
                              <w:fldChar w:fldCharType="separate"/>
                            </w:r>
                            <w:r w:rsidRPr="00EA06DA">
                              <w:rPr>
                                <w:rFonts w:ascii="Garamond" w:hAnsi="Garamond"/>
                                <w:noProof/>
                                <w:sz w:val="24"/>
                                <w:szCs w:val="24"/>
                              </w:rPr>
                              <w:t>1</w:t>
                            </w:r>
                            <w:r w:rsidRPr="00EA06DA">
                              <w:rPr>
                                <w:rFonts w:ascii="Garamond" w:hAnsi="Garamond"/>
                                <w:sz w:val="24"/>
                                <w:szCs w:val="24"/>
                              </w:rPr>
                              <w:fldChar w:fldCharType="end"/>
                            </w:r>
                            <w:r w:rsidRPr="00EA06DA">
                              <w:rPr>
                                <w:rFonts w:ascii="Garamond" w:hAnsi="Garamond"/>
                                <w:sz w:val="24"/>
                                <w:szCs w:val="24"/>
                              </w:rPr>
                              <w:t>: FY 2019 Biomass emissions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37CCDC" id="Text Box 5" o:spid="_x0000_s1028" type="#_x0000_t202" style="position:absolute;margin-left:.9pt;margin-top:108.95pt;width:257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" filled="f" stroked="f" strokeweight=".5pt">
                <v:fill o:detectmouseclick="t"/>
                <v:textbox style="mso-fit-shape-to-text:t">
                  <w:txbxContent>
                    <w:p w14:paraId="0243C7FB" w14:textId="587EDF03" w:rsidR="00EA06DA" w:rsidRPr="00EF3652" w:rsidRDefault="00EA06DA" w:rsidP="00EA06DA">
                      <w:pPr>
                        <w:pStyle w:val="Caption"/>
                        <w:keepNext/>
                        <w:rPr>
                          <w:rFonts w:ascii="Garamond" w:hAnsi="Garamond"/>
                        </w:rPr>
                      </w:pPr>
                      <w:r w:rsidRPr="00EA06DA">
                        <w:rPr>
                          <w:rFonts w:ascii="Garamond" w:hAnsi="Garamond"/>
                          <w:sz w:val="24"/>
                          <w:szCs w:val="24"/>
                        </w:rPr>
                        <w:t xml:space="preserve">Table </w:t>
                      </w:r>
                      <w:r w:rsidRPr="00EA06DA">
                        <w:rPr>
                          <w:rFonts w:ascii="Garamond" w:hAnsi="Garamond"/>
                          <w:sz w:val="24"/>
                          <w:szCs w:val="24"/>
                        </w:rPr>
                        <w:fldChar w:fldCharType="begin"/>
                      </w:r>
                      <w:r w:rsidRPr="00EA06DA">
                        <w:rPr>
                          <w:rFonts w:ascii="Garamond" w:hAnsi="Garamond"/>
                          <w:sz w:val="24"/>
                          <w:szCs w:val="24"/>
                        </w:rPr>
                        <w:instrText xml:space="preserve"> SEQ Table \* ARABIC </w:instrText>
                      </w:r>
                      <w:r w:rsidRPr="00EA06DA">
                        <w:rPr>
                          <w:rFonts w:ascii="Garamond" w:hAnsi="Garamond"/>
                          <w:sz w:val="24"/>
                          <w:szCs w:val="24"/>
                        </w:rPr>
                        <w:fldChar w:fldCharType="separate"/>
                      </w:r>
                      <w:r w:rsidRPr="00EA06DA">
                        <w:rPr>
                          <w:rFonts w:ascii="Garamond" w:hAnsi="Garamond"/>
                          <w:noProof/>
                          <w:sz w:val="24"/>
                          <w:szCs w:val="24"/>
                        </w:rPr>
                        <w:t>1</w:t>
                      </w:r>
                      <w:r w:rsidRPr="00EA06DA">
                        <w:rPr>
                          <w:rFonts w:ascii="Garamond" w:hAnsi="Garamond"/>
                          <w:sz w:val="24"/>
                          <w:szCs w:val="24"/>
                        </w:rPr>
                        <w:fldChar w:fldCharType="end"/>
                      </w:r>
                      <w:r w:rsidRPr="00EA06DA">
                        <w:rPr>
                          <w:rFonts w:ascii="Garamond" w:hAnsi="Garamond"/>
                          <w:sz w:val="24"/>
                          <w:szCs w:val="24"/>
                        </w:rPr>
                        <w:t>: FY 2019 Biomass emissions numbers</w:t>
                      </w:r>
                    </w:p>
                  </w:txbxContent>
                </v:textbox>
                <w10:wrap type="square"/>
              </v:shape>
            </w:pict>
          </mc:Fallback>
        </mc:AlternateContent>
      </w:r>
      <w:r>
        <w:rPr>
          <w:noProof/>
        </w:rPr>
        <w:t xml:space="preserve">  </w:t>
      </w:r>
      <w:r w:rsidR="00745B66">
        <w:rPr>
          <w:rFonts w:ascii="Garamond" w:eastAsia="Times New Roman" w:hAnsi="Garamond" w:cs="Times New Roman"/>
        </w:rPr>
        <w:tab/>
        <w:t>All in all, the impacts of biomass on Middlebury’s carbon footprint is heavily based on how much of the sequestration occurring on harvested timberlands is occurring as a result of the wood product industry. This ultimate end up being a value judgement, and additional research is needed to determine more concrete numbers. For example, would sequestration be happening on timberlands without a wood products industry? Or would landowners be forced to develop that land in order to afford owning it. If this were the case, would additional funding models arise to keep the land forested?</w:t>
      </w:r>
      <w:r>
        <w:rPr>
          <w:rFonts w:ascii="Garamond" w:eastAsia="Times New Roman" w:hAnsi="Garamond" w:cs="Times New Roman"/>
        </w:rPr>
        <w:t xml:space="preserve"> Questions such as this make it incredibly difficult to calculate what portion of sequestration can truly be claimed as part of the biomass system. The created model, however, suggests that approximately 58.6% of those sequestrations would have to be directly related for the notion of ‘carbon neutrality’ to be a correct assumption for Middlebury to make (Table 1).</w:t>
      </w:r>
    </w:p>
    <w:p w14:paraId="394E61C0" w14:textId="06CB83AC" w:rsidR="00812269" w:rsidRDefault="00EA06DA" w:rsidP="00812269">
      <w:pPr>
        <w:keepNext/>
        <w:spacing w:line="480" w:lineRule="auto"/>
        <w:rPr>
          <w:rFonts w:ascii="Garamond" w:eastAsia="Times New Roman" w:hAnsi="Garamond" w:cs="Times New Roman"/>
        </w:rPr>
      </w:pPr>
      <w:r>
        <w:rPr>
          <w:rFonts w:ascii="Garamond" w:eastAsia="Times New Roman" w:hAnsi="Garamond" w:cs="Times New Roman"/>
        </w:rPr>
        <w:tab/>
      </w:r>
      <w:r w:rsidR="0036489F">
        <w:rPr>
          <w:rFonts w:ascii="Garamond" w:eastAsia="Times New Roman" w:hAnsi="Garamond" w:cs="Times New Roman"/>
        </w:rPr>
        <w:t xml:space="preserve">While this analysis might not help Middlebury home in on a </w:t>
      </w:r>
      <w:r w:rsidR="00812269">
        <w:rPr>
          <w:rFonts w:ascii="Garamond" w:eastAsia="Times New Roman" w:hAnsi="Garamond" w:cs="Times New Roman"/>
        </w:rPr>
        <w:t>highly precise</w:t>
      </w:r>
      <w:r w:rsidR="0036489F">
        <w:rPr>
          <w:rFonts w:ascii="Garamond" w:eastAsia="Times New Roman" w:hAnsi="Garamond" w:cs="Times New Roman"/>
        </w:rPr>
        <w:t xml:space="preserve"> final factor for annual biomass emissions, it does help set the range of values in which that number could exist.</w:t>
      </w:r>
      <w:r w:rsidR="00812269">
        <w:rPr>
          <w:rFonts w:ascii="Garamond" w:eastAsia="Times New Roman" w:hAnsi="Garamond" w:cs="Times New Roman"/>
        </w:rPr>
        <w:t xml:space="preserve"> As seen in figure 3, there is a quite a significant range depending on this assumption. As such, the story that is told about biomass is highly dependent on what assumptions are being made about what ought and ought not to be included within the boundaries of greenhouse gas accounting. In a model that accounts assume carbon neutrality (as Middlebury currently does), there is relatively little flux on a year to year basis. Meanwhile, because the amount of carbon released per unit of heat is relatively high for wood, the extreme ‘maximum’ sees Middlebury’s greenhouse gas inventory more than </w:t>
      </w:r>
      <w:r w:rsidR="00812269">
        <w:rPr>
          <w:rFonts w:ascii="Garamond" w:eastAsia="Times New Roman" w:hAnsi="Garamond" w:cs="Times New Roman"/>
          <w:noProof/>
        </w:rPr>
        <w:lastRenderedPageBreak/>
        <w:drawing>
          <wp:anchor distT="0" distB="0" distL="114300" distR="114300" simplePos="0" relativeHeight="251664384" behindDoc="0" locked="0" layoutInCell="1" allowOverlap="1" wp14:anchorId="6E121A47" wp14:editId="5570D88C">
            <wp:simplePos x="0" y="0"/>
            <wp:positionH relativeFrom="column">
              <wp:posOffset>2390677</wp:posOffset>
            </wp:positionH>
            <wp:positionV relativeFrom="paragraph">
              <wp:posOffset>146</wp:posOffset>
            </wp:positionV>
            <wp:extent cx="3741420" cy="3200400"/>
            <wp:effectExtent l="0" t="0" r="17780" b="1270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812269">
        <w:rPr>
          <w:rFonts w:ascii="Garamond" w:eastAsia="Times New Roman" w:hAnsi="Garamond" w:cs="Times New Roman"/>
        </w:rPr>
        <w:t>quadrupling from what is currently reported. If sequestrations are accounted for, however, Middlebury’s footprint would actually be net negative, even before carbon offsets are brought into the picture.</w:t>
      </w:r>
      <w:r w:rsidR="008F404C">
        <w:rPr>
          <w:rFonts w:ascii="Garamond" w:eastAsia="Times New Roman" w:hAnsi="Garamond" w:cs="Times New Roman"/>
        </w:rPr>
        <w:t xml:space="preserve"> As such, it can easily be seen how reasonable scientists and politicians can come to wildly different conclusions about </w:t>
      </w:r>
      <w:r w:rsidR="008F404C">
        <w:rPr>
          <w:noProof/>
        </w:rPr>
        <mc:AlternateContent>
          <mc:Choice Requires="wps">
            <w:drawing>
              <wp:anchor distT="0" distB="0" distL="114300" distR="114300" simplePos="0" relativeHeight="251666432" behindDoc="0" locked="0" layoutInCell="1" allowOverlap="1" wp14:anchorId="6A607153" wp14:editId="7395CD1B">
                <wp:simplePos x="0" y="0"/>
                <wp:positionH relativeFrom="column">
                  <wp:posOffset>2392045</wp:posOffset>
                </wp:positionH>
                <wp:positionV relativeFrom="paragraph">
                  <wp:posOffset>3206848</wp:posOffset>
                </wp:positionV>
                <wp:extent cx="3740785" cy="64706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740785" cy="647065"/>
                        </a:xfrm>
                        <a:prstGeom prst="rect">
                          <a:avLst/>
                        </a:prstGeom>
                        <a:noFill/>
                        <a:ln w="6350">
                          <a:noFill/>
                        </a:ln>
                      </wps:spPr>
                      <wps:txbx>
                        <w:txbxContent>
                          <w:p w14:paraId="0DA57070" w14:textId="0A24DEE0" w:rsidR="00812269" w:rsidRPr="00812269" w:rsidRDefault="00812269" w:rsidP="00EC4599">
                            <w:pPr>
                              <w:pStyle w:val="Caption"/>
                              <w:rPr>
                                <w:rFonts w:ascii="Garamond" w:hAnsi="Garamond"/>
                                <w:sz w:val="24"/>
                                <w:szCs w:val="24"/>
                              </w:rPr>
                            </w:pPr>
                            <w:r w:rsidRPr="00812269">
                              <w:rPr>
                                <w:rFonts w:ascii="Garamond" w:hAnsi="Garamond"/>
                                <w:sz w:val="24"/>
                                <w:szCs w:val="24"/>
                              </w:rPr>
                              <w:t xml:space="preserve">Figure </w:t>
                            </w:r>
                            <w:r w:rsidRPr="00812269">
                              <w:rPr>
                                <w:rFonts w:ascii="Garamond" w:hAnsi="Garamond"/>
                                <w:sz w:val="24"/>
                                <w:szCs w:val="24"/>
                              </w:rPr>
                              <w:fldChar w:fldCharType="begin"/>
                            </w:r>
                            <w:r w:rsidRPr="00812269">
                              <w:rPr>
                                <w:rFonts w:ascii="Garamond" w:hAnsi="Garamond"/>
                                <w:sz w:val="24"/>
                                <w:szCs w:val="24"/>
                              </w:rPr>
                              <w:instrText xml:space="preserve"> SEQ Figure \* ARABIC </w:instrText>
                            </w:r>
                            <w:r w:rsidRPr="00812269">
                              <w:rPr>
                                <w:rFonts w:ascii="Garamond" w:hAnsi="Garamond"/>
                                <w:sz w:val="24"/>
                                <w:szCs w:val="24"/>
                              </w:rPr>
                              <w:fldChar w:fldCharType="separate"/>
                            </w:r>
                            <w:r w:rsidR="008F404C">
                              <w:rPr>
                                <w:rFonts w:ascii="Garamond" w:hAnsi="Garamond"/>
                                <w:noProof/>
                                <w:sz w:val="24"/>
                                <w:szCs w:val="24"/>
                              </w:rPr>
                              <w:t>3</w:t>
                            </w:r>
                            <w:r w:rsidRPr="00812269">
                              <w:rPr>
                                <w:rFonts w:ascii="Garamond" w:hAnsi="Garamond"/>
                                <w:sz w:val="24"/>
                                <w:szCs w:val="24"/>
                              </w:rPr>
                              <w:fldChar w:fldCharType="end"/>
                            </w:r>
                            <w:r w:rsidRPr="00812269">
                              <w:rPr>
                                <w:rFonts w:ascii="Garamond" w:hAnsi="Garamond"/>
                                <w:sz w:val="24"/>
                                <w:szCs w:val="24"/>
                              </w:rPr>
                              <w:t>: Middlebury's annual GHG inventory from 2007-2019 with three different assumptions about what to include in biomass accounting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07153" id="Text Box 7" o:spid="_x0000_s1029" type="#_x0000_t202" style="position:absolute;margin-left:188.35pt;margin-top:252.5pt;width:294.55pt;height:5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" filled="f" stroked="f" strokeweight=".5pt">
                <v:fill o:detectmouseclick="t"/>
                <v:textbox>
                  <w:txbxContent>
                    <w:p w14:paraId="0DA57070" w14:textId="0A24DEE0" w:rsidR="00812269" w:rsidRPr="00812269" w:rsidRDefault="00812269" w:rsidP="00EC4599">
                      <w:pPr>
                        <w:pStyle w:val="Caption"/>
                        <w:rPr>
                          <w:rFonts w:ascii="Garamond" w:hAnsi="Garamond"/>
                          <w:sz w:val="24"/>
                          <w:szCs w:val="24"/>
                        </w:rPr>
                      </w:pPr>
                      <w:r w:rsidRPr="00812269">
                        <w:rPr>
                          <w:rFonts w:ascii="Garamond" w:hAnsi="Garamond"/>
                          <w:sz w:val="24"/>
                          <w:szCs w:val="24"/>
                        </w:rPr>
                        <w:t xml:space="preserve">Figure </w:t>
                      </w:r>
                      <w:r w:rsidRPr="00812269">
                        <w:rPr>
                          <w:rFonts w:ascii="Garamond" w:hAnsi="Garamond"/>
                          <w:sz w:val="24"/>
                          <w:szCs w:val="24"/>
                        </w:rPr>
                        <w:fldChar w:fldCharType="begin"/>
                      </w:r>
                      <w:r w:rsidRPr="00812269">
                        <w:rPr>
                          <w:rFonts w:ascii="Garamond" w:hAnsi="Garamond"/>
                          <w:sz w:val="24"/>
                          <w:szCs w:val="24"/>
                        </w:rPr>
                        <w:instrText xml:space="preserve"> SEQ Figure \* ARABIC </w:instrText>
                      </w:r>
                      <w:r w:rsidRPr="00812269">
                        <w:rPr>
                          <w:rFonts w:ascii="Garamond" w:hAnsi="Garamond"/>
                          <w:sz w:val="24"/>
                          <w:szCs w:val="24"/>
                        </w:rPr>
                        <w:fldChar w:fldCharType="separate"/>
                      </w:r>
                      <w:r w:rsidR="008F404C">
                        <w:rPr>
                          <w:rFonts w:ascii="Garamond" w:hAnsi="Garamond"/>
                          <w:noProof/>
                          <w:sz w:val="24"/>
                          <w:szCs w:val="24"/>
                        </w:rPr>
                        <w:t>3</w:t>
                      </w:r>
                      <w:r w:rsidRPr="00812269">
                        <w:rPr>
                          <w:rFonts w:ascii="Garamond" w:hAnsi="Garamond"/>
                          <w:sz w:val="24"/>
                          <w:szCs w:val="24"/>
                        </w:rPr>
                        <w:fldChar w:fldCharType="end"/>
                      </w:r>
                      <w:r w:rsidRPr="00812269">
                        <w:rPr>
                          <w:rFonts w:ascii="Garamond" w:hAnsi="Garamond"/>
                          <w:sz w:val="24"/>
                          <w:szCs w:val="24"/>
                        </w:rPr>
                        <w:t>: Middlebury's annual GHG inventory from 2007-2019 with three different assumptions about what to include in biomass accounting</w:t>
                      </w:r>
                    </w:p>
                  </w:txbxContent>
                </v:textbox>
                <w10:wrap type="square"/>
              </v:shape>
            </w:pict>
          </mc:Fallback>
        </mc:AlternateContent>
      </w:r>
      <w:r w:rsidR="008F404C">
        <w:rPr>
          <w:rFonts w:ascii="Garamond" w:eastAsia="Times New Roman" w:hAnsi="Garamond" w:cs="Times New Roman"/>
        </w:rPr>
        <w:t>how sustainable biomass is, and whether or not it should be considered carbon neutral.</w:t>
      </w:r>
    </w:p>
    <w:p w14:paraId="48870559" w14:textId="7EE4F315" w:rsidR="008F404C" w:rsidRDefault="008F404C" w:rsidP="00812269">
      <w:pPr>
        <w:keepNext/>
        <w:spacing w:line="480" w:lineRule="auto"/>
        <w:rPr>
          <w:rFonts w:ascii="Garamond" w:eastAsia="Times New Roman" w:hAnsi="Garamond" w:cs="Times New Roman"/>
        </w:rPr>
      </w:pPr>
    </w:p>
    <w:p w14:paraId="304E5EF9" w14:textId="733706E0" w:rsidR="008F404C" w:rsidRPr="008F404C" w:rsidRDefault="008F404C" w:rsidP="00812269">
      <w:pPr>
        <w:keepNext/>
        <w:spacing w:line="480" w:lineRule="auto"/>
        <w:rPr>
          <w:b/>
          <w:bCs/>
        </w:rPr>
      </w:pPr>
      <w:r>
        <w:rPr>
          <w:rFonts w:ascii="Garamond" w:eastAsia="Times New Roman" w:hAnsi="Garamond" w:cs="Times New Roman"/>
          <w:b/>
          <w:bCs/>
        </w:rPr>
        <w:t>Concluding Thoughts and Next Steps</w:t>
      </w:r>
    </w:p>
    <w:p w14:paraId="75A6B8DE" w14:textId="502C619E" w:rsidR="00EB7E5B" w:rsidRPr="000B119F" w:rsidRDefault="008F404C" w:rsidP="000B119F">
      <w:pPr>
        <w:spacing w:line="480" w:lineRule="auto"/>
        <w:rPr>
          <w:rFonts w:ascii="Garamond" w:eastAsia="Times New Roman" w:hAnsi="Garamond" w:cs="Times New Roman"/>
        </w:rPr>
      </w:pPr>
      <w:r>
        <w:rPr>
          <w:noProof/>
        </w:rPr>
        <mc:AlternateContent>
          <mc:Choice Requires="wps">
            <w:drawing>
              <wp:anchor distT="0" distB="0" distL="114300" distR="114300" simplePos="0" relativeHeight="251669504" behindDoc="0" locked="0" layoutInCell="1" allowOverlap="1" wp14:anchorId="1823BCB3" wp14:editId="5123C3B2">
                <wp:simplePos x="0" y="0"/>
                <wp:positionH relativeFrom="column">
                  <wp:posOffset>2602230</wp:posOffset>
                </wp:positionH>
                <wp:positionV relativeFrom="paragraph">
                  <wp:posOffset>3006725</wp:posOffset>
                </wp:positionV>
                <wp:extent cx="3314065" cy="635"/>
                <wp:effectExtent l="0" t="0" r="635" b="635"/>
                <wp:wrapSquare wrapText="bothSides"/>
                <wp:docPr id="9" name="Text Box 9"/>
                <wp:cNvGraphicFramePr/>
                <a:graphic xmlns:a="http://schemas.openxmlformats.org/drawingml/2006/main">
                  <a:graphicData uri="http://schemas.microsoft.com/office/word/2010/wordprocessingShape">
                    <wps:wsp>
                      <wps:cNvSpPr txBox="1"/>
                      <wps:spPr>
                        <a:xfrm>
                          <a:off x="0" y="0"/>
                          <a:ext cx="3314065" cy="635"/>
                        </a:xfrm>
                        <a:prstGeom prst="rect">
                          <a:avLst/>
                        </a:prstGeom>
                        <a:solidFill>
                          <a:prstClr val="white"/>
                        </a:solidFill>
                        <a:ln>
                          <a:noFill/>
                        </a:ln>
                      </wps:spPr>
                      <wps:txbx>
                        <w:txbxContent>
                          <w:p w14:paraId="25AFFE46" w14:textId="161F996C" w:rsidR="008F404C" w:rsidRPr="0048676B" w:rsidRDefault="008F404C" w:rsidP="008F404C">
                            <w:pPr>
                              <w:pStyle w:val="Caption"/>
                              <w:rPr>
                                <w:rFonts w:ascii="Garamond" w:eastAsia="Times New Roman" w:hAnsi="Garamond" w:cs="Times New Roman"/>
                                <w:noProof/>
                              </w:rPr>
                            </w:pPr>
                            <w:r>
                              <w:t xml:space="preserve">Figure </w:t>
                            </w:r>
                            <w:fldSimple w:instr=" SEQ Figure \* ARABIC ">
                              <w:r>
                                <w:rPr>
                                  <w:noProof/>
                                </w:rPr>
                                <w:t>4</w:t>
                              </w:r>
                            </w:fldSimple>
                            <w:r>
                              <w:t>: Global carbon emissions by source. Image courtesy of the Clean Energy Development Fund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23BCB3" id="Text Box 9" o:spid="_x0000_s1030" type="#_x0000_t202" style="position:absolute;margin-left:204.9pt;margin-top:236.75pt;width:260.9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" stroked="f">
                <v:textbox style="mso-fit-shape-to-text:t" inset="0,0,0,0">
                  <w:txbxContent>
                    <w:p w14:paraId="25AFFE46" w14:textId="161F996C" w:rsidR="008F404C" w:rsidRPr="0048676B" w:rsidRDefault="008F404C" w:rsidP="008F404C">
                      <w:pPr>
                        <w:pStyle w:val="Caption"/>
                        <w:rPr>
                          <w:rFonts w:ascii="Garamond" w:eastAsia="Times New Roman" w:hAnsi="Garamond" w:cs="Times New Roman"/>
                          <w:noProof/>
                        </w:rPr>
                      </w:pPr>
                      <w:r>
                        <w:t xml:space="preserve">Figure </w:t>
                      </w:r>
                      <w:fldSimple w:instr=" SEQ Figure \* ARABIC ">
                        <w:r>
                          <w:rPr>
                            <w:noProof/>
                          </w:rPr>
                          <w:t>4</w:t>
                        </w:r>
                      </w:fldSimple>
                      <w:r>
                        <w:t>: Global carbon emissions by source. Image courtesy of the Clean Energy Development Fund</w:t>
                      </w:r>
                    </w:p>
                  </w:txbxContent>
                </v:textbox>
                <w10:wrap type="square"/>
              </v:shape>
            </w:pict>
          </mc:Fallback>
        </mc:AlternateContent>
      </w:r>
      <w:r>
        <w:rPr>
          <w:rFonts w:ascii="Garamond" w:eastAsia="Times New Roman" w:hAnsi="Garamond" w:cs="Times New Roman"/>
          <w:noProof/>
        </w:rPr>
        <w:drawing>
          <wp:anchor distT="0" distB="0" distL="114300" distR="114300" simplePos="0" relativeHeight="251667456" behindDoc="0" locked="0" layoutInCell="1" allowOverlap="1" wp14:anchorId="6013103F" wp14:editId="5D68B28A">
            <wp:simplePos x="0" y="0"/>
            <wp:positionH relativeFrom="column">
              <wp:posOffset>2307102</wp:posOffset>
            </wp:positionH>
            <wp:positionV relativeFrom="paragraph">
              <wp:posOffset>713496</wp:posOffset>
            </wp:positionV>
            <wp:extent cx="3609975" cy="2391410"/>
            <wp:effectExtent l="0" t="0" r="0" b="0"/>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map&#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09975" cy="2391410"/>
                    </a:xfrm>
                    <a:prstGeom prst="rect">
                      <a:avLst/>
                    </a:prstGeom>
                  </pic:spPr>
                </pic:pic>
              </a:graphicData>
            </a:graphic>
            <wp14:sizeRelH relativeFrom="page">
              <wp14:pctWidth>0</wp14:pctWidth>
            </wp14:sizeRelH>
            <wp14:sizeRelV relativeFrom="page">
              <wp14:pctHeight>0</wp14:pctHeight>
            </wp14:sizeRelV>
          </wp:anchor>
        </w:drawing>
      </w:r>
      <w:r>
        <w:rPr>
          <w:rFonts w:ascii="Garamond" w:eastAsia="Times New Roman" w:hAnsi="Garamond" w:cs="Times New Roman"/>
        </w:rPr>
        <w:tab/>
        <w:t>While it is out of the purview of this report to make conclusions as to how sustainable biomass is or if it ought to be considered carbon neutral, I do think it is important to differentiate between emissions from biofuels and fossil fuels. While deforestation was the leading cause of CO</w:t>
      </w:r>
      <w:r>
        <w:rPr>
          <w:rFonts w:ascii="Garamond" w:eastAsia="Times New Roman" w:hAnsi="Garamond" w:cs="Times New Roman"/>
          <w:vertAlign w:val="subscript"/>
        </w:rPr>
        <w:t xml:space="preserve">2 </w:t>
      </w:r>
      <w:r>
        <w:rPr>
          <w:rFonts w:ascii="Garamond" w:eastAsia="Times New Roman" w:hAnsi="Garamond" w:cs="Times New Roman"/>
        </w:rPr>
        <w:t xml:space="preserve">emissions through the first half of the twentieth century, in modern times, global emissions are driven almost entirely by the combustion of coal, oil, and natural gas (Figure 4). </w:t>
      </w:r>
      <w:r>
        <w:rPr>
          <w:rFonts w:ascii="Garamond" w:eastAsia="Times New Roman" w:hAnsi="Garamond" w:cs="Times New Roman"/>
        </w:rPr>
        <w:lastRenderedPageBreak/>
        <w:t xml:space="preserve">While this does not necessarily mean that biomass is objectively sustainable, it might be a reasonable alternative, especially in a state with net forest growth. Especially given the difficulties around </w:t>
      </w:r>
      <w:r w:rsidRPr="000B119F">
        <w:rPr>
          <w:rFonts w:ascii="Garamond" w:eastAsia="Times New Roman" w:hAnsi="Garamond" w:cs="Times New Roman"/>
        </w:rPr>
        <w:t>building electrification on an old campus, Middlebury is still decades away from being able to heat its campus solely from solar and wind power.</w:t>
      </w:r>
    </w:p>
    <w:p w14:paraId="3A1A2196" w14:textId="73E7AFA9" w:rsidR="000B119F" w:rsidRDefault="008F404C" w:rsidP="000B119F">
      <w:pPr>
        <w:spacing w:line="480" w:lineRule="auto"/>
        <w:rPr>
          <w:rFonts w:ascii="Garamond" w:eastAsia="Times New Roman" w:hAnsi="Garamond" w:cs="Times New Roman"/>
        </w:rPr>
      </w:pPr>
      <w:r w:rsidRPr="000B119F">
        <w:rPr>
          <w:rFonts w:ascii="Garamond" w:eastAsia="Times New Roman" w:hAnsi="Garamond" w:cs="Times New Roman"/>
        </w:rPr>
        <w:tab/>
        <w:t xml:space="preserve">Obviously, the scope of this research is fairly narrow and there is still significant work to be done in bioenergy accounting. </w:t>
      </w:r>
      <w:r w:rsidR="000B119F">
        <w:rPr>
          <w:rFonts w:ascii="Garamond" w:eastAsia="Times New Roman" w:hAnsi="Garamond" w:cs="Times New Roman"/>
        </w:rPr>
        <w:t xml:space="preserve">With sufficient funding, a more in-depth study could visit a wide range of harvest sites and compare them with baseline models to understand how harvesting directly impacts forest stands. Addition interviews with timber </w:t>
      </w:r>
      <w:proofErr w:type="gramStart"/>
      <w:r w:rsidR="000B119F">
        <w:rPr>
          <w:rFonts w:ascii="Garamond" w:eastAsia="Times New Roman" w:hAnsi="Garamond" w:cs="Times New Roman"/>
        </w:rPr>
        <w:t>land owners</w:t>
      </w:r>
      <w:proofErr w:type="gramEnd"/>
      <w:r w:rsidR="000B119F">
        <w:rPr>
          <w:rFonts w:ascii="Garamond" w:eastAsia="Times New Roman" w:hAnsi="Garamond" w:cs="Times New Roman"/>
        </w:rPr>
        <w:t xml:space="preserve"> might yield additional guidance as to how critical the wood products industry is to maintaining forests in Vermont.</w:t>
      </w:r>
    </w:p>
    <w:p w14:paraId="6AE828BF" w14:textId="617AABB5" w:rsidR="000B119F" w:rsidRPr="000B119F" w:rsidRDefault="008F404C" w:rsidP="000B119F">
      <w:pPr>
        <w:spacing w:line="480" w:lineRule="auto"/>
        <w:ind w:firstLine="720"/>
        <w:rPr>
          <w:rFonts w:ascii="Garamond" w:hAnsi="Garamond"/>
        </w:rPr>
      </w:pPr>
      <w:r w:rsidRPr="000B119F">
        <w:rPr>
          <w:rFonts w:ascii="Garamond" w:eastAsia="Times New Roman" w:hAnsi="Garamond" w:cs="Times New Roman"/>
        </w:rPr>
        <w:t xml:space="preserve">Beyond biomass, Middlebury is also in the process of </w:t>
      </w:r>
      <w:r w:rsidR="000B119F" w:rsidRPr="000B119F">
        <w:rPr>
          <w:rFonts w:ascii="Garamond" w:eastAsia="Times New Roman" w:hAnsi="Garamond" w:cs="Times New Roman"/>
        </w:rPr>
        <w:t xml:space="preserve">co-developing a </w:t>
      </w:r>
      <w:hyperlink r:id="rId24" w:history="1">
        <w:r w:rsidR="000B119F" w:rsidRPr="000B119F">
          <w:rPr>
            <w:rStyle w:val="Hyperlink"/>
            <w:rFonts w:ascii="Garamond" w:hAnsi="Garamond"/>
          </w:rPr>
          <w:t>anaerobic digester</w:t>
        </w:r>
      </w:hyperlink>
      <w:r w:rsidR="000B119F">
        <w:rPr>
          <w:rFonts w:ascii="Garamond" w:hAnsi="Garamond"/>
        </w:rPr>
        <w:t xml:space="preserve"> to offset natural gas consumption with biomethane produced by cow manure and local food waste. As Middlebury continues to expand its bioenergy portfolio, it is important that the institution continues to explore questions of carbon footprints and how accurate notions of carbon neutrality are. Following the release of the GHG Protocol’s guidelines on bioenergy emissions in 2021, it is highly recommended that Middlebury reevaluate how it accounts for emissions in its greenhouse gas inventory. </w:t>
      </w:r>
    </w:p>
    <w:p w14:paraId="51A9D5B2" w14:textId="7319C99F" w:rsidR="008F404C" w:rsidRDefault="008F404C" w:rsidP="00E92E2A">
      <w:pPr>
        <w:spacing w:line="480" w:lineRule="auto"/>
        <w:rPr>
          <w:rFonts w:ascii="Garamond" w:eastAsia="Times New Roman" w:hAnsi="Garamond" w:cs="Times New Roman"/>
        </w:rPr>
      </w:pPr>
    </w:p>
    <w:p w14:paraId="3F58BBE4" w14:textId="202753BA" w:rsidR="009E0755" w:rsidRDefault="009E0755" w:rsidP="00E92E2A">
      <w:pPr>
        <w:spacing w:line="480" w:lineRule="auto"/>
        <w:rPr>
          <w:rFonts w:ascii="Garamond" w:eastAsia="Times New Roman" w:hAnsi="Garamond" w:cs="Times New Roman"/>
          <w:b/>
          <w:bCs/>
        </w:rPr>
      </w:pPr>
      <w:r>
        <w:rPr>
          <w:rFonts w:ascii="Garamond" w:eastAsia="Times New Roman" w:hAnsi="Garamond" w:cs="Times New Roman"/>
          <w:b/>
          <w:bCs/>
        </w:rPr>
        <w:t>Acknowledgements</w:t>
      </w:r>
    </w:p>
    <w:p w14:paraId="1FC3CD4E" w14:textId="402BDA48" w:rsidR="009E0755" w:rsidRPr="009E0755" w:rsidRDefault="009E0755" w:rsidP="00E92E2A">
      <w:pPr>
        <w:spacing w:line="480" w:lineRule="auto"/>
        <w:rPr>
          <w:rFonts w:ascii="Garamond" w:eastAsia="Times New Roman" w:hAnsi="Garamond" w:cs="Times New Roman"/>
        </w:rPr>
      </w:pPr>
      <w:r>
        <w:rPr>
          <w:rFonts w:ascii="Garamond" w:eastAsia="Times New Roman" w:hAnsi="Garamond" w:cs="Times New Roman"/>
        </w:rPr>
        <w:t xml:space="preserve">A special thanks to Jack Byrne, Mike Moser, Adam Sherman, Jenn Andrews, Megan Carney, and the Higher Education </w:t>
      </w:r>
      <w:proofErr w:type="spellStart"/>
      <w:r>
        <w:rPr>
          <w:rFonts w:ascii="Garamond" w:eastAsia="Times New Roman" w:hAnsi="Garamond" w:cs="Times New Roman"/>
        </w:rPr>
        <w:t>BioEnergy</w:t>
      </w:r>
      <w:proofErr w:type="spellEnd"/>
      <w:r>
        <w:rPr>
          <w:rFonts w:ascii="Garamond" w:eastAsia="Times New Roman" w:hAnsi="Garamond" w:cs="Times New Roman"/>
        </w:rPr>
        <w:t xml:space="preserve"> working group for feedback as this report and biomass accounting tool were developed. Please feel free to contact me at </w:t>
      </w:r>
      <w:hyperlink r:id="rId25" w:history="1">
        <w:r w:rsidRPr="00315592">
          <w:rPr>
            <w:rStyle w:val="Hyperlink"/>
            <w:rFonts w:ascii="Garamond" w:eastAsia="Times New Roman" w:hAnsi="Garamond" w:cs="Times New Roman"/>
          </w:rPr>
          <w:t>gabedesmond@gmail.com</w:t>
        </w:r>
      </w:hyperlink>
      <w:r>
        <w:rPr>
          <w:rFonts w:ascii="Garamond" w:eastAsia="Times New Roman" w:hAnsi="Garamond" w:cs="Times New Roman"/>
        </w:rPr>
        <w:t xml:space="preserve"> with any questions concerning this work for future reference.</w:t>
      </w:r>
    </w:p>
    <w:sectPr w:rsidR="009E0755" w:rsidRPr="009E0755" w:rsidSect="00485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B0604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2A"/>
    <w:rsid w:val="0003684F"/>
    <w:rsid w:val="000B119F"/>
    <w:rsid w:val="00117DC6"/>
    <w:rsid w:val="001B44D7"/>
    <w:rsid w:val="001D1D9E"/>
    <w:rsid w:val="003512F3"/>
    <w:rsid w:val="0036489F"/>
    <w:rsid w:val="0042605C"/>
    <w:rsid w:val="0048518D"/>
    <w:rsid w:val="004F6A7A"/>
    <w:rsid w:val="006D13CF"/>
    <w:rsid w:val="00745B66"/>
    <w:rsid w:val="00812269"/>
    <w:rsid w:val="00813E29"/>
    <w:rsid w:val="008F404C"/>
    <w:rsid w:val="009E0755"/>
    <w:rsid w:val="00A9424A"/>
    <w:rsid w:val="00B0396E"/>
    <w:rsid w:val="00D0468C"/>
    <w:rsid w:val="00D86C02"/>
    <w:rsid w:val="00DD1D1E"/>
    <w:rsid w:val="00DD7482"/>
    <w:rsid w:val="00E14253"/>
    <w:rsid w:val="00E92E2A"/>
    <w:rsid w:val="00EA06DA"/>
    <w:rsid w:val="00EB7E5B"/>
    <w:rsid w:val="00F76255"/>
    <w:rsid w:val="00FD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88D7"/>
  <w14:defaultImageDpi w14:val="32767"/>
  <w15:chartTrackingRefBased/>
  <w15:docId w15:val="{A591D314-4373-C046-92D4-6AC2712F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E2A"/>
    <w:rPr>
      <w:color w:val="0000FF"/>
      <w:u w:val="single"/>
    </w:rPr>
  </w:style>
  <w:style w:type="character" w:styleId="UnresolvedMention">
    <w:name w:val="Unresolved Mention"/>
    <w:basedOn w:val="DefaultParagraphFont"/>
    <w:uiPriority w:val="99"/>
    <w:rsid w:val="00117DC6"/>
    <w:rPr>
      <w:color w:val="605E5C"/>
      <w:shd w:val="clear" w:color="auto" w:fill="E1DFDD"/>
    </w:rPr>
  </w:style>
  <w:style w:type="paragraph" w:styleId="Caption">
    <w:name w:val="caption"/>
    <w:basedOn w:val="Normal"/>
    <w:next w:val="Normal"/>
    <w:uiPriority w:val="35"/>
    <w:unhideWhenUsed/>
    <w:qFormat/>
    <w:rsid w:val="0042605C"/>
    <w:pPr>
      <w:spacing w:after="200"/>
    </w:pPr>
    <w:rPr>
      <w:i/>
      <w:iCs/>
      <w:color w:val="44546A" w:themeColor="text2"/>
      <w:sz w:val="18"/>
      <w:szCs w:val="18"/>
    </w:rPr>
  </w:style>
  <w:style w:type="table" w:styleId="TableGrid">
    <w:name w:val="Table Grid"/>
    <w:basedOn w:val="TableNormal"/>
    <w:uiPriority w:val="39"/>
    <w:rsid w:val="00EB7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654447">
      <w:bodyDiv w:val="1"/>
      <w:marLeft w:val="0"/>
      <w:marRight w:val="0"/>
      <w:marTop w:val="0"/>
      <w:marBottom w:val="0"/>
      <w:divBdr>
        <w:top w:val="none" w:sz="0" w:space="0" w:color="auto"/>
        <w:left w:val="none" w:sz="0" w:space="0" w:color="auto"/>
        <w:bottom w:val="none" w:sz="0" w:space="0" w:color="auto"/>
        <w:right w:val="none" w:sz="0" w:space="0" w:color="auto"/>
      </w:divBdr>
    </w:div>
    <w:div w:id="215549236">
      <w:bodyDiv w:val="1"/>
      <w:marLeft w:val="0"/>
      <w:marRight w:val="0"/>
      <w:marTop w:val="0"/>
      <w:marBottom w:val="0"/>
      <w:divBdr>
        <w:top w:val="none" w:sz="0" w:space="0" w:color="auto"/>
        <w:left w:val="none" w:sz="0" w:space="0" w:color="auto"/>
        <w:bottom w:val="none" w:sz="0" w:space="0" w:color="auto"/>
        <w:right w:val="none" w:sz="0" w:space="0" w:color="auto"/>
      </w:divBdr>
    </w:div>
    <w:div w:id="274291137">
      <w:bodyDiv w:val="1"/>
      <w:marLeft w:val="0"/>
      <w:marRight w:val="0"/>
      <w:marTop w:val="0"/>
      <w:marBottom w:val="0"/>
      <w:divBdr>
        <w:top w:val="none" w:sz="0" w:space="0" w:color="auto"/>
        <w:left w:val="none" w:sz="0" w:space="0" w:color="auto"/>
        <w:bottom w:val="none" w:sz="0" w:space="0" w:color="auto"/>
        <w:right w:val="none" w:sz="0" w:space="0" w:color="auto"/>
      </w:divBdr>
    </w:div>
    <w:div w:id="347634914">
      <w:bodyDiv w:val="1"/>
      <w:marLeft w:val="0"/>
      <w:marRight w:val="0"/>
      <w:marTop w:val="0"/>
      <w:marBottom w:val="0"/>
      <w:divBdr>
        <w:top w:val="none" w:sz="0" w:space="0" w:color="auto"/>
        <w:left w:val="none" w:sz="0" w:space="0" w:color="auto"/>
        <w:bottom w:val="none" w:sz="0" w:space="0" w:color="auto"/>
        <w:right w:val="none" w:sz="0" w:space="0" w:color="auto"/>
      </w:divBdr>
    </w:div>
    <w:div w:id="520825469">
      <w:bodyDiv w:val="1"/>
      <w:marLeft w:val="0"/>
      <w:marRight w:val="0"/>
      <w:marTop w:val="0"/>
      <w:marBottom w:val="0"/>
      <w:divBdr>
        <w:top w:val="none" w:sz="0" w:space="0" w:color="auto"/>
        <w:left w:val="none" w:sz="0" w:space="0" w:color="auto"/>
        <w:bottom w:val="none" w:sz="0" w:space="0" w:color="auto"/>
        <w:right w:val="none" w:sz="0" w:space="0" w:color="auto"/>
      </w:divBdr>
    </w:div>
    <w:div w:id="600602288">
      <w:bodyDiv w:val="1"/>
      <w:marLeft w:val="0"/>
      <w:marRight w:val="0"/>
      <w:marTop w:val="0"/>
      <w:marBottom w:val="0"/>
      <w:divBdr>
        <w:top w:val="none" w:sz="0" w:space="0" w:color="auto"/>
        <w:left w:val="none" w:sz="0" w:space="0" w:color="auto"/>
        <w:bottom w:val="none" w:sz="0" w:space="0" w:color="auto"/>
        <w:right w:val="none" w:sz="0" w:space="0" w:color="auto"/>
      </w:divBdr>
    </w:div>
    <w:div w:id="674187567">
      <w:bodyDiv w:val="1"/>
      <w:marLeft w:val="0"/>
      <w:marRight w:val="0"/>
      <w:marTop w:val="0"/>
      <w:marBottom w:val="0"/>
      <w:divBdr>
        <w:top w:val="none" w:sz="0" w:space="0" w:color="auto"/>
        <w:left w:val="none" w:sz="0" w:space="0" w:color="auto"/>
        <w:bottom w:val="none" w:sz="0" w:space="0" w:color="auto"/>
        <w:right w:val="none" w:sz="0" w:space="0" w:color="auto"/>
      </w:divBdr>
    </w:div>
    <w:div w:id="852917604">
      <w:bodyDiv w:val="1"/>
      <w:marLeft w:val="0"/>
      <w:marRight w:val="0"/>
      <w:marTop w:val="0"/>
      <w:marBottom w:val="0"/>
      <w:divBdr>
        <w:top w:val="none" w:sz="0" w:space="0" w:color="auto"/>
        <w:left w:val="none" w:sz="0" w:space="0" w:color="auto"/>
        <w:bottom w:val="none" w:sz="0" w:space="0" w:color="auto"/>
        <w:right w:val="none" w:sz="0" w:space="0" w:color="auto"/>
      </w:divBdr>
    </w:div>
    <w:div w:id="973871558">
      <w:bodyDiv w:val="1"/>
      <w:marLeft w:val="0"/>
      <w:marRight w:val="0"/>
      <w:marTop w:val="0"/>
      <w:marBottom w:val="0"/>
      <w:divBdr>
        <w:top w:val="none" w:sz="0" w:space="0" w:color="auto"/>
        <w:left w:val="none" w:sz="0" w:space="0" w:color="auto"/>
        <w:bottom w:val="none" w:sz="0" w:space="0" w:color="auto"/>
        <w:right w:val="none" w:sz="0" w:space="0" w:color="auto"/>
      </w:divBdr>
    </w:div>
    <w:div w:id="1051347014">
      <w:bodyDiv w:val="1"/>
      <w:marLeft w:val="0"/>
      <w:marRight w:val="0"/>
      <w:marTop w:val="0"/>
      <w:marBottom w:val="0"/>
      <w:divBdr>
        <w:top w:val="none" w:sz="0" w:space="0" w:color="auto"/>
        <w:left w:val="none" w:sz="0" w:space="0" w:color="auto"/>
        <w:bottom w:val="none" w:sz="0" w:space="0" w:color="auto"/>
        <w:right w:val="none" w:sz="0" w:space="0" w:color="auto"/>
      </w:divBdr>
    </w:div>
    <w:div w:id="1071150849">
      <w:bodyDiv w:val="1"/>
      <w:marLeft w:val="0"/>
      <w:marRight w:val="0"/>
      <w:marTop w:val="0"/>
      <w:marBottom w:val="0"/>
      <w:divBdr>
        <w:top w:val="none" w:sz="0" w:space="0" w:color="auto"/>
        <w:left w:val="none" w:sz="0" w:space="0" w:color="auto"/>
        <w:bottom w:val="none" w:sz="0" w:space="0" w:color="auto"/>
        <w:right w:val="none" w:sz="0" w:space="0" w:color="auto"/>
      </w:divBdr>
    </w:div>
    <w:div w:id="1246494876">
      <w:bodyDiv w:val="1"/>
      <w:marLeft w:val="0"/>
      <w:marRight w:val="0"/>
      <w:marTop w:val="0"/>
      <w:marBottom w:val="0"/>
      <w:divBdr>
        <w:top w:val="none" w:sz="0" w:space="0" w:color="auto"/>
        <w:left w:val="none" w:sz="0" w:space="0" w:color="auto"/>
        <w:bottom w:val="none" w:sz="0" w:space="0" w:color="auto"/>
        <w:right w:val="none" w:sz="0" w:space="0" w:color="auto"/>
      </w:divBdr>
    </w:div>
    <w:div w:id="1851334556">
      <w:bodyDiv w:val="1"/>
      <w:marLeft w:val="0"/>
      <w:marRight w:val="0"/>
      <w:marTop w:val="0"/>
      <w:marBottom w:val="0"/>
      <w:divBdr>
        <w:top w:val="none" w:sz="0" w:space="0" w:color="auto"/>
        <w:left w:val="none" w:sz="0" w:space="0" w:color="auto"/>
        <w:bottom w:val="none" w:sz="0" w:space="0" w:color="auto"/>
        <w:right w:val="none" w:sz="0" w:space="0" w:color="auto"/>
      </w:divBdr>
    </w:div>
    <w:div w:id="1929921102">
      <w:bodyDiv w:val="1"/>
      <w:marLeft w:val="0"/>
      <w:marRight w:val="0"/>
      <w:marTop w:val="0"/>
      <w:marBottom w:val="0"/>
      <w:divBdr>
        <w:top w:val="none" w:sz="0" w:space="0" w:color="auto"/>
        <w:left w:val="none" w:sz="0" w:space="0" w:color="auto"/>
        <w:bottom w:val="none" w:sz="0" w:space="0" w:color="auto"/>
        <w:right w:val="none" w:sz="0" w:space="0" w:color="auto"/>
      </w:divBdr>
    </w:div>
    <w:div w:id="2011712365">
      <w:bodyDiv w:val="1"/>
      <w:marLeft w:val="0"/>
      <w:marRight w:val="0"/>
      <w:marTop w:val="0"/>
      <w:marBottom w:val="0"/>
      <w:divBdr>
        <w:top w:val="none" w:sz="0" w:space="0" w:color="auto"/>
        <w:left w:val="none" w:sz="0" w:space="0" w:color="auto"/>
        <w:bottom w:val="none" w:sz="0" w:space="0" w:color="auto"/>
        <w:right w:val="none" w:sz="0" w:space="0" w:color="auto"/>
      </w:divBdr>
    </w:div>
    <w:div w:id="2057587144">
      <w:bodyDiv w:val="1"/>
      <w:marLeft w:val="0"/>
      <w:marRight w:val="0"/>
      <w:marTop w:val="0"/>
      <w:marBottom w:val="0"/>
      <w:divBdr>
        <w:top w:val="none" w:sz="0" w:space="0" w:color="auto"/>
        <w:left w:val="none" w:sz="0" w:space="0" w:color="auto"/>
        <w:bottom w:val="none" w:sz="0" w:space="0" w:color="auto"/>
        <w:right w:val="none" w:sz="0" w:space="0" w:color="auto"/>
      </w:divBdr>
    </w:div>
    <w:div w:id="208525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gprotocol.org/sites/default/files/Stationary_Combustion_Guidance_final_1.pdf" TargetMode="External"/><Relationship Id="rId13" Type="http://schemas.openxmlformats.org/officeDocument/2006/relationships/hyperlink" Target="https://www.drax.com/wp-content/uploads/2020/05/Biomass_Carbon_Calculator_User_Guide_V1.0.pdf" TargetMode="External"/><Relationship Id="rId18" Type="http://schemas.openxmlformats.org/officeDocument/2006/relationships/hyperlink" Target="https://www.epa.gov/sites/production/files/2015-07/documents/emission-factors_2014.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s.fed.us/nrs/pubs/ru/ru_fs119.pdf" TargetMode="External"/><Relationship Id="rId7" Type="http://schemas.openxmlformats.org/officeDocument/2006/relationships/hyperlink" Target="http://www.middlebury.edu/sustainability/operations-and-action/biomass-gasification" TargetMode="External"/><Relationship Id="rId12" Type="http://schemas.openxmlformats.org/officeDocument/2006/relationships/image" Target="media/image1.png"/><Relationship Id="rId17" Type="http://schemas.openxmlformats.org/officeDocument/2006/relationships/hyperlink" Target="https://www.researchgate.net/publication/242094365_A_reassessment_of_carbon_content_in_wood_variation_within_and_between_41_North_American_species" TargetMode="External"/><Relationship Id="rId25" Type="http://schemas.openxmlformats.org/officeDocument/2006/relationships/hyperlink" Target="mailto:gabedesmond@gmail.com" TargetMode="External"/><Relationship Id="rId2" Type="http://schemas.openxmlformats.org/officeDocument/2006/relationships/styles" Target="styles.xml"/><Relationship Id="rId16" Type="http://schemas.openxmlformats.org/officeDocument/2006/relationships/hyperlink" Target="https://drive.google.com/drive/u/0/folders/1T9leP_JCt5tnC4kNazlMIP9Tz_iPOj2h" TargetMode="External"/><Relationship Id="rId20" Type="http://schemas.openxmlformats.org/officeDocument/2006/relationships/hyperlink" Target="https://fpr.vermont.gov/harvest-reports"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ghgprotocol.org/sites/default/files/GHG%20Protocol%20Carbon%20Removals%20%20Land%20Sector%20Project%20Overview%20FINAL.pdf" TargetMode="External"/><Relationship Id="rId24" Type="http://schemas.openxmlformats.org/officeDocument/2006/relationships/hyperlink" Target="https://www.renewableenergymagazine.com/biogas/middlebury-college-and-project-partners-celebrate-groundbreaking-20190821" TargetMode="External"/><Relationship Id="rId5" Type="http://schemas.openxmlformats.org/officeDocument/2006/relationships/hyperlink" Target="https://www.unh.edu/sustainability/" TargetMode="External"/><Relationship Id="rId15" Type="http://schemas.openxmlformats.org/officeDocument/2006/relationships/hyperlink" Target="https://nfi.nfis.org/en/biomass" TargetMode="External"/><Relationship Id="rId23" Type="http://schemas.openxmlformats.org/officeDocument/2006/relationships/image" Target="media/image2.png"/><Relationship Id="rId10" Type="http://schemas.openxmlformats.org/officeDocument/2006/relationships/hyperlink" Target="https://www.fs.fed.us/nrs/pubs/ru/ru_fs119.pdf" TargetMode="External"/><Relationship Id="rId19" Type="http://schemas.openxmlformats.org/officeDocument/2006/relationships/hyperlink" Target="https://ghgprotocol.org/scope-3-technical-calculation-guidance" TargetMode="External"/><Relationship Id="rId4" Type="http://schemas.openxmlformats.org/officeDocument/2006/relationships/webSettings" Target="webSettings.xml"/><Relationship Id="rId9" Type="http://schemas.openxmlformats.org/officeDocument/2006/relationships/hyperlink" Target="https://www.scientificamerican.com/article/congress-says-biomass-is-carbon-neutral-but-scientists-disagree/" TargetMode="External"/><Relationship Id="rId14" Type="http://schemas.openxmlformats.org/officeDocument/2006/relationships/hyperlink" Target="https://www.biograce.net/biograce2/" TargetMode="External"/><Relationship Id="rId22" Type="http://schemas.openxmlformats.org/officeDocument/2006/relationships/chart" Target="charts/chart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US">
                <a:latin typeface="Garamond" panose="02020404030301010803" pitchFamily="18" charset="0"/>
              </a:rPr>
              <a:t>Currently</a:t>
            </a:r>
            <a:r>
              <a:rPr lang="en-US" baseline="0">
                <a:latin typeface="Garamond" panose="02020404030301010803" pitchFamily="18" charset="0"/>
              </a:rPr>
              <a:t> Reported GHG Emissions by Fiscal Year</a:t>
            </a:r>
            <a:endParaRPr lang="en-US">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2618174862088397"/>
          <c:y val="0.22813492063492063"/>
          <c:w val="0.71800735183873521"/>
          <c:h val="0.66650449943757029"/>
        </c:manualLayout>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Sheet1!$A$2:$A$14</c:f>
              <c:strCache>
                <c:ptCount val="13"/>
                <c:pt idx="0">
                  <c:v>07</c:v>
                </c:pt>
                <c:pt idx="1">
                  <c:v>08</c:v>
                </c:pt>
                <c:pt idx="2">
                  <c:v>09</c:v>
                </c:pt>
                <c:pt idx="3">
                  <c:v>10</c:v>
                </c:pt>
                <c:pt idx="4">
                  <c:v>11</c:v>
                </c:pt>
                <c:pt idx="5">
                  <c:v>12</c:v>
                </c:pt>
                <c:pt idx="6">
                  <c:v>13</c:v>
                </c:pt>
                <c:pt idx="7">
                  <c:v>14</c:v>
                </c:pt>
                <c:pt idx="8">
                  <c:v>15</c:v>
                </c:pt>
                <c:pt idx="9">
                  <c:v>16</c:v>
                </c:pt>
                <c:pt idx="10">
                  <c:v>17</c:v>
                </c:pt>
                <c:pt idx="11">
                  <c:v>18</c:v>
                </c:pt>
                <c:pt idx="12">
                  <c:v>19</c:v>
                </c:pt>
              </c:strCache>
            </c:strRef>
          </c:cat>
          <c:val>
            <c:numRef>
              <c:f>Sheet1!$B$2:$B$14</c:f>
              <c:numCache>
                <c:formatCode>#,##0.0</c:formatCode>
                <c:ptCount val="13"/>
                <c:pt idx="0">
                  <c:v>28553.947315489033</c:v>
                </c:pt>
                <c:pt idx="1">
                  <c:v>30643.66105534634</c:v>
                </c:pt>
                <c:pt idx="2">
                  <c:v>27359.62008639325</c:v>
                </c:pt>
                <c:pt idx="3">
                  <c:v>18115.573755487334</c:v>
                </c:pt>
                <c:pt idx="4">
                  <c:v>16788.613884884111</c:v>
                </c:pt>
                <c:pt idx="5">
                  <c:v>16785.945169875282</c:v>
                </c:pt>
                <c:pt idx="6">
                  <c:v>12840.502877740069</c:v>
                </c:pt>
                <c:pt idx="7">
                  <c:v>14075.112685750062</c:v>
                </c:pt>
                <c:pt idx="8">
                  <c:v>14040.668310087089</c:v>
                </c:pt>
                <c:pt idx="9">
                  <c:v>12831.927677301308</c:v>
                </c:pt>
                <c:pt idx="10">
                  <c:v>12737.144388085922</c:v>
                </c:pt>
                <c:pt idx="11">
                  <c:v>12074.062024555824</c:v>
                </c:pt>
                <c:pt idx="12">
                  <c:v>11626.992448252935</c:v>
                </c:pt>
              </c:numCache>
            </c:numRef>
          </c:val>
          <c:smooth val="0"/>
          <c:extLst>
            <c:ext xmlns:c16="http://schemas.microsoft.com/office/drawing/2014/chart" uri="{C3380CC4-5D6E-409C-BE32-E72D297353CC}">
              <c16:uniqueId val="{00000000-946A-3C4F-AE38-EA0EF6043C4A}"/>
            </c:ext>
          </c:extLst>
        </c:ser>
        <c:dLbls>
          <c:showLegendKey val="0"/>
          <c:showVal val="0"/>
          <c:showCatName val="0"/>
          <c:showSerName val="0"/>
          <c:showPercent val="0"/>
          <c:showBubbleSize val="0"/>
        </c:dLbls>
        <c:smooth val="0"/>
        <c:axId val="452354767"/>
        <c:axId val="452356399"/>
      </c:lineChart>
      <c:catAx>
        <c:axId val="452354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US">
                    <a:latin typeface="Garamond" panose="02020404030301010803" pitchFamily="18" charset="0"/>
                  </a:rPr>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52356399"/>
        <c:crosses val="autoZero"/>
        <c:auto val="1"/>
        <c:lblAlgn val="ctr"/>
        <c:lblOffset val="100"/>
        <c:noMultiLvlLbl val="0"/>
      </c:catAx>
      <c:valAx>
        <c:axId val="452356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US">
                    <a:latin typeface="Garamond" panose="02020404030301010803" pitchFamily="18" charset="0"/>
                  </a:rPr>
                  <a:t>Annual</a:t>
                </a:r>
                <a:r>
                  <a:rPr lang="en-US" baseline="0">
                    <a:latin typeface="Garamond" panose="02020404030301010803" pitchFamily="18" charset="0"/>
                  </a:rPr>
                  <a:t> Emissions (Metric Tons of CO</a:t>
                </a:r>
                <a:r>
                  <a:rPr lang="en-US" baseline="-25000">
                    <a:latin typeface="Garamond" panose="02020404030301010803" pitchFamily="18" charset="0"/>
                  </a:rPr>
                  <a:t>2</a:t>
                </a:r>
                <a:r>
                  <a:rPr lang="en-US" baseline="0">
                    <a:latin typeface="Garamond" panose="02020404030301010803" pitchFamily="18" charset="0"/>
                  </a:rPr>
                  <a:t> Equivalent</a:t>
                </a:r>
                <a:endParaRPr lang="en-US">
                  <a:latin typeface="Garamond" panose="02020404030301010803"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523547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Garamond" panose="02020404030301010803" pitchFamily="18" charset="0"/>
              </a:rPr>
              <a:t>Middlebury's</a:t>
            </a:r>
            <a:r>
              <a:rPr lang="en-US" baseline="0">
                <a:latin typeface="Garamond" panose="02020404030301010803" pitchFamily="18" charset="0"/>
              </a:rPr>
              <a:t> carbon foortprint with t</a:t>
            </a:r>
            <a:r>
              <a:rPr lang="en-US">
                <a:latin typeface="Garamond" panose="02020404030301010803" pitchFamily="18" charset="0"/>
              </a:rPr>
              <a:t>hree</a:t>
            </a:r>
            <a:r>
              <a:rPr lang="en-US" baseline="0">
                <a:latin typeface="Garamond" panose="02020404030301010803" pitchFamily="18" charset="0"/>
              </a:rPr>
              <a:t> different assumptions about biomass accounting</a:t>
            </a:r>
            <a:endParaRPr lang="en-US">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Currently Reported Emissions</c:v>
                </c:pt>
              </c:strCache>
            </c:strRef>
          </c:tx>
          <c:spPr>
            <a:ln w="28575" cap="rnd">
              <a:solidFill>
                <a:schemeClr val="accent1"/>
              </a:solidFill>
              <a:round/>
            </a:ln>
            <a:effectLst/>
          </c:spPr>
          <c:marker>
            <c:symbol val="none"/>
          </c:marker>
          <c:cat>
            <c:strRef>
              <c:f>Sheet1!$A$2:$A$14</c:f>
              <c:strCache>
                <c:ptCount val="13"/>
                <c:pt idx="0">
                  <c:v>07</c:v>
                </c:pt>
                <c:pt idx="1">
                  <c:v>08</c:v>
                </c:pt>
                <c:pt idx="2">
                  <c:v>09</c:v>
                </c:pt>
                <c:pt idx="3">
                  <c:v>10</c:v>
                </c:pt>
                <c:pt idx="4">
                  <c:v>11</c:v>
                </c:pt>
                <c:pt idx="5">
                  <c:v>12</c:v>
                </c:pt>
                <c:pt idx="6">
                  <c:v>13</c:v>
                </c:pt>
                <c:pt idx="7">
                  <c:v>14</c:v>
                </c:pt>
                <c:pt idx="8">
                  <c:v>15</c:v>
                </c:pt>
                <c:pt idx="9">
                  <c:v>16</c:v>
                </c:pt>
                <c:pt idx="10">
                  <c:v>17</c:v>
                </c:pt>
                <c:pt idx="11">
                  <c:v>18</c:v>
                </c:pt>
                <c:pt idx="12">
                  <c:v>19</c:v>
                </c:pt>
              </c:strCache>
            </c:strRef>
          </c:cat>
          <c:val>
            <c:numRef>
              <c:f>Sheet1!$B$2:$B$14</c:f>
              <c:numCache>
                <c:formatCode>#,##0.0</c:formatCode>
                <c:ptCount val="13"/>
                <c:pt idx="0">
                  <c:v>28553.947315489033</c:v>
                </c:pt>
                <c:pt idx="1">
                  <c:v>30643.66105534634</c:v>
                </c:pt>
                <c:pt idx="2">
                  <c:v>27359.62008639325</c:v>
                </c:pt>
                <c:pt idx="3">
                  <c:v>18115.573755487334</c:v>
                </c:pt>
                <c:pt idx="4">
                  <c:v>16788.613884884111</c:v>
                </c:pt>
                <c:pt idx="5">
                  <c:v>16785.945169875282</c:v>
                </c:pt>
                <c:pt idx="6">
                  <c:v>12840.502877740069</c:v>
                </c:pt>
                <c:pt idx="7">
                  <c:v>14075.112685750062</c:v>
                </c:pt>
                <c:pt idx="8">
                  <c:v>14040.668310087089</c:v>
                </c:pt>
                <c:pt idx="9">
                  <c:v>12831.927677301308</c:v>
                </c:pt>
                <c:pt idx="10">
                  <c:v>12737.144388085922</c:v>
                </c:pt>
                <c:pt idx="11">
                  <c:v>12074.062024555824</c:v>
                </c:pt>
                <c:pt idx="12">
                  <c:v>11626.992448252935</c:v>
                </c:pt>
              </c:numCache>
            </c:numRef>
          </c:val>
          <c:smooth val="0"/>
          <c:extLst>
            <c:ext xmlns:c16="http://schemas.microsoft.com/office/drawing/2014/chart" uri="{C3380CC4-5D6E-409C-BE32-E72D297353CC}">
              <c16:uniqueId val="{00000000-84C8-9343-B2E6-5981BFC4CE5B}"/>
            </c:ext>
          </c:extLst>
        </c:ser>
        <c:ser>
          <c:idx val="1"/>
          <c:order val="1"/>
          <c:tx>
            <c:strRef>
              <c:f>Sheet1!$C$1</c:f>
              <c:strCache>
                <c:ptCount val="1"/>
                <c:pt idx="0">
                  <c:v>With Biomass Emissions</c:v>
                </c:pt>
              </c:strCache>
            </c:strRef>
          </c:tx>
          <c:spPr>
            <a:ln w="28575" cap="rnd">
              <a:solidFill>
                <a:schemeClr val="accent2"/>
              </a:solidFill>
              <a:round/>
            </a:ln>
            <a:effectLst/>
          </c:spPr>
          <c:marker>
            <c:symbol val="none"/>
          </c:marker>
          <c:cat>
            <c:strRef>
              <c:f>Sheet1!$A$2:$A$14</c:f>
              <c:strCache>
                <c:ptCount val="13"/>
                <c:pt idx="0">
                  <c:v>07</c:v>
                </c:pt>
                <c:pt idx="1">
                  <c:v>08</c:v>
                </c:pt>
                <c:pt idx="2">
                  <c:v>09</c:v>
                </c:pt>
                <c:pt idx="3">
                  <c:v>10</c:v>
                </c:pt>
                <c:pt idx="4">
                  <c:v>11</c:v>
                </c:pt>
                <c:pt idx="5">
                  <c:v>12</c:v>
                </c:pt>
                <c:pt idx="6">
                  <c:v>13</c:v>
                </c:pt>
                <c:pt idx="7">
                  <c:v>14</c:v>
                </c:pt>
                <c:pt idx="8">
                  <c:v>15</c:v>
                </c:pt>
                <c:pt idx="9">
                  <c:v>16</c:v>
                </c:pt>
                <c:pt idx="10">
                  <c:v>17</c:v>
                </c:pt>
                <c:pt idx="11">
                  <c:v>18</c:v>
                </c:pt>
                <c:pt idx="12">
                  <c:v>19</c:v>
                </c:pt>
              </c:strCache>
            </c:strRef>
          </c:cat>
          <c:val>
            <c:numRef>
              <c:f>Sheet1!$C$2:$C$14</c:f>
              <c:numCache>
                <c:formatCode>#,##0.0</c:formatCode>
                <c:ptCount val="13"/>
                <c:pt idx="0">
                  <c:v>28553.947315489033</c:v>
                </c:pt>
                <c:pt idx="1">
                  <c:v>30643.66105534634</c:v>
                </c:pt>
                <c:pt idx="2">
                  <c:v>32629.0743372537</c:v>
                </c:pt>
                <c:pt idx="3">
                  <c:v>40681.608086478918</c:v>
                </c:pt>
                <c:pt idx="4">
                  <c:v>47618.645260630678</c:v>
                </c:pt>
                <c:pt idx="5">
                  <c:v>42633.188050049401</c:v>
                </c:pt>
                <c:pt idx="6">
                  <c:v>46944.018984354465</c:v>
                </c:pt>
                <c:pt idx="7">
                  <c:v>55699.192154175762</c:v>
                </c:pt>
                <c:pt idx="8">
                  <c:v>53958.477718862741</c:v>
                </c:pt>
                <c:pt idx="9">
                  <c:v>44707.123173347667</c:v>
                </c:pt>
                <c:pt idx="10">
                  <c:v>48063.048315094653</c:v>
                </c:pt>
                <c:pt idx="11">
                  <c:v>45484.510736856151</c:v>
                </c:pt>
                <c:pt idx="12">
                  <c:v>46274.563629678749</c:v>
                </c:pt>
              </c:numCache>
            </c:numRef>
          </c:val>
          <c:smooth val="0"/>
          <c:extLst>
            <c:ext xmlns:c16="http://schemas.microsoft.com/office/drawing/2014/chart" uri="{C3380CC4-5D6E-409C-BE32-E72D297353CC}">
              <c16:uniqueId val="{00000001-84C8-9343-B2E6-5981BFC4CE5B}"/>
            </c:ext>
          </c:extLst>
        </c:ser>
        <c:ser>
          <c:idx val="2"/>
          <c:order val="2"/>
          <c:tx>
            <c:strRef>
              <c:f>Sheet1!$D$1</c:f>
              <c:strCache>
                <c:ptCount val="1"/>
                <c:pt idx="0">
                  <c:v>With Biomass Emissions and Sequestrations</c:v>
                </c:pt>
              </c:strCache>
            </c:strRef>
          </c:tx>
          <c:spPr>
            <a:ln w="28575" cap="rnd">
              <a:solidFill>
                <a:schemeClr val="accent3"/>
              </a:solidFill>
              <a:round/>
            </a:ln>
            <a:effectLst/>
          </c:spPr>
          <c:marker>
            <c:symbol val="none"/>
          </c:marker>
          <c:cat>
            <c:strRef>
              <c:f>Sheet1!$A$2:$A$14</c:f>
              <c:strCache>
                <c:ptCount val="13"/>
                <c:pt idx="0">
                  <c:v>07</c:v>
                </c:pt>
                <c:pt idx="1">
                  <c:v>08</c:v>
                </c:pt>
                <c:pt idx="2">
                  <c:v>09</c:v>
                </c:pt>
                <c:pt idx="3">
                  <c:v>10</c:v>
                </c:pt>
                <c:pt idx="4">
                  <c:v>11</c:v>
                </c:pt>
                <c:pt idx="5">
                  <c:v>12</c:v>
                </c:pt>
                <c:pt idx="6">
                  <c:v>13</c:v>
                </c:pt>
                <c:pt idx="7">
                  <c:v>14</c:v>
                </c:pt>
                <c:pt idx="8">
                  <c:v>15</c:v>
                </c:pt>
                <c:pt idx="9">
                  <c:v>16</c:v>
                </c:pt>
                <c:pt idx="10">
                  <c:v>17</c:v>
                </c:pt>
                <c:pt idx="11">
                  <c:v>18</c:v>
                </c:pt>
                <c:pt idx="12">
                  <c:v>19</c:v>
                </c:pt>
              </c:strCache>
            </c:strRef>
          </c:cat>
          <c:val>
            <c:numRef>
              <c:f>Sheet1!$D$2:$D$14</c:f>
              <c:numCache>
                <c:formatCode>0.0</c:formatCode>
                <c:ptCount val="13"/>
                <c:pt idx="0">
                  <c:v>28553.9</c:v>
                </c:pt>
                <c:pt idx="1">
                  <c:v>30643.7</c:v>
                </c:pt>
                <c:pt idx="2">
                  <c:v>23650</c:v>
                </c:pt>
                <c:pt idx="3">
                  <c:v>2229.4</c:v>
                </c:pt>
                <c:pt idx="4">
                  <c:v>-4915.2</c:v>
                </c:pt>
                <c:pt idx="5">
                  <c:v>-1410</c:v>
                </c:pt>
                <c:pt idx="6">
                  <c:v>-11168</c:v>
                </c:pt>
                <c:pt idx="7">
                  <c:v>-15227.6</c:v>
                </c:pt>
                <c:pt idx="8">
                  <c:v>-14061</c:v>
                </c:pt>
                <c:pt idx="9">
                  <c:v>-9607.7000000000007</c:v>
                </c:pt>
                <c:pt idx="10">
                  <c:v>-12131.8</c:v>
                </c:pt>
                <c:pt idx="11">
                  <c:v>-11446.5</c:v>
                </c:pt>
                <c:pt idx="12">
                  <c:v>-12774.5</c:v>
                </c:pt>
              </c:numCache>
            </c:numRef>
          </c:val>
          <c:smooth val="0"/>
          <c:extLst>
            <c:ext xmlns:c16="http://schemas.microsoft.com/office/drawing/2014/chart" uri="{C3380CC4-5D6E-409C-BE32-E72D297353CC}">
              <c16:uniqueId val="{00000002-84C8-9343-B2E6-5981BFC4CE5B}"/>
            </c:ext>
          </c:extLst>
        </c:ser>
        <c:dLbls>
          <c:showLegendKey val="0"/>
          <c:showVal val="0"/>
          <c:showCatName val="0"/>
          <c:showSerName val="0"/>
          <c:showPercent val="0"/>
          <c:showBubbleSize val="0"/>
        </c:dLbls>
        <c:smooth val="0"/>
        <c:axId val="468491903"/>
        <c:axId val="468160927"/>
      </c:lineChart>
      <c:catAx>
        <c:axId val="468491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160927"/>
        <c:crosses val="autoZero"/>
        <c:auto val="1"/>
        <c:lblAlgn val="ctr"/>
        <c:lblOffset val="100"/>
        <c:noMultiLvlLbl val="0"/>
      </c:catAx>
      <c:valAx>
        <c:axId val="468160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US">
                    <a:latin typeface="Garamond" panose="02020404030301010803" pitchFamily="18" charset="0"/>
                  </a:rPr>
                  <a:t>Annual</a:t>
                </a:r>
                <a:r>
                  <a:rPr lang="en-US" baseline="0">
                    <a:latin typeface="Garamond" panose="02020404030301010803" pitchFamily="18" charset="0"/>
                  </a:rPr>
                  <a:t> MTCDE</a:t>
                </a:r>
                <a:endParaRPr lang="en-US">
                  <a:latin typeface="Garamond" panose="02020404030301010803"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68491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2CDBF-665A-E04E-AB33-B4CD3C30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Gabriel Laird (Gabe)</dc:creator>
  <cp:keywords/>
  <dc:description/>
  <cp:lastModifiedBy>Desmond, Gabriel Laird (Gabe)</cp:lastModifiedBy>
  <cp:revision>6</cp:revision>
  <dcterms:created xsi:type="dcterms:W3CDTF">2020-08-14T20:30:00Z</dcterms:created>
  <dcterms:modified xsi:type="dcterms:W3CDTF">2020-08-14T23:34:00Z</dcterms:modified>
</cp:coreProperties>
</file>