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sz w:val="18"/>
              </w:rPr>
              <w:t>Section 3.8, p. 23. A protocol deviation is defined as any departure from the procedures of the trial protocol that affects a participant's eligibility, allocation or treatment.</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sz w:val="18"/>
              </w:rPr>
              <w:t>Section 3.8, p. 23. Four kinds are recorded: treatment in the unallocated arm, delivery by an untrained therapist, enrolment against the eligibility criteria, and a course of treatment well outside the planned 16 weeks. Reported by arm and by practice with reason and timing. No participant is excluded because of a deviation.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 The withdrawal criteria themselves are in protocol version 3, section 4.4: withdrawn consent, newly reported pregnancy, or a severe illness that prevents following study procedures.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sz w:val="18"/>
              </w:rPr>
              <w:t>Section 2.8, p. 12. No subgroup analyses are planned. Any carried out later are identified as post hoc and interpreted as exploratory, and no claim about a differential treatment effect rests on them.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sz w:val="18"/>
              </w:rPr>
              <w:t>Section 2.9.2, p. 13. Counts by arm of participants with at least one event, of events, and the same two counts restricted to serious events and to events assessed as related to the trial intervention. Events are free text and grouped into clinically similar categories agreed before the analysis, without a coding dictionary. The definitions of an adverse event and a serious adverse event, and the causality assessment behind “related”, are in protocol version 3, section 6.2, which applies ClinO Article 63 and the ICH E2A terms.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sz w:val="18"/>
              </w:rPr>
              <w:t>A data management plan for the funder exists (Swiss National Science Foundation, grant 220585) and is held with the trial documentation. Data handling as implemented is described in protocol version 3, section 8: REDCap as the electronic case report form, coded participant identifiers, an automatic audit trail and a source data list.</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sz w:val="18"/>
              </w:rPr>
              <w:t>A trial master file is maintained by the sponsor, with a defined table of contents covering contact details, study team, regulatory documents and site files. There is no separate statistical master file: this analysis plan and the accompanying R repository serve that purpose, see the data and code availability statement, p. 24.</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O'Nions, Carrie [conions]</dc:creator>
  <cp:keywords/>
  <dc:description/>
  <cp:lastModifiedBy>Kearney, Anna</cp:lastModifiedBy>
  <cp:revision>6</cp:revision>
  <cp:lastPrinted>2019-10-22T11:14:00Z</cp:lastPrinted>
  <dcterms:created xsi:type="dcterms:W3CDTF">2019-08-19T10:08:00Z</dcterms:created>
  <dcterms:modified xsi:type="dcterms:W3CDTF">2019-10-22T12:18:00Z</dcterms:modified>
</cp:coreProperties>
</file>