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r>
        <w:rPr>
          <w:b/>
          <w:sz w:val="24"/>
        </w:rPr>
        <w:t>RESOLVE Swiss — statistical analysis plan</w:t>
      </w:r>
    </w:p>
    <w:p>
      <w:r>
        <w:rPr>
          <w:b w:val="0"/>
          <w:sz w:val="20"/>
        </w:rPr>
        <w:t>Completed SAP checklist (Gamble et al., JAMA 2017; template v1.0 2019)</w:t>
      </w:r>
    </w:p>
    <w:p>
      <w:r>
        <w:rPr>
          <w:b w:val="0"/>
          <w:color w:val="606060"/>
          <w:sz w:val="20"/>
        </w:rPr>
        <w:t>Page numbers refer to the submitted manuscript. Entries in red still need a decision or an addition before submission.</w:t>
      </w:r>
    </w:p>
    <w:p w:rsidR="00AA0FAF" w:rsidRPr="009B7291" w:rsidRDefault="009B7291">
      <w:pPr>
        <w:rPr>
          <w:rFonts w:ascii="Arial" w:hAnsi="Arial" w:cs="Arial"/>
          <w:b/>
          <w:sz w:val="28"/>
        </w:rPr>
      </w:pPr>
      <w:r w:rsidRPr="009B7291">
        <w:rPr>
          <w:rFonts w:ascii="Arial" w:hAnsi="Arial" w:cs="Arial"/>
          <w:b/>
          <w:sz w:val="28"/>
        </w:rPr>
        <w:t>S</w:t>
      </w:r>
      <w:r>
        <w:rPr>
          <w:rFonts w:ascii="Arial" w:hAnsi="Arial" w:cs="Arial"/>
          <w:b/>
          <w:sz w:val="28"/>
        </w:rPr>
        <w:t xml:space="preserve">tatistical Analysis </w:t>
      </w:r>
      <w:r w:rsidR="00CF626D" w:rsidRPr="009B7291">
        <w:rPr>
          <w:rFonts w:ascii="Arial" w:hAnsi="Arial" w:cs="Arial"/>
          <w:b/>
          <w:sz w:val="28"/>
        </w:rPr>
        <w:t>P</w:t>
      </w:r>
      <w:r>
        <w:rPr>
          <w:rFonts w:ascii="Arial" w:hAnsi="Arial" w:cs="Arial"/>
          <w:b/>
          <w:sz w:val="28"/>
        </w:rPr>
        <w:t>lan (SAP)</w:t>
      </w:r>
      <w:r w:rsidR="00CF626D" w:rsidRPr="009B7291">
        <w:rPr>
          <w:rFonts w:ascii="Arial" w:hAnsi="Arial" w:cs="Arial"/>
          <w:b/>
          <w:sz w:val="28"/>
        </w:rPr>
        <w:t xml:space="preserve"> Checklist</w:t>
      </w:r>
      <w:r w:rsidR="00F45467">
        <w:rPr>
          <w:rFonts w:ascii="Arial" w:hAnsi="Arial" w:cs="Arial"/>
          <w:b/>
          <w:sz w:val="28"/>
        </w:rPr>
        <w:t xml:space="preserve"> v 1.0</w:t>
      </w:r>
      <w:r w:rsidR="00E30167">
        <w:rPr>
          <w:rFonts w:ascii="Arial" w:hAnsi="Arial" w:cs="Arial"/>
          <w:b/>
          <w:sz w:val="28"/>
        </w:rPr>
        <w:t xml:space="preserve"> 2019</w:t>
      </w:r>
    </w:p>
    <w:tbl>
      <w:tblPr>
        <w:tblStyle w:val="TableGrid"/>
        <w:tblW w:w="15593" w:type="dxa"/>
        <w:tblInd w:w="-856" w:type="dxa"/>
        <w:tblLook w:val="04A0" w:firstRow="1" w:lastRow="0" w:firstColumn="1" w:lastColumn="0" w:noHBand="0" w:noVBand="1"/>
      </w:tblPr>
      <w:tblGrid>
        <w:gridCol w:w="4021"/>
        <w:gridCol w:w="804"/>
        <w:gridCol w:w="9362"/>
        <w:gridCol w:w="1406"/>
      </w:tblGrid>
      <w:tr w:rsidR="00CF626D" w:rsidRPr="00627579" w:rsidTr="00292CB5">
        <w:tc>
          <w:tcPr>
            <w:tcW w:w="4033" w:type="dxa"/>
            <w:tcBorders>
              <w:bottom w:val="single" w:sz="4" w:space="0" w:color="auto"/>
            </w:tcBorders>
            <w:shd w:val="clear" w:color="auto" w:fill="000000" w:themeFill="text1"/>
          </w:tcPr>
          <w:p w:rsidR="00CF626D" w:rsidRPr="00F45467" w:rsidRDefault="00CF626D">
            <w:pPr>
              <w:rPr>
                <w:rFonts w:ascii="Arial" w:hAnsi="Arial" w:cs="Arial"/>
                <w:sz w:val="24"/>
              </w:rPr>
            </w:pPr>
            <w:r w:rsidRPr="00F45467">
              <w:rPr>
                <w:rFonts w:ascii="Arial" w:hAnsi="Arial" w:cs="Arial"/>
                <w:sz w:val="24"/>
              </w:rPr>
              <w:t>Section/Item</w:t>
            </w:r>
          </w:p>
        </w:tc>
        <w:tc>
          <w:tcPr>
            <w:tcW w:w="755" w:type="dxa"/>
            <w:tcBorders>
              <w:bottom w:val="single" w:sz="4" w:space="0" w:color="auto"/>
            </w:tcBorders>
            <w:shd w:val="clear" w:color="auto" w:fill="000000" w:themeFill="text1"/>
          </w:tcPr>
          <w:p w:rsidR="00CF626D" w:rsidRPr="00F45467" w:rsidRDefault="00CF626D">
            <w:pPr>
              <w:rPr>
                <w:rFonts w:ascii="Arial" w:hAnsi="Arial" w:cs="Arial"/>
                <w:sz w:val="24"/>
              </w:rPr>
            </w:pPr>
            <w:r w:rsidRPr="00F45467">
              <w:rPr>
                <w:rFonts w:ascii="Arial" w:hAnsi="Arial" w:cs="Arial"/>
                <w:sz w:val="24"/>
              </w:rPr>
              <w:t>Index</w:t>
            </w:r>
          </w:p>
        </w:tc>
        <w:tc>
          <w:tcPr>
            <w:tcW w:w="9398" w:type="dxa"/>
            <w:tcBorders>
              <w:bottom w:val="single" w:sz="4" w:space="0" w:color="auto"/>
            </w:tcBorders>
            <w:shd w:val="clear" w:color="auto" w:fill="000000" w:themeFill="text1"/>
          </w:tcPr>
          <w:p w:rsidR="00CF626D" w:rsidRPr="00F45467" w:rsidRDefault="00CF626D">
            <w:pPr>
              <w:rPr>
                <w:rFonts w:ascii="Arial" w:hAnsi="Arial" w:cs="Arial"/>
                <w:sz w:val="24"/>
              </w:rPr>
            </w:pPr>
            <w:r w:rsidRPr="00F45467">
              <w:rPr>
                <w:rFonts w:ascii="Arial" w:hAnsi="Arial" w:cs="Arial"/>
                <w:sz w:val="24"/>
              </w:rPr>
              <w:t>Description</w:t>
            </w:r>
          </w:p>
        </w:tc>
        <w:tc>
          <w:tcPr>
            <w:tcW w:w="1407" w:type="dxa"/>
            <w:shd w:val="clear" w:color="auto" w:fill="000000" w:themeFill="text1"/>
          </w:tcPr>
          <w:p w:rsidR="00CF626D" w:rsidRPr="00F45467" w:rsidRDefault="00CF626D">
            <w:pPr>
              <w:rPr>
                <w:rFonts w:ascii="Arial" w:hAnsi="Arial" w:cs="Arial"/>
                <w:sz w:val="24"/>
              </w:rPr>
            </w:pPr>
            <w:r w:rsidRPr="00F45467">
              <w:rPr>
                <w:rFonts w:ascii="Arial" w:hAnsi="Arial" w:cs="Arial"/>
                <w:sz w:val="24"/>
              </w:rPr>
              <w:t>Reported on page #</w:t>
            </w:r>
          </w:p>
        </w:tc>
      </w:tr>
      <w:tr w:rsidR="00F45467" w:rsidRPr="00F45467" w:rsidTr="00292CB5">
        <w:trPr>
          <w:trHeight w:val="340"/>
        </w:trPr>
        <w:tc>
          <w:tcPr>
            <w:tcW w:w="15593" w:type="dxa"/>
            <w:gridSpan w:val="4"/>
            <w:shd w:val="clear" w:color="auto" w:fill="BFBFBF" w:themeFill="background1" w:themeFillShade="BF"/>
          </w:tcPr>
          <w:p w:rsidR="00F45467" w:rsidRPr="00F45467" w:rsidRDefault="00F45467">
            <w:pPr>
              <w:rPr>
                <w:rFonts w:ascii="Arial" w:hAnsi="Arial" w:cs="Arial"/>
                <w:b/>
                <w:sz w:val="24"/>
              </w:rPr>
            </w:pPr>
            <w:r w:rsidRPr="00F45467">
              <w:rPr>
                <w:rFonts w:ascii="Arial" w:hAnsi="Arial" w:cs="Arial"/>
                <w:b/>
                <w:sz w:val="24"/>
              </w:rPr>
              <w:t>Section 1: Administrative information</w:t>
            </w:r>
          </w:p>
        </w:tc>
      </w:tr>
      <w:tr w:rsidR="00CF626D" w:rsidRPr="00627579" w:rsidTr="00F45467">
        <w:trPr>
          <w:trHeight w:val="340"/>
        </w:trPr>
        <w:tc>
          <w:tcPr>
            <w:tcW w:w="4033" w:type="dxa"/>
          </w:tcPr>
          <w:p w:rsidR="00CF626D" w:rsidRPr="00627579" w:rsidRDefault="00627579" w:rsidP="00CF626D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Trial and Trial registration</w:t>
            </w:r>
          </w:p>
        </w:tc>
        <w:tc>
          <w:tcPr>
            <w:tcW w:w="755" w:type="dxa"/>
          </w:tcPr>
          <w:p w:rsidR="00CF626D" w:rsidRPr="00627579" w:rsidRDefault="00627579" w:rsidP="004A5B03">
            <w:pPr>
              <w:tabs>
                <w:tab w:val="left" w:pos="960"/>
              </w:tabs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1a</w:t>
            </w:r>
          </w:p>
        </w:tc>
        <w:tc>
          <w:tcPr>
            <w:tcW w:w="9398" w:type="dxa"/>
          </w:tcPr>
          <w:p w:rsidR="004A5B03" w:rsidRPr="00670494" w:rsidRDefault="004A5B03" w:rsidP="004A5B03">
            <w:pPr>
              <w:autoSpaceDE w:val="0"/>
              <w:autoSpaceDN w:val="0"/>
              <w:adjustRightInd w:val="0"/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Descriptive title that matches the protocol, with SAP either as a forerunner or subtitle,</w:t>
            </w:r>
          </w:p>
          <w:p w:rsidR="00CF626D" w:rsidRPr="00670494" w:rsidRDefault="004A5B03" w:rsidP="004A5B03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and trial acronym (if applicable)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Title page, p. 1</w:t>
            </w:r>
          </w:p>
        </w:tc>
      </w:tr>
      <w:tr w:rsidR="00627579" w:rsidRPr="00627579" w:rsidTr="00F45467">
        <w:trPr>
          <w:trHeight w:val="340"/>
        </w:trPr>
        <w:tc>
          <w:tcPr>
            <w:tcW w:w="4033" w:type="dxa"/>
          </w:tcPr>
          <w:p w:rsidR="00627579" w:rsidRPr="00627579" w:rsidRDefault="00627579" w:rsidP="00CF626D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</w:tcPr>
          <w:p w:rsidR="00627579" w:rsidRPr="00627579" w:rsidRDefault="00627579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1b</w:t>
            </w:r>
          </w:p>
        </w:tc>
        <w:tc>
          <w:tcPr>
            <w:tcW w:w="9398" w:type="dxa"/>
          </w:tcPr>
          <w:p w:rsidR="00627579" w:rsidRPr="00670494" w:rsidRDefault="004A5B03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Trial registration number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Abstract, Trial registration, p. 2; section 2.1, p. 3</w:t>
            </w:r>
          </w:p>
        </w:tc>
      </w:tr>
      <w:tr w:rsidR="00CF626D" w:rsidRPr="00627579" w:rsidTr="00F45467">
        <w:trPr>
          <w:trHeight w:val="340"/>
        </w:trPr>
        <w:tc>
          <w:tcPr>
            <w:tcW w:w="4033" w:type="dxa"/>
          </w:tcPr>
          <w:p w:rsidR="00CF626D" w:rsidRPr="00627579" w:rsidRDefault="00627579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SAP Version</w:t>
            </w:r>
          </w:p>
        </w:tc>
        <w:tc>
          <w:tcPr>
            <w:tcW w:w="755" w:type="dxa"/>
          </w:tcPr>
          <w:p w:rsidR="00CF626D" w:rsidRPr="00627579" w:rsidRDefault="00627579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9398" w:type="dxa"/>
          </w:tcPr>
          <w:p w:rsidR="00CF626D" w:rsidRPr="00670494" w:rsidRDefault="004A5B03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SAP version number with dates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Not applicable. This is the first version of the SAP and is dated by the journal submission; the manuscript carries no internal version number.</w:t>
            </w:r>
          </w:p>
        </w:tc>
      </w:tr>
      <w:tr w:rsidR="00CF626D" w:rsidRPr="00627579" w:rsidTr="00F45467">
        <w:trPr>
          <w:trHeight w:val="340"/>
        </w:trPr>
        <w:tc>
          <w:tcPr>
            <w:tcW w:w="4033" w:type="dxa"/>
          </w:tcPr>
          <w:p w:rsidR="00CF626D" w:rsidRPr="00627579" w:rsidRDefault="00627579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Protocol Version</w:t>
            </w:r>
          </w:p>
        </w:tc>
        <w:tc>
          <w:tcPr>
            <w:tcW w:w="755" w:type="dxa"/>
          </w:tcPr>
          <w:p w:rsidR="00CF626D" w:rsidRPr="00627579" w:rsidRDefault="00627579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9398" w:type="dxa"/>
          </w:tcPr>
          <w:p w:rsidR="00CF626D" w:rsidRPr="00670494" w:rsidRDefault="004A5B03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Reference to version of protocol being used</w:t>
            </w:r>
          </w:p>
        </w:tc>
        <w:tc>
          <w:tcPr>
            <w:tcW w:w="1407" w:type="dxa"/>
          </w:tcPr>
          <w:p>
            <w:r/>
            <w:r>
              <w:rPr>
                <w:color w:val="A00028"/>
                <w:sz w:val="18"/>
              </w:rPr>
              <w:t>Section 1.1, p. 2, citing Wirz et al. (protocol manuscript). Insert the DOI once the protocol is published.</w:t>
            </w:r>
          </w:p>
        </w:tc>
      </w:tr>
      <w:tr w:rsidR="00CF626D" w:rsidRPr="00627579" w:rsidTr="00F45467">
        <w:trPr>
          <w:trHeight w:val="340"/>
        </w:trPr>
        <w:tc>
          <w:tcPr>
            <w:tcW w:w="4033" w:type="dxa"/>
          </w:tcPr>
          <w:p w:rsidR="00CF626D" w:rsidRPr="00627579" w:rsidRDefault="00627579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SAP revisions</w:t>
            </w:r>
          </w:p>
        </w:tc>
        <w:tc>
          <w:tcPr>
            <w:tcW w:w="755" w:type="dxa"/>
          </w:tcPr>
          <w:p w:rsidR="00CF626D" w:rsidRPr="00627579" w:rsidRDefault="00627579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4a</w:t>
            </w:r>
          </w:p>
        </w:tc>
        <w:tc>
          <w:tcPr>
            <w:tcW w:w="9398" w:type="dxa"/>
          </w:tcPr>
          <w:p w:rsidR="00CF626D" w:rsidRPr="00670494" w:rsidRDefault="004A5B03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SAP revision history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Not applicable. No revisions; this is the first version.</w:t>
            </w:r>
          </w:p>
        </w:tc>
      </w:tr>
      <w:tr w:rsidR="00CF626D" w:rsidRPr="00627579" w:rsidTr="00F45467">
        <w:trPr>
          <w:trHeight w:val="340"/>
        </w:trPr>
        <w:tc>
          <w:tcPr>
            <w:tcW w:w="4033" w:type="dxa"/>
          </w:tcPr>
          <w:p w:rsidR="00CF626D" w:rsidRPr="00627579" w:rsidRDefault="00CF626D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</w:tcPr>
          <w:p w:rsidR="00CF626D" w:rsidRPr="00627579" w:rsidRDefault="00627579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4b</w:t>
            </w:r>
          </w:p>
        </w:tc>
        <w:tc>
          <w:tcPr>
            <w:tcW w:w="9398" w:type="dxa"/>
          </w:tcPr>
          <w:p w:rsidR="00CF626D" w:rsidRPr="00670494" w:rsidRDefault="004A5B03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Justification for each SAP revision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Not applicable, see 4a.</w:t>
            </w:r>
          </w:p>
        </w:tc>
      </w:tr>
      <w:tr w:rsidR="00627579" w:rsidRPr="00627579" w:rsidTr="00F45467">
        <w:trPr>
          <w:trHeight w:val="340"/>
        </w:trPr>
        <w:tc>
          <w:tcPr>
            <w:tcW w:w="4033" w:type="dxa"/>
          </w:tcPr>
          <w:p w:rsidR="00627579" w:rsidRPr="00627579" w:rsidRDefault="00627579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</w:tcPr>
          <w:p w:rsidR="00627579" w:rsidRPr="00627579" w:rsidRDefault="00627579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4c</w:t>
            </w:r>
          </w:p>
        </w:tc>
        <w:tc>
          <w:tcPr>
            <w:tcW w:w="9398" w:type="dxa"/>
          </w:tcPr>
          <w:p w:rsidR="00627579" w:rsidRPr="00670494" w:rsidRDefault="004A5B03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 xml:space="preserve">Timing of SAP revisions in relation to interim analyses, </w:t>
            </w:r>
            <w:r w:rsidR="00CD5D1D" w:rsidRPr="00670494">
              <w:rPr>
                <w:rFonts w:ascii="Arial" w:hAnsi="Arial" w:cs="Arial"/>
              </w:rPr>
              <w:t>etc.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Not applicable, see 4a.</w:t>
            </w:r>
          </w:p>
        </w:tc>
      </w:tr>
      <w:tr w:rsidR="00627579" w:rsidRPr="00627579" w:rsidTr="00F45467">
        <w:trPr>
          <w:trHeight w:val="340"/>
        </w:trPr>
        <w:tc>
          <w:tcPr>
            <w:tcW w:w="4033" w:type="dxa"/>
          </w:tcPr>
          <w:p w:rsidR="00627579" w:rsidRPr="00627579" w:rsidRDefault="00627579" w:rsidP="00627579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Roles and responsibility</w:t>
            </w:r>
          </w:p>
        </w:tc>
        <w:tc>
          <w:tcPr>
            <w:tcW w:w="755" w:type="dxa"/>
          </w:tcPr>
          <w:p w:rsidR="00627579" w:rsidRPr="00627579" w:rsidRDefault="00627579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9398" w:type="dxa"/>
          </w:tcPr>
          <w:p w:rsidR="00627579" w:rsidRPr="00670494" w:rsidRDefault="004A5B03" w:rsidP="00627579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Names, affiliations, and roles of SAP contributors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Title page, p. 1, and Author contributions, p. 23 (CRediT).</w:t>
            </w:r>
          </w:p>
        </w:tc>
      </w:tr>
      <w:tr w:rsidR="00627579" w:rsidRPr="00627579" w:rsidTr="00F45467">
        <w:trPr>
          <w:trHeight w:val="340"/>
        </w:trPr>
        <w:tc>
          <w:tcPr>
            <w:tcW w:w="4033" w:type="dxa"/>
          </w:tcPr>
          <w:p w:rsidR="00627579" w:rsidRPr="00627579" w:rsidRDefault="00627579" w:rsidP="00627579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Signatures of:</w:t>
            </w:r>
          </w:p>
        </w:tc>
        <w:tc>
          <w:tcPr>
            <w:tcW w:w="755" w:type="dxa"/>
          </w:tcPr>
          <w:p w:rsidR="00627579" w:rsidRPr="00627579" w:rsidRDefault="00627579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6a</w:t>
            </w:r>
          </w:p>
        </w:tc>
        <w:tc>
          <w:tcPr>
            <w:tcW w:w="9398" w:type="dxa"/>
          </w:tcPr>
          <w:p w:rsidR="00627579" w:rsidRPr="00670494" w:rsidRDefault="004A5B03" w:rsidP="00627579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Person writing the SAP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Not applicable in a journal manuscript. Signatures are held with the sponsor.</w:t>
            </w:r>
          </w:p>
        </w:tc>
      </w:tr>
      <w:tr w:rsidR="00627579" w:rsidRPr="00627579" w:rsidTr="00F45467">
        <w:trPr>
          <w:trHeight w:val="340"/>
        </w:trPr>
        <w:tc>
          <w:tcPr>
            <w:tcW w:w="4033" w:type="dxa"/>
          </w:tcPr>
          <w:p w:rsidR="00627579" w:rsidRPr="00627579" w:rsidRDefault="00627579" w:rsidP="00627579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</w:tcPr>
          <w:p w:rsidR="00627579" w:rsidRDefault="00627579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6b</w:t>
            </w:r>
          </w:p>
        </w:tc>
        <w:tc>
          <w:tcPr>
            <w:tcW w:w="9398" w:type="dxa"/>
          </w:tcPr>
          <w:p w:rsidR="00627579" w:rsidRPr="00670494" w:rsidRDefault="004A5B03" w:rsidP="00627579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Senior statistician responsible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Not applicable, see 6a. JD is the trial statistician.</w:t>
            </w:r>
          </w:p>
        </w:tc>
      </w:tr>
      <w:tr w:rsidR="00627579" w:rsidRPr="00627579" w:rsidTr="00F45467">
        <w:trPr>
          <w:trHeight w:val="340"/>
        </w:trPr>
        <w:tc>
          <w:tcPr>
            <w:tcW w:w="4033" w:type="dxa"/>
            <w:tcBorders>
              <w:bottom w:val="single" w:sz="4" w:space="0" w:color="auto"/>
            </w:tcBorders>
          </w:tcPr>
          <w:p w:rsidR="00627579" w:rsidRPr="00627579" w:rsidRDefault="00627579" w:rsidP="00627579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  <w:tcBorders>
              <w:bottom w:val="single" w:sz="4" w:space="0" w:color="auto"/>
            </w:tcBorders>
          </w:tcPr>
          <w:p w:rsidR="00627579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6c</w:t>
            </w:r>
          </w:p>
        </w:tc>
        <w:tc>
          <w:tcPr>
            <w:tcW w:w="9398" w:type="dxa"/>
            <w:tcBorders>
              <w:bottom w:val="single" w:sz="4" w:space="0" w:color="auto"/>
            </w:tcBorders>
          </w:tcPr>
          <w:p w:rsidR="00627579" w:rsidRPr="00670494" w:rsidRDefault="004A5B03" w:rsidP="00627579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Chief investigator/clinical lead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Not applicable, see 6a. TB is sponsor-investigator.</w:t>
            </w:r>
          </w:p>
        </w:tc>
      </w:tr>
      <w:tr w:rsidR="00F45467" w:rsidRPr="00F45467" w:rsidTr="00292CB5">
        <w:trPr>
          <w:trHeight w:val="340"/>
        </w:trPr>
        <w:tc>
          <w:tcPr>
            <w:tcW w:w="15593" w:type="dxa"/>
            <w:gridSpan w:val="4"/>
            <w:shd w:val="clear" w:color="auto" w:fill="BFBFBF" w:themeFill="background1" w:themeFillShade="BF"/>
          </w:tcPr>
          <w:p w:rsidR="00F45467" w:rsidRPr="00F45467" w:rsidRDefault="00F45467" w:rsidP="00627579">
            <w:pPr>
              <w:rPr>
                <w:rFonts w:ascii="Arial" w:hAnsi="Arial" w:cs="Arial"/>
                <w:b/>
                <w:sz w:val="24"/>
              </w:rPr>
            </w:pPr>
            <w:r w:rsidRPr="00F45467">
              <w:rPr>
                <w:rFonts w:ascii="Arial" w:hAnsi="Arial" w:cs="Arial"/>
                <w:b/>
                <w:sz w:val="24"/>
              </w:rPr>
              <w:t>Section 2: Introduction</w:t>
            </w:r>
          </w:p>
        </w:tc>
      </w:tr>
      <w:tr w:rsidR="00627579" w:rsidRPr="00627579" w:rsidTr="00F45467">
        <w:trPr>
          <w:trHeight w:val="340"/>
        </w:trPr>
        <w:tc>
          <w:tcPr>
            <w:tcW w:w="4033" w:type="dxa"/>
          </w:tcPr>
          <w:p w:rsidR="00627579" w:rsidRPr="00627579" w:rsidRDefault="00627579" w:rsidP="00627579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Background and rationale</w:t>
            </w:r>
          </w:p>
        </w:tc>
        <w:tc>
          <w:tcPr>
            <w:tcW w:w="755" w:type="dxa"/>
          </w:tcPr>
          <w:p w:rsidR="00627579" w:rsidRPr="00627579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9398" w:type="dxa"/>
          </w:tcPr>
          <w:p w:rsidR="004A5B03" w:rsidRPr="00670494" w:rsidRDefault="004A5B03" w:rsidP="004A5B03">
            <w:pPr>
              <w:autoSpaceDE w:val="0"/>
              <w:autoSpaceDN w:val="0"/>
              <w:adjustRightInd w:val="0"/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Synopsis of trial background and rationale including a brief description of research question</w:t>
            </w:r>
          </w:p>
          <w:p w:rsidR="00627579" w:rsidRPr="00670494" w:rsidRDefault="004A5B03" w:rsidP="004A5B03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and brief justification for undertaking the trial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1.1, p. 2</w:t>
            </w:r>
          </w:p>
        </w:tc>
      </w:tr>
      <w:tr w:rsidR="00627579" w:rsidRPr="00627579" w:rsidTr="00F45467">
        <w:trPr>
          <w:trHeight w:val="340"/>
        </w:trPr>
        <w:tc>
          <w:tcPr>
            <w:tcW w:w="4033" w:type="dxa"/>
            <w:tcBorders>
              <w:bottom w:val="single" w:sz="4" w:space="0" w:color="auto"/>
            </w:tcBorders>
          </w:tcPr>
          <w:p w:rsidR="00627579" w:rsidRPr="00627579" w:rsidRDefault="00627579" w:rsidP="00627579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Objectives</w:t>
            </w:r>
          </w:p>
        </w:tc>
        <w:tc>
          <w:tcPr>
            <w:tcW w:w="755" w:type="dxa"/>
            <w:tcBorders>
              <w:bottom w:val="single" w:sz="4" w:space="0" w:color="auto"/>
            </w:tcBorders>
          </w:tcPr>
          <w:p w:rsidR="00627579" w:rsidRPr="00627579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9398" w:type="dxa"/>
            <w:tcBorders>
              <w:bottom w:val="single" w:sz="4" w:space="0" w:color="auto"/>
            </w:tcBorders>
          </w:tcPr>
          <w:p w:rsidR="00627579" w:rsidRPr="00670494" w:rsidRDefault="004A5B03" w:rsidP="00627579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Description of specific objectives or hypotheses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1.1, p. 2, and Estimand, section 3.2.1, p. 13</w:t>
            </w:r>
          </w:p>
        </w:tc>
      </w:tr>
      <w:tr w:rsidR="00F45467" w:rsidRPr="00627579" w:rsidTr="00292CB5">
        <w:trPr>
          <w:trHeight w:val="340"/>
        </w:trPr>
        <w:tc>
          <w:tcPr>
            <w:tcW w:w="15593" w:type="dxa"/>
            <w:gridSpan w:val="4"/>
            <w:shd w:val="clear" w:color="auto" w:fill="BFBFBF" w:themeFill="background1" w:themeFillShade="BF"/>
          </w:tcPr>
          <w:p w:rsidR="00F45467" w:rsidRPr="00F45467" w:rsidRDefault="00F45467" w:rsidP="00627579">
            <w:pPr>
              <w:rPr>
                <w:rFonts w:ascii="Arial" w:hAnsi="Arial" w:cs="Arial"/>
                <w:b/>
                <w:sz w:val="24"/>
              </w:rPr>
            </w:pPr>
            <w:r w:rsidRPr="00F45467">
              <w:rPr>
                <w:rFonts w:ascii="Arial" w:hAnsi="Arial" w:cs="Arial"/>
                <w:b/>
                <w:sz w:val="24"/>
              </w:rPr>
              <w:t>Section 3: Study Methods</w:t>
            </w:r>
          </w:p>
        </w:tc>
      </w:tr>
      <w:tr w:rsidR="00627579" w:rsidRPr="00627579" w:rsidTr="00F45467">
        <w:trPr>
          <w:trHeight w:val="340"/>
        </w:trPr>
        <w:tc>
          <w:tcPr>
            <w:tcW w:w="4033" w:type="dxa"/>
          </w:tcPr>
          <w:p w:rsidR="00627579" w:rsidRPr="00627579" w:rsidRDefault="00627579" w:rsidP="00627579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Trial design</w:t>
            </w:r>
          </w:p>
        </w:tc>
        <w:tc>
          <w:tcPr>
            <w:tcW w:w="755" w:type="dxa"/>
          </w:tcPr>
          <w:p w:rsidR="00627579" w:rsidRPr="00627579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</w:p>
        </w:tc>
        <w:tc>
          <w:tcPr>
            <w:tcW w:w="9398" w:type="dxa"/>
          </w:tcPr>
          <w:p w:rsidR="004A5B03" w:rsidRPr="00670494" w:rsidRDefault="004A5B03" w:rsidP="004A5B03">
            <w:pPr>
              <w:autoSpaceDE w:val="0"/>
              <w:autoSpaceDN w:val="0"/>
              <w:adjustRightInd w:val="0"/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Brief description of trial design including type of trial (</w:t>
            </w:r>
            <w:r w:rsidR="00CD5D1D" w:rsidRPr="00670494">
              <w:rPr>
                <w:rFonts w:ascii="Arial" w:hAnsi="Arial" w:cs="Arial"/>
              </w:rPr>
              <w:t>e.g.</w:t>
            </w:r>
            <w:r w:rsidRPr="00670494">
              <w:rPr>
                <w:rFonts w:ascii="Arial" w:hAnsi="Arial" w:cs="Arial"/>
              </w:rPr>
              <w:t>, parallel group, multi</w:t>
            </w:r>
            <w:r w:rsidR="00292CB5">
              <w:rPr>
                <w:rFonts w:ascii="Arial" w:hAnsi="Arial" w:cs="Arial"/>
              </w:rPr>
              <w:t>-</w:t>
            </w:r>
            <w:r w:rsidRPr="00670494">
              <w:rPr>
                <w:rFonts w:ascii="Arial" w:hAnsi="Arial" w:cs="Arial"/>
              </w:rPr>
              <w:t>arm, crossover, factorial)</w:t>
            </w:r>
          </w:p>
          <w:p w:rsidR="00627579" w:rsidRPr="00670494" w:rsidRDefault="004A5B03" w:rsidP="004A5B03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and allocation ratio and may include brief description of interventions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2.1, p. 3, and Interventions, section 2.3, p. 4</w:t>
            </w:r>
          </w:p>
        </w:tc>
      </w:tr>
      <w:tr w:rsidR="00627579" w:rsidRPr="00627579" w:rsidTr="00F45467">
        <w:trPr>
          <w:trHeight w:val="340"/>
        </w:trPr>
        <w:tc>
          <w:tcPr>
            <w:tcW w:w="4033" w:type="dxa"/>
          </w:tcPr>
          <w:p w:rsidR="00627579" w:rsidRPr="00627579" w:rsidRDefault="00627579" w:rsidP="00627579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Randomization</w:t>
            </w:r>
          </w:p>
        </w:tc>
        <w:tc>
          <w:tcPr>
            <w:tcW w:w="755" w:type="dxa"/>
          </w:tcPr>
          <w:p w:rsidR="00627579" w:rsidRPr="00627579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9398" w:type="dxa"/>
          </w:tcPr>
          <w:p w:rsidR="004A5B03" w:rsidRPr="00670494" w:rsidRDefault="004A5B03" w:rsidP="004A5B03">
            <w:pPr>
              <w:autoSpaceDE w:val="0"/>
              <w:autoSpaceDN w:val="0"/>
              <w:adjustRightInd w:val="0"/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 xml:space="preserve">Randomization details, </w:t>
            </w:r>
            <w:r w:rsidR="00CD5D1D" w:rsidRPr="00670494">
              <w:rPr>
                <w:rFonts w:ascii="Arial" w:hAnsi="Arial" w:cs="Arial"/>
              </w:rPr>
              <w:t>e.g.</w:t>
            </w:r>
            <w:r w:rsidRPr="00670494">
              <w:rPr>
                <w:rFonts w:ascii="Arial" w:hAnsi="Arial" w:cs="Arial"/>
              </w:rPr>
              <w:t>, whether any minimization or stratification occurred (including stratifying</w:t>
            </w:r>
          </w:p>
          <w:p w:rsidR="00627579" w:rsidRPr="00670494" w:rsidRDefault="004A5B03" w:rsidP="004A5B03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factors used or the location of that information if it is not held within the SAP)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2.4, p. 5. Allocation was unstratified and without covariate constraints, which is stated explicitly.</w:t>
            </w:r>
          </w:p>
        </w:tc>
      </w:tr>
      <w:tr w:rsidR="00627579" w:rsidRPr="00627579" w:rsidTr="00F45467">
        <w:trPr>
          <w:trHeight w:val="340"/>
        </w:trPr>
        <w:tc>
          <w:tcPr>
            <w:tcW w:w="4033" w:type="dxa"/>
          </w:tcPr>
          <w:p w:rsidR="00627579" w:rsidRPr="00627579" w:rsidRDefault="00627579" w:rsidP="00627579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Sample size</w:t>
            </w:r>
          </w:p>
        </w:tc>
        <w:tc>
          <w:tcPr>
            <w:tcW w:w="755" w:type="dxa"/>
          </w:tcPr>
          <w:p w:rsidR="00627579" w:rsidRPr="00627579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</w:t>
            </w:r>
          </w:p>
        </w:tc>
        <w:tc>
          <w:tcPr>
            <w:tcW w:w="9398" w:type="dxa"/>
          </w:tcPr>
          <w:p w:rsidR="004A5B03" w:rsidRPr="00670494" w:rsidRDefault="004A5B03" w:rsidP="004A5B03">
            <w:pPr>
              <w:autoSpaceDE w:val="0"/>
              <w:autoSpaceDN w:val="0"/>
              <w:adjustRightInd w:val="0"/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Full sample size calculation or reference to sample size calculation in protocol</w:t>
            </w:r>
          </w:p>
          <w:p w:rsidR="00627579" w:rsidRPr="00670494" w:rsidRDefault="004A5B03" w:rsidP="004A5B03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(instead of replication in SAP)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2.6, pp. 6-11, in full, with Tables 1-3 and Figure 1. Reproducible from R/sample_size.R.</w:t>
            </w:r>
          </w:p>
        </w:tc>
      </w:tr>
      <w:tr w:rsidR="00627579" w:rsidRPr="00627579" w:rsidTr="00F45467">
        <w:trPr>
          <w:trHeight w:val="340"/>
        </w:trPr>
        <w:tc>
          <w:tcPr>
            <w:tcW w:w="4033" w:type="dxa"/>
          </w:tcPr>
          <w:p w:rsidR="00627579" w:rsidRPr="00627579" w:rsidRDefault="00627579" w:rsidP="00627579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Framework</w:t>
            </w:r>
          </w:p>
        </w:tc>
        <w:tc>
          <w:tcPr>
            <w:tcW w:w="755" w:type="dxa"/>
          </w:tcPr>
          <w:p w:rsidR="00627579" w:rsidRPr="00627579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</w:p>
        </w:tc>
        <w:tc>
          <w:tcPr>
            <w:tcW w:w="9398" w:type="dxa"/>
          </w:tcPr>
          <w:p w:rsidR="004A5B03" w:rsidRPr="00670494" w:rsidRDefault="004A5B03" w:rsidP="004A5B03">
            <w:pPr>
              <w:autoSpaceDE w:val="0"/>
              <w:autoSpaceDN w:val="0"/>
              <w:adjustRightInd w:val="0"/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Superiority, equivalence, or noninferiority hypothesis testing framework, including which comparisons</w:t>
            </w:r>
          </w:p>
          <w:p w:rsidR="00627579" w:rsidRPr="00670494" w:rsidRDefault="004A5B03" w:rsidP="004A5B03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will be presented on this basis</w:t>
            </w:r>
          </w:p>
        </w:tc>
        <w:tc>
          <w:tcPr>
            <w:tcW w:w="1407" w:type="dxa"/>
          </w:tcPr>
          <w:p>
            <w:r/>
            <w:r>
              <w:rPr>
                <w:color w:val="A00028"/>
                <w:sz w:val="18"/>
              </w:rPr>
              <w:t>Superiority. Section 3.2, p. 13, and Analytic principles, section 2.8, p. 11. The framework is implied throughout but the word “superiority” does not appear; consider stating it.</w:t>
            </w:r>
          </w:p>
        </w:tc>
      </w:tr>
      <w:tr w:rsidR="00627579" w:rsidRPr="00627579" w:rsidTr="00F45467">
        <w:trPr>
          <w:trHeight w:val="340"/>
        </w:trPr>
        <w:tc>
          <w:tcPr>
            <w:tcW w:w="4033" w:type="dxa"/>
          </w:tcPr>
          <w:p w:rsidR="00627579" w:rsidRPr="00627579" w:rsidRDefault="00627579" w:rsidP="00627579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Statistical interim analysis and stopping guidance</w:t>
            </w:r>
          </w:p>
        </w:tc>
        <w:tc>
          <w:tcPr>
            <w:tcW w:w="755" w:type="dxa"/>
          </w:tcPr>
          <w:p w:rsidR="00627579" w:rsidRPr="00627579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13a</w:t>
            </w:r>
          </w:p>
        </w:tc>
        <w:tc>
          <w:tcPr>
            <w:tcW w:w="9398" w:type="dxa"/>
          </w:tcPr>
          <w:p w:rsidR="004A5B03" w:rsidRPr="00670494" w:rsidRDefault="004A5B03" w:rsidP="004A5B03">
            <w:pPr>
              <w:autoSpaceDE w:val="0"/>
              <w:autoSpaceDN w:val="0"/>
              <w:adjustRightInd w:val="0"/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Information on interim analyses specifying what interim analyses will be carried out</w:t>
            </w:r>
          </w:p>
          <w:p w:rsidR="00627579" w:rsidRPr="00670494" w:rsidRDefault="004A5B03" w:rsidP="004A5B03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and listing of time points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3.9, Interim analysis, p. 23. One Bayesian futility analysis after 100 participants recruited.</w:t>
            </w:r>
          </w:p>
        </w:tc>
      </w:tr>
      <w:tr w:rsidR="004A5B03" w:rsidRPr="00627579" w:rsidTr="00F45467">
        <w:trPr>
          <w:trHeight w:val="340"/>
        </w:trPr>
        <w:tc>
          <w:tcPr>
            <w:tcW w:w="4033" w:type="dxa"/>
          </w:tcPr>
          <w:p w:rsidR="004A5B03" w:rsidRPr="00627579" w:rsidRDefault="004A5B03" w:rsidP="00627579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</w:tcPr>
          <w:p w:rsidR="004A5B03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13b</w:t>
            </w:r>
          </w:p>
        </w:tc>
        <w:tc>
          <w:tcPr>
            <w:tcW w:w="9398" w:type="dxa"/>
          </w:tcPr>
          <w:p w:rsidR="004A5B03" w:rsidRPr="00670494" w:rsidRDefault="004A5B03" w:rsidP="00627579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Any planned adjustment of the significance level due to interim analysis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No adjustment of the significance level. The interim analysis is Bayesian and for futility only, so the type I error of the final frequentist test is unaffected. Stated in section 3.9, p. 23.</w:t>
            </w:r>
          </w:p>
        </w:tc>
      </w:tr>
      <w:tr w:rsidR="004A5B03" w:rsidRPr="00627579" w:rsidTr="00F45467">
        <w:trPr>
          <w:trHeight w:val="340"/>
        </w:trPr>
        <w:tc>
          <w:tcPr>
            <w:tcW w:w="4033" w:type="dxa"/>
          </w:tcPr>
          <w:p w:rsidR="004A5B03" w:rsidRPr="00627579" w:rsidRDefault="004A5B03" w:rsidP="00627579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</w:tcPr>
          <w:p w:rsidR="004A5B03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13c</w:t>
            </w:r>
          </w:p>
        </w:tc>
        <w:tc>
          <w:tcPr>
            <w:tcW w:w="9398" w:type="dxa"/>
          </w:tcPr>
          <w:p w:rsidR="004A5B03" w:rsidRPr="00670494" w:rsidRDefault="004A5B03" w:rsidP="00627579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Details of guidelines for stopping the trial early</w:t>
            </w:r>
          </w:p>
        </w:tc>
        <w:tc>
          <w:tcPr>
            <w:tcW w:w="1407" w:type="dxa"/>
          </w:tcPr>
          <w:p w:rsidR="004A5B03" w:rsidRPr="00627579" w:rsidRDefault="004A5B03" w:rsidP="00627579">
            <w:pPr>
              <w:rPr>
                <w:rFonts w:ascii="Arial" w:hAnsi="Arial" w:cs="Arial"/>
              </w:rPr>
            </w:pPr>
          </w:p>
        </w:tc>
      </w:tr>
      <w:tr w:rsidR="00627579" w:rsidRPr="00627579" w:rsidTr="00F45467">
        <w:trPr>
          <w:trHeight w:val="340"/>
        </w:trPr>
        <w:tc>
          <w:tcPr>
            <w:tcW w:w="4033" w:type="dxa"/>
          </w:tcPr>
          <w:p w:rsidR="00627579" w:rsidRPr="00627579" w:rsidRDefault="00627579" w:rsidP="00627579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Timing of final analysis</w:t>
            </w:r>
          </w:p>
        </w:tc>
        <w:tc>
          <w:tcPr>
            <w:tcW w:w="755" w:type="dxa"/>
          </w:tcPr>
          <w:p w:rsidR="00627579" w:rsidRPr="00627579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</w:t>
            </w:r>
          </w:p>
        </w:tc>
        <w:tc>
          <w:tcPr>
            <w:tcW w:w="9398" w:type="dxa"/>
          </w:tcPr>
          <w:p w:rsidR="004A5B03" w:rsidRPr="00670494" w:rsidRDefault="004A5B03" w:rsidP="004A5B03">
            <w:pPr>
              <w:autoSpaceDE w:val="0"/>
              <w:autoSpaceDN w:val="0"/>
              <w:adjustRightInd w:val="0"/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 xml:space="preserve">Timing of final analysis, </w:t>
            </w:r>
            <w:r w:rsidR="00CD5D1D" w:rsidRPr="00670494">
              <w:rPr>
                <w:rFonts w:ascii="Arial" w:hAnsi="Arial" w:cs="Arial"/>
              </w:rPr>
              <w:t>e.g.</w:t>
            </w:r>
            <w:r w:rsidRPr="00670494">
              <w:rPr>
                <w:rFonts w:ascii="Arial" w:hAnsi="Arial" w:cs="Arial"/>
              </w:rPr>
              <w:t xml:space="preserve">, all outcomes </w:t>
            </w:r>
            <w:r w:rsidR="00CD5D1D" w:rsidRPr="00670494">
              <w:rPr>
                <w:rFonts w:ascii="Arial" w:hAnsi="Arial" w:cs="Arial"/>
              </w:rPr>
              <w:t>analysed</w:t>
            </w:r>
            <w:r w:rsidRPr="00670494">
              <w:rPr>
                <w:rFonts w:ascii="Arial" w:hAnsi="Arial" w:cs="Arial"/>
              </w:rPr>
              <w:t xml:space="preserve"> collectively or timing stratified</w:t>
            </w:r>
          </w:p>
          <w:p w:rsidR="00627579" w:rsidRPr="00670494" w:rsidRDefault="004A5B03" w:rsidP="004A5B03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by planned length of follow-up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3.3, p. 17, and section 2.9, p. 12. Outcomes at 18 weeks are the primary analysis; 26 and 52 weeks follow.</w:t>
            </w:r>
          </w:p>
        </w:tc>
      </w:tr>
      <w:tr w:rsidR="00627579" w:rsidRPr="00627579" w:rsidTr="00F45467">
        <w:trPr>
          <w:trHeight w:val="340"/>
        </w:trPr>
        <w:tc>
          <w:tcPr>
            <w:tcW w:w="4033" w:type="dxa"/>
            <w:tcBorders>
              <w:bottom w:val="single" w:sz="4" w:space="0" w:color="auto"/>
            </w:tcBorders>
          </w:tcPr>
          <w:p w:rsidR="00627579" w:rsidRPr="00627579" w:rsidRDefault="00627579" w:rsidP="00627579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Timing of outcome assessments</w:t>
            </w:r>
          </w:p>
        </w:tc>
        <w:tc>
          <w:tcPr>
            <w:tcW w:w="755" w:type="dxa"/>
            <w:tcBorders>
              <w:bottom w:val="single" w:sz="4" w:space="0" w:color="auto"/>
            </w:tcBorders>
          </w:tcPr>
          <w:p w:rsidR="00627579" w:rsidRPr="00627579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</w:t>
            </w:r>
          </w:p>
        </w:tc>
        <w:tc>
          <w:tcPr>
            <w:tcW w:w="9398" w:type="dxa"/>
            <w:tcBorders>
              <w:bottom w:val="single" w:sz="4" w:space="0" w:color="auto"/>
            </w:tcBorders>
          </w:tcPr>
          <w:p w:rsidR="00627579" w:rsidRPr="00670494" w:rsidRDefault="004A5B03" w:rsidP="00627579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Time points at which the outcomes are measured including visit “windows”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Table 4, Assessment schedule, p. 14. No visit windows are specified in the SAP; they are in the protocol.</w:t>
            </w:r>
          </w:p>
        </w:tc>
      </w:tr>
      <w:tr w:rsidR="00F45467" w:rsidRPr="00F45467" w:rsidTr="00292CB5">
        <w:trPr>
          <w:trHeight w:val="340"/>
        </w:trPr>
        <w:tc>
          <w:tcPr>
            <w:tcW w:w="15593" w:type="dxa"/>
            <w:gridSpan w:val="4"/>
            <w:shd w:val="clear" w:color="auto" w:fill="BFBFBF" w:themeFill="background1" w:themeFillShade="BF"/>
          </w:tcPr>
          <w:p w:rsidR="00F45467" w:rsidRPr="00F45467" w:rsidRDefault="00F45467" w:rsidP="00627579">
            <w:pPr>
              <w:rPr>
                <w:rFonts w:ascii="Arial" w:hAnsi="Arial" w:cs="Arial"/>
                <w:b/>
                <w:sz w:val="24"/>
              </w:rPr>
            </w:pPr>
            <w:r w:rsidRPr="00F45467">
              <w:rPr>
                <w:rFonts w:ascii="Arial" w:hAnsi="Arial" w:cs="Arial"/>
                <w:b/>
                <w:sz w:val="24"/>
              </w:rPr>
              <w:t>Section 4: Statistical Principals</w:t>
            </w:r>
          </w:p>
        </w:tc>
      </w:tr>
      <w:tr w:rsidR="00627579" w:rsidRPr="00627579" w:rsidTr="00F45467">
        <w:trPr>
          <w:trHeight w:val="340"/>
        </w:trPr>
        <w:tc>
          <w:tcPr>
            <w:tcW w:w="4033" w:type="dxa"/>
          </w:tcPr>
          <w:p w:rsidR="00627579" w:rsidRPr="00627579" w:rsidRDefault="00627579" w:rsidP="00627579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 xml:space="preserve">Confidence intervals and </w:t>
            </w:r>
            <w:r w:rsidRPr="00670494">
              <w:rPr>
                <w:rFonts w:ascii="Arial" w:hAnsi="Arial" w:cs="Arial"/>
                <w:i/>
              </w:rPr>
              <w:t xml:space="preserve">P </w:t>
            </w:r>
            <w:r w:rsidRPr="00627579">
              <w:rPr>
                <w:rFonts w:ascii="Arial" w:hAnsi="Arial" w:cs="Arial"/>
              </w:rPr>
              <w:t>values</w:t>
            </w:r>
          </w:p>
        </w:tc>
        <w:tc>
          <w:tcPr>
            <w:tcW w:w="755" w:type="dxa"/>
          </w:tcPr>
          <w:p w:rsidR="00627579" w:rsidRPr="00627579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</w:p>
        </w:tc>
        <w:tc>
          <w:tcPr>
            <w:tcW w:w="9398" w:type="dxa"/>
          </w:tcPr>
          <w:p w:rsidR="00627579" w:rsidRPr="00670494" w:rsidRDefault="004A5B03" w:rsidP="00627579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Level of statistical significance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2.8, p. 11. Two-sided, nominal alpha 0.05.</w:t>
            </w:r>
          </w:p>
        </w:tc>
      </w:tr>
      <w:tr w:rsidR="004A5B03" w:rsidRPr="00627579" w:rsidTr="00F45467">
        <w:trPr>
          <w:trHeight w:val="340"/>
        </w:trPr>
        <w:tc>
          <w:tcPr>
            <w:tcW w:w="4033" w:type="dxa"/>
          </w:tcPr>
          <w:p w:rsidR="004A5B03" w:rsidRPr="00627579" w:rsidRDefault="004A5B03" w:rsidP="00627579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</w:tcPr>
          <w:p w:rsidR="004A5B03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</w:p>
        </w:tc>
        <w:tc>
          <w:tcPr>
            <w:tcW w:w="9398" w:type="dxa"/>
          </w:tcPr>
          <w:p w:rsidR="004A5B03" w:rsidRPr="00670494" w:rsidRDefault="004A5B03" w:rsidP="004A5B03">
            <w:pPr>
              <w:autoSpaceDE w:val="0"/>
              <w:autoSpaceDN w:val="0"/>
              <w:adjustRightInd w:val="0"/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Description and rationale for any adjustment for multiplicity and, if so, detailing how the type 1 error</w:t>
            </w:r>
          </w:p>
          <w:p w:rsidR="004A5B03" w:rsidRPr="00670494" w:rsidRDefault="004A5B03" w:rsidP="004A5B03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is to be controlled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2.8, p. 11. No adjustment for multiplicity, with the rationale given: one primary outcome at one time point, secondary outcomes interpreted as exploratory.</w:t>
            </w:r>
          </w:p>
        </w:tc>
      </w:tr>
      <w:tr w:rsidR="004A5B03" w:rsidRPr="00627579" w:rsidTr="00F45467">
        <w:trPr>
          <w:trHeight w:val="340"/>
        </w:trPr>
        <w:tc>
          <w:tcPr>
            <w:tcW w:w="4033" w:type="dxa"/>
          </w:tcPr>
          <w:p w:rsidR="004A5B03" w:rsidRPr="00627579" w:rsidRDefault="004A5B03" w:rsidP="00627579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</w:tcPr>
          <w:p w:rsidR="004A5B03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</w:p>
        </w:tc>
        <w:tc>
          <w:tcPr>
            <w:tcW w:w="9398" w:type="dxa"/>
          </w:tcPr>
          <w:p w:rsidR="004A5B03" w:rsidRPr="00670494" w:rsidRDefault="004A5B03" w:rsidP="00627579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Confidence intervals to be reported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2.8, p. 11. 95% confidence intervals throughout.</w:t>
            </w:r>
          </w:p>
        </w:tc>
      </w:tr>
      <w:tr w:rsidR="00627579" w:rsidRPr="00627579" w:rsidTr="00F45467">
        <w:trPr>
          <w:trHeight w:val="340"/>
        </w:trPr>
        <w:tc>
          <w:tcPr>
            <w:tcW w:w="4033" w:type="dxa"/>
          </w:tcPr>
          <w:p w:rsidR="00627579" w:rsidRPr="00627579" w:rsidRDefault="00627579" w:rsidP="00627579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Adherence and Protocol deviations</w:t>
            </w:r>
          </w:p>
        </w:tc>
        <w:tc>
          <w:tcPr>
            <w:tcW w:w="755" w:type="dxa"/>
          </w:tcPr>
          <w:p w:rsidR="00627579" w:rsidRPr="00627579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19a</w:t>
            </w:r>
          </w:p>
        </w:tc>
        <w:tc>
          <w:tcPr>
            <w:tcW w:w="9398" w:type="dxa"/>
          </w:tcPr>
          <w:p w:rsidR="004A5B03" w:rsidRPr="00670494" w:rsidRDefault="004A5B03" w:rsidP="004A5B03">
            <w:pPr>
              <w:autoSpaceDE w:val="0"/>
              <w:autoSpaceDN w:val="0"/>
              <w:adjustRightInd w:val="0"/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Definition of adherence to the intervention and how this is assessed including extent</w:t>
            </w:r>
          </w:p>
          <w:p w:rsidR="00627579" w:rsidRPr="00670494" w:rsidRDefault="004A5B03" w:rsidP="004A5B03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of exposure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3.8, p. 22. Adherence is attendance at 75% or more of sessions.</w:t>
            </w:r>
          </w:p>
        </w:tc>
      </w:tr>
      <w:tr w:rsidR="004A5B03" w:rsidRPr="00627579" w:rsidTr="00F45467">
        <w:trPr>
          <w:trHeight w:val="340"/>
        </w:trPr>
        <w:tc>
          <w:tcPr>
            <w:tcW w:w="4033" w:type="dxa"/>
          </w:tcPr>
          <w:p w:rsidR="004A5B03" w:rsidRPr="00627579" w:rsidRDefault="004A5B03" w:rsidP="00627579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</w:tcPr>
          <w:p w:rsidR="004A5B03" w:rsidRPr="00627579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19b</w:t>
            </w:r>
          </w:p>
        </w:tc>
        <w:tc>
          <w:tcPr>
            <w:tcW w:w="9398" w:type="dxa"/>
          </w:tcPr>
          <w:p w:rsidR="004A5B03" w:rsidRPr="00670494" w:rsidRDefault="004A5B03" w:rsidP="00627579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Description of how adherence to the intervention will be presented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2.9.2, p. 12, and section 3.8, p. 22. Reported as counts by arm.</w:t>
            </w:r>
          </w:p>
        </w:tc>
      </w:tr>
      <w:tr w:rsidR="004A5B03" w:rsidRPr="00627579" w:rsidTr="00F45467">
        <w:trPr>
          <w:trHeight w:val="340"/>
        </w:trPr>
        <w:tc>
          <w:tcPr>
            <w:tcW w:w="4033" w:type="dxa"/>
          </w:tcPr>
          <w:p w:rsidR="004A5B03" w:rsidRPr="00627579" w:rsidRDefault="004A5B03" w:rsidP="00627579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</w:tcPr>
          <w:p w:rsidR="004A5B03" w:rsidRPr="00627579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19c</w:t>
            </w:r>
          </w:p>
        </w:tc>
        <w:tc>
          <w:tcPr>
            <w:tcW w:w="9398" w:type="dxa"/>
          </w:tcPr>
          <w:p w:rsidR="004A5B03" w:rsidRPr="00670494" w:rsidRDefault="004A5B03" w:rsidP="00627579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Definition of protocol deviations for the trial</w:t>
            </w:r>
          </w:p>
        </w:tc>
        <w:tc>
          <w:tcPr>
            <w:tcW w:w="1407" w:type="dxa"/>
          </w:tcPr>
          <w:p>
            <w:r/>
            <w:r>
              <w:rPr>
                <w:color w:val="A00028"/>
                <w:sz w:val="18"/>
              </w:rPr>
              <w:t>Not covered. The SAP does not define protocol deviations. Either add a sentence or point to the protocol.</w:t>
            </w:r>
          </w:p>
        </w:tc>
      </w:tr>
      <w:tr w:rsidR="004A5B03" w:rsidRPr="00627579" w:rsidTr="00F45467">
        <w:trPr>
          <w:trHeight w:val="340"/>
        </w:trPr>
        <w:tc>
          <w:tcPr>
            <w:tcW w:w="4033" w:type="dxa"/>
          </w:tcPr>
          <w:p w:rsidR="004A5B03" w:rsidRPr="00627579" w:rsidRDefault="004A5B03" w:rsidP="00627579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</w:tcPr>
          <w:p w:rsidR="004A5B03" w:rsidRPr="00627579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19d</w:t>
            </w:r>
          </w:p>
        </w:tc>
        <w:tc>
          <w:tcPr>
            <w:tcW w:w="9398" w:type="dxa"/>
          </w:tcPr>
          <w:p w:rsidR="004A5B03" w:rsidRPr="00670494" w:rsidRDefault="004A5B03" w:rsidP="00627579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Description of which protocol deviations will be summarized</w:t>
            </w:r>
          </w:p>
        </w:tc>
        <w:tc>
          <w:tcPr>
            <w:tcW w:w="1407" w:type="dxa"/>
          </w:tcPr>
          <w:p>
            <w:r/>
            <w:r>
              <w:rPr>
                <w:color w:val="A00028"/>
                <w:sz w:val="18"/>
              </w:rPr>
              <w:t>Not covered, see 19c.</w:t>
            </w:r>
          </w:p>
        </w:tc>
      </w:tr>
      <w:tr w:rsidR="00627579" w:rsidRPr="00627579" w:rsidTr="00F45467">
        <w:trPr>
          <w:trHeight w:val="340"/>
        </w:trPr>
        <w:tc>
          <w:tcPr>
            <w:tcW w:w="4033" w:type="dxa"/>
            <w:tcBorders>
              <w:bottom w:val="single" w:sz="4" w:space="0" w:color="auto"/>
            </w:tcBorders>
          </w:tcPr>
          <w:p w:rsidR="00627579" w:rsidRPr="00627579" w:rsidRDefault="00627579" w:rsidP="00627579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Analysis populations</w:t>
            </w:r>
          </w:p>
        </w:tc>
        <w:tc>
          <w:tcPr>
            <w:tcW w:w="755" w:type="dxa"/>
            <w:tcBorders>
              <w:bottom w:val="single" w:sz="4" w:space="0" w:color="auto"/>
            </w:tcBorders>
          </w:tcPr>
          <w:p w:rsidR="00627579" w:rsidRPr="00627579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</w:t>
            </w:r>
          </w:p>
        </w:tc>
        <w:tc>
          <w:tcPr>
            <w:tcW w:w="9398" w:type="dxa"/>
            <w:tcBorders>
              <w:bottom w:val="single" w:sz="4" w:space="0" w:color="auto"/>
            </w:tcBorders>
          </w:tcPr>
          <w:p w:rsidR="004A5B03" w:rsidRPr="00670494" w:rsidRDefault="004A5B03" w:rsidP="004A5B03">
            <w:pPr>
              <w:autoSpaceDE w:val="0"/>
              <w:autoSpaceDN w:val="0"/>
              <w:adjustRightInd w:val="0"/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 xml:space="preserve">Definition of analysis populations, </w:t>
            </w:r>
            <w:r w:rsidR="00CD5D1D" w:rsidRPr="00670494">
              <w:rPr>
                <w:rFonts w:ascii="Arial" w:hAnsi="Arial" w:cs="Arial"/>
              </w:rPr>
              <w:t>e.g.</w:t>
            </w:r>
            <w:r w:rsidRPr="00670494">
              <w:rPr>
                <w:rFonts w:ascii="Arial" w:hAnsi="Arial" w:cs="Arial"/>
              </w:rPr>
              <w:t>, intention to treat, per protocol,</w:t>
            </w:r>
          </w:p>
          <w:p w:rsidR="00627579" w:rsidRPr="00670494" w:rsidRDefault="004A5B03" w:rsidP="004A5B03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complete case, safety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2.8, p. 11. Intention to treat, analysed in the arm of the allocated practice. The complier-average causal effect is a supplementary principal-stratum estimand, section 3.8, p. 22.</w:t>
            </w:r>
          </w:p>
        </w:tc>
      </w:tr>
      <w:tr w:rsidR="00F45467" w:rsidRPr="00627579" w:rsidTr="00292CB5">
        <w:trPr>
          <w:trHeight w:val="340"/>
        </w:trPr>
        <w:tc>
          <w:tcPr>
            <w:tcW w:w="15593" w:type="dxa"/>
            <w:gridSpan w:val="4"/>
            <w:shd w:val="clear" w:color="auto" w:fill="BFBFBF" w:themeFill="background1" w:themeFillShade="BF"/>
          </w:tcPr>
          <w:p w:rsidR="00F45467" w:rsidRPr="00F45467" w:rsidRDefault="00F45467" w:rsidP="00627579">
            <w:pPr>
              <w:rPr>
                <w:rFonts w:ascii="Arial" w:hAnsi="Arial" w:cs="Arial"/>
                <w:b/>
                <w:sz w:val="24"/>
              </w:rPr>
            </w:pPr>
            <w:r w:rsidRPr="00F45467">
              <w:rPr>
                <w:rFonts w:ascii="Arial" w:hAnsi="Arial" w:cs="Arial"/>
                <w:b/>
                <w:sz w:val="24"/>
              </w:rPr>
              <w:t>Section 5: Trial Population</w:t>
            </w:r>
          </w:p>
        </w:tc>
      </w:tr>
      <w:tr w:rsidR="00627579" w:rsidRPr="00627579" w:rsidTr="00F45467">
        <w:trPr>
          <w:trHeight w:val="340"/>
        </w:trPr>
        <w:tc>
          <w:tcPr>
            <w:tcW w:w="4033" w:type="dxa"/>
          </w:tcPr>
          <w:p w:rsidR="00627579" w:rsidRPr="00627579" w:rsidRDefault="00627579" w:rsidP="00627579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Screening data</w:t>
            </w:r>
          </w:p>
        </w:tc>
        <w:tc>
          <w:tcPr>
            <w:tcW w:w="755" w:type="dxa"/>
          </w:tcPr>
          <w:p w:rsidR="00627579" w:rsidRPr="00627579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</w:p>
        </w:tc>
        <w:tc>
          <w:tcPr>
            <w:tcW w:w="9398" w:type="dxa"/>
          </w:tcPr>
          <w:p w:rsidR="004A5B03" w:rsidRPr="00670494" w:rsidRDefault="004A5B03" w:rsidP="004A5B03">
            <w:pPr>
              <w:autoSpaceDE w:val="0"/>
              <w:autoSpaceDN w:val="0"/>
              <w:adjustRightInd w:val="0"/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Reporting of screening data (if collected) to describe representativeness</w:t>
            </w:r>
          </w:p>
          <w:p w:rsidR="00627579" w:rsidRPr="00670494" w:rsidRDefault="004A5B03" w:rsidP="004A5B03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of trial sample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2.5, p. 6. Numbers screened, eligible, approached and consenting, by arm and by practice.</w:t>
            </w:r>
          </w:p>
        </w:tc>
      </w:tr>
      <w:tr w:rsidR="00627579" w:rsidRPr="00627579" w:rsidTr="00F45467">
        <w:trPr>
          <w:trHeight w:val="340"/>
        </w:trPr>
        <w:tc>
          <w:tcPr>
            <w:tcW w:w="4033" w:type="dxa"/>
          </w:tcPr>
          <w:p w:rsidR="00627579" w:rsidRPr="00627579" w:rsidRDefault="00627579" w:rsidP="00627579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Eligibility</w:t>
            </w:r>
          </w:p>
        </w:tc>
        <w:tc>
          <w:tcPr>
            <w:tcW w:w="755" w:type="dxa"/>
          </w:tcPr>
          <w:p w:rsidR="00627579" w:rsidRPr="00627579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22</w:t>
            </w:r>
          </w:p>
        </w:tc>
        <w:tc>
          <w:tcPr>
            <w:tcW w:w="9398" w:type="dxa"/>
          </w:tcPr>
          <w:p w:rsidR="00627579" w:rsidRPr="00670494" w:rsidRDefault="004A5B03" w:rsidP="00627579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Summary of eligibility criteria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2.2, pp. 4-5, at both levels, cluster and participant.</w:t>
            </w:r>
          </w:p>
        </w:tc>
      </w:tr>
      <w:tr w:rsidR="00627579" w:rsidRPr="00627579" w:rsidTr="00F45467">
        <w:trPr>
          <w:trHeight w:val="340"/>
        </w:trPr>
        <w:tc>
          <w:tcPr>
            <w:tcW w:w="4033" w:type="dxa"/>
          </w:tcPr>
          <w:p w:rsidR="00627579" w:rsidRPr="00627579" w:rsidRDefault="00627579" w:rsidP="00627579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Recruitment</w:t>
            </w:r>
          </w:p>
        </w:tc>
        <w:tc>
          <w:tcPr>
            <w:tcW w:w="755" w:type="dxa"/>
          </w:tcPr>
          <w:p w:rsidR="00627579" w:rsidRPr="00627579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</w:t>
            </w:r>
          </w:p>
        </w:tc>
        <w:tc>
          <w:tcPr>
            <w:tcW w:w="9398" w:type="dxa"/>
          </w:tcPr>
          <w:p w:rsidR="00627579" w:rsidRPr="00670494" w:rsidRDefault="004A5B03" w:rsidP="00627579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Information to be included in the CONSORT flow diagram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4, Reporting, p. 23, with the two-level CONSORT flow diagram (Figure 2).</w:t>
            </w:r>
          </w:p>
        </w:tc>
      </w:tr>
      <w:tr w:rsidR="00627579" w:rsidRPr="00627579" w:rsidTr="00F45467">
        <w:trPr>
          <w:trHeight w:val="340"/>
        </w:trPr>
        <w:tc>
          <w:tcPr>
            <w:tcW w:w="4033" w:type="dxa"/>
          </w:tcPr>
          <w:p w:rsidR="00627579" w:rsidRPr="00627579" w:rsidRDefault="00627579" w:rsidP="00627579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Withdrawal/ Follow-up</w:t>
            </w:r>
          </w:p>
        </w:tc>
        <w:tc>
          <w:tcPr>
            <w:tcW w:w="755" w:type="dxa"/>
          </w:tcPr>
          <w:p w:rsidR="00627579" w:rsidRPr="00627579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24a</w:t>
            </w:r>
          </w:p>
        </w:tc>
        <w:tc>
          <w:tcPr>
            <w:tcW w:w="9398" w:type="dxa"/>
          </w:tcPr>
          <w:p w:rsidR="00627579" w:rsidRPr="00670494" w:rsidRDefault="004A5B03" w:rsidP="00627579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 xml:space="preserve">Level of withdrawal, </w:t>
            </w:r>
            <w:r w:rsidR="00CD5D1D" w:rsidRPr="00670494">
              <w:rPr>
                <w:rFonts w:ascii="Arial" w:hAnsi="Arial" w:cs="Arial"/>
              </w:rPr>
              <w:t>e.g.</w:t>
            </w:r>
            <w:r w:rsidRPr="00670494">
              <w:rPr>
                <w:rFonts w:ascii="Arial" w:hAnsi="Arial" w:cs="Arial"/>
              </w:rPr>
              <w:t>, from intervention and/or from follow-up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2.1, p. 3, for practices; section 3.7, p. 21, for participants.</w:t>
            </w:r>
          </w:p>
        </w:tc>
      </w:tr>
      <w:tr w:rsidR="004A5B03" w:rsidRPr="00627579" w:rsidTr="00F45467">
        <w:trPr>
          <w:trHeight w:val="340"/>
        </w:trPr>
        <w:tc>
          <w:tcPr>
            <w:tcW w:w="4033" w:type="dxa"/>
          </w:tcPr>
          <w:p w:rsidR="004A5B03" w:rsidRPr="00627579" w:rsidRDefault="004A5B03" w:rsidP="00627579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</w:tcPr>
          <w:p w:rsidR="004A5B03" w:rsidRPr="00627579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24b</w:t>
            </w:r>
          </w:p>
        </w:tc>
        <w:tc>
          <w:tcPr>
            <w:tcW w:w="9398" w:type="dxa"/>
          </w:tcPr>
          <w:p w:rsidR="004A5B03" w:rsidRPr="00670494" w:rsidRDefault="004A5B03" w:rsidP="00627579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Timing of withdrawal/lost to follow-up data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3.7, p. 21, and section 2.5, p. 6, for the timing of practice withdrawals.</w:t>
            </w:r>
          </w:p>
        </w:tc>
      </w:tr>
      <w:tr w:rsidR="004A5B03" w:rsidRPr="00627579" w:rsidTr="00F45467">
        <w:trPr>
          <w:trHeight w:val="340"/>
        </w:trPr>
        <w:tc>
          <w:tcPr>
            <w:tcW w:w="4033" w:type="dxa"/>
          </w:tcPr>
          <w:p w:rsidR="004A5B03" w:rsidRPr="00627579" w:rsidRDefault="004A5B03" w:rsidP="00627579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</w:tcPr>
          <w:p w:rsidR="004A5B03" w:rsidRPr="00627579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24c</w:t>
            </w:r>
          </w:p>
        </w:tc>
        <w:tc>
          <w:tcPr>
            <w:tcW w:w="9398" w:type="dxa"/>
          </w:tcPr>
          <w:p w:rsidR="004A5B03" w:rsidRPr="00670494" w:rsidRDefault="004A5B03" w:rsidP="00627579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Reasons and details of how withdrawal/lost to follow-up data will be presented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2.5, p. 6, and the flow diagram, p. 23. Reasons are reported with their timing.</w:t>
            </w:r>
          </w:p>
        </w:tc>
      </w:tr>
      <w:tr w:rsidR="00627579" w:rsidRPr="00627579" w:rsidTr="00F45467">
        <w:trPr>
          <w:trHeight w:val="340"/>
        </w:trPr>
        <w:tc>
          <w:tcPr>
            <w:tcW w:w="4033" w:type="dxa"/>
          </w:tcPr>
          <w:p w:rsidR="00627579" w:rsidRPr="00627579" w:rsidRDefault="00627579" w:rsidP="00627579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Baseline patient characteristics</w:t>
            </w:r>
          </w:p>
        </w:tc>
        <w:tc>
          <w:tcPr>
            <w:tcW w:w="755" w:type="dxa"/>
          </w:tcPr>
          <w:p w:rsidR="00627579" w:rsidRPr="00627579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25a</w:t>
            </w:r>
          </w:p>
        </w:tc>
        <w:tc>
          <w:tcPr>
            <w:tcW w:w="9398" w:type="dxa"/>
          </w:tcPr>
          <w:p w:rsidR="00627579" w:rsidRPr="00670494" w:rsidRDefault="004A5B03" w:rsidP="00627579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List of baseline characteristics to be summarized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3.1, p. 13, and Table 5. Two levels, practice and participant.</w:t>
            </w:r>
          </w:p>
        </w:tc>
      </w:tr>
      <w:tr w:rsidR="004A5B03" w:rsidRPr="00627579" w:rsidTr="00F45467">
        <w:trPr>
          <w:trHeight w:val="340"/>
        </w:trPr>
        <w:tc>
          <w:tcPr>
            <w:tcW w:w="4033" w:type="dxa"/>
            <w:tcBorders>
              <w:bottom w:val="single" w:sz="4" w:space="0" w:color="auto"/>
            </w:tcBorders>
          </w:tcPr>
          <w:p w:rsidR="004A5B03" w:rsidRPr="00627579" w:rsidRDefault="004A5B03" w:rsidP="00627579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  <w:tcBorders>
              <w:bottom w:val="single" w:sz="4" w:space="0" w:color="auto"/>
            </w:tcBorders>
          </w:tcPr>
          <w:p w:rsidR="004A5B03" w:rsidRPr="00627579" w:rsidRDefault="004A5B03" w:rsidP="004A5B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25b</w:t>
            </w:r>
          </w:p>
        </w:tc>
        <w:tc>
          <w:tcPr>
            <w:tcW w:w="9398" w:type="dxa"/>
            <w:tcBorders>
              <w:bottom w:val="single" w:sz="4" w:space="0" w:color="auto"/>
            </w:tcBorders>
          </w:tcPr>
          <w:p w:rsidR="004A5B03" w:rsidRPr="00670494" w:rsidRDefault="004A5B03" w:rsidP="00627579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Details of how baseline characteristics will be descriptively summarized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3.1, p. 13. Means and standard deviations, medians and interquartile ranges, counts and percentages. Explicitly no significance testing of baseline differences.</w:t>
            </w:r>
          </w:p>
        </w:tc>
      </w:tr>
      <w:tr w:rsidR="00F45467" w:rsidRPr="00F45467" w:rsidTr="00292CB5">
        <w:trPr>
          <w:trHeight w:val="340"/>
        </w:trPr>
        <w:tc>
          <w:tcPr>
            <w:tcW w:w="15593" w:type="dxa"/>
            <w:gridSpan w:val="4"/>
            <w:shd w:val="clear" w:color="auto" w:fill="BFBFBF" w:themeFill="background1" w:themeFillShade="BF"/>
          </w:tcPr>
          <w:p w:rsidR="00F45467" w:rsidRPr="00F45467" w:rsidRDefault="00F45467" w:rsidP="00627579">
            <w:pPr>
              <w:rPr>
                <w:rFonts w:ascii="Arial" w:hAnsi="Arial" w:cs="Arial"/>
                <w:b/>
                <w:sz w:val="24"/>
              </w:rPr>
            </w:pPr>
            <w:r w:rsidRPr="00F45467">
              <w:rPr>
                <w:rFonts w:ascii="Arial" w:hAnsi="Arial" w:cs="Arial"/>
                <w:b/>
                <w:sz w:val="24"/>
              </w:rPr>
              <w:t>Section 6: Analysis</w:t>
            </w:r>
          </w:p>
        </w:tc>
      </w:tr>
      <w:tr w:rsidR="00627579" w:rsidRPr="00627579" w:rsidTr="00F45467">
        <w:trPr>
          <w:trHeight w:val="340"/>
        </w:trPr>
        <w:tc>
          <w:tcPr>
            <w:tcW w:w="4033" w:type="dxa"/>
          </w:tcPr>
          <w:p w:rsidR="00627579" w:rsidRPr="00627579" w:rsidRDefault="00627579" w:rsidP="00627579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Outcome definitions</w:t>
            </w:r>
          </w:p>
        </w:tc>
        <w:tc>
          <w:tcPr>
            <w:tcW w:w="755" w:type="dxa"/>
          </w:tcPr>
          <w:p w:rsidR="00627579" w:rsidRPr="00627579" w:rsidRDefault="00627579" w:rsidP="004A5B0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398" w:type="dxa"/>
          </w:tcPr>
          <w:p w:rsidR="00627579" w:rsidRPr="00670494" w:rsidRDefault="00670494" w:rsidP="00627579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List and describe each primary and secondary outcome including details of:</w:t>
            </w:r>
          </w:p>
        </w:tc>
        <w:tc>
          <w:tcPr>
            <w:tcW w:w="1407" w:type="dxa"/>
          </w:tcPr>
          <w:p w:rsidR="00627579" w:rsidRPr="00627579" w:rsidRDefault="00627579" w:rsidP="00627579">
            <w:pPr>
              <w:rPr>
                <w:rFonts w:ascii="Arial" w:hAnsi="Arial" w:cs="Arial"/>
              </w:rPr>
            </w:pPr>
          </w:p>
        </w:tc>
      </w:tr>
      <w:tr w:rsidR="00670494" w:rsidRPr="00627579" w:rsidTr="00F45467">
        <w:trPr>
          <w:trHeight w:val="340"/>
        </w:trPr>
        <w:tc>
          <w:tcPr>
            <w:tcW w:w="4033" w:type="dxa"/>
          </w:tcPr>
          <w:p w:rsidR="00670494" w:rsidRPr="00627579" w:rsidRDefault="00670494" w:rsidP="00670494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</w:tcPr>
          <w:p w:rsidR="00670494" w:rsidRPr="00627579" w:rsidRDefault="00670494" w:rsidP="0067049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26a</w:t>
            </w:r>
          </w:p>
        </w:tc>
        <w:tc>
          <w:tcPr>
            <w:tcW w:w="9398" w:type="dxa"/>
          </w:tcPr>
          <w:p w:rsidR="00670494" w:rsidRPr="00670494" w:rsidRDefault="00670494" w:rsidP="00670494">
            <w:pPr>
              <w:autoSpaceDE w:val="0"/>
              <w:autoSpaceDN w:val="0"/>
              <w:adjustRightIn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70494">
              <w:rPr>
                <w:rFonts w:ascii="Arial" w:hAnsi="Arial" w:cs="Arial"/>
              </w:rPr>
              <w:t>pecification of outcomes and timings. If applicable include the order of importance of primary</w:t>
            </w:r>
          </w:p>
          <w:p w:rsidR="00670494" w:rsidRPr="00670494" w:rsidRDefault="00670494" w:rsidP="00670494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or key secondary end points (</w:t>
            </w:r>
            <w:r w:rsidR="00CD5D1D" w:rsidRPr="00670494">
              <w:rPr>
                <w:rFonts w:ascii="Arial" w:hAnsi="Arial" w:cs="Arial"/>
              </w:rPr>
              <w:t>e.g.</w:t>
            </w:r>
            <w:r w:rsidRPr="00670494">
              <w:rPr>
                <w:rFonts w:ascii="Arial" w:hAnsi="Arial" w:cs="Arial"/>
              </w:rPr>
              <w:t>, order in which they will be tested)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2.9.1, p. 12, for the primary outcome; section 2.9.2, p. 12, for the secondary outcomes; Table 4, p. 14, for the timings.</w:t>
            </w:r>
          </w:p>
        </w:tc>
      </w:tr>
      <w:tr w:rsidR="00670494" w:rsidRPr="00627579" w:rsidTr="00F45467">
        <w:trPr>
          <w:trHeight w:val="340"/>
        </w:trPr>
        <w:tc>
          <w:tcPr>
            <w:tcW w:w="4033" w:type="dxa"/>
          </w:tcPr>
          <w:p w:rsidR="00670494" w:rsidRPr="00627579" w:rsidRDefault="00670494" w:rsidP="00670494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</w:tcPr>
          <w:p w:rsidR="00670494" w:rsidRDefault="00670494" w:rsidP="0067049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26b</w:t>
            </w:r>
          </w:p>
        </w:tc>
        <w:tc>
          <w:tcPr>
            <w:tcW w:w="9398" w:type="dxa"/>
          </w:tcPr>
          <w:p w:rsidR="00670494" w:rsidRPr="00670494" w:rsidRDefault="00670494" w:rsidP="006704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70494">
              <w:rPr>
                <w:rFonts w:ascii="Arial" w:hAnsi="Arial" w:cs="Arial"/>
              </w:rPr>
              <w:t>pecific measurement and units (</w:t>
            </w:r>
            <w:r w:rsidR="00CD5D1D" w:rsidRPr="00670494">
              <w:rPr>
                <w:rFonts w:ascii="Arial" w:hAnsi="Arial" w:cs="Arial"/>
              </w:rPr>
              <w:t>e.g.</w:t>
            </w:r>
            <w:r w:rsidRPr="00670494">
              <w:rPr>
                <w:rFonts w:ascii="Arial" w:hAnsi="Arial" w:cs="Arial"/>
              </w:rPr>
              <w:t>, glucose control, hbA1c [mmol/mol or %])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Sections 2.9.1 and 2.9.2, p. 12. RMDQ range 0-24; each instrument cited.</w:t>
            </w:r>
          </w:p>
        </w:tc>
      </w:tr>
      <w:tr w:rsidR="00670494" w:rsidRPr="00627579" w:rsidTr="00F45467">
        <w:trPr>
          <w:trHeight w:val="340"/>
        </w:trPr>
        <w:tc>
          <w:tcPr>
            <w:tcW w:w="4033" w:type="dxa"/>
          </w:tcPr>
          <w:p w:rsidR="00670494" w:rsidRPr="00627579" w:rsidRDefault="00670494" w:rsidP="00670494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</w:tcPr>
          <w:p w:rsidR="00670494" w:rsidRDefault="00670494" w:rsidP="0067049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26c</w:t>
            </w:r>
          </w:p>
        </w:tc>
        <w:tc>
          <w:tcPr>
            <w:tcW w:w="9398" w:type="dxa"/>
          </w:tcPr>
          <w:p w:rsidR="00670494" w:rsidRPr="00670494" w:rsidRDefault="00670494" w:rsidP="00670494">
            <w:pPr>
              <w:autoSpaceDE w:val="0"/>
              <w:autoSpaceDN w:val="0"/>
              <w:adjustRightIn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  <w:r w:rsidRPr="00670494">
              <w:rPr>
                <w:rFonts w:ascii="Arial" w:hAnsi="Arial" w:cs="Arial"/>
              </w:rPr>
              <w:t>ny calculation or transformation used to derive the outcome (</w:t>
            </w:r>
            <w:r w:rsidR="00CD5D1D" w:rsidRPr="00670494">
              <w:rPr>
                <w:rFonts w:ascii="Arial" w:hAnsi="Arial" w:cs="Arial"/>
              </w:rPr>
              <w:t>e.g.</w:t>
            </w:r>
            <w:r w:rsidRPr="00670494">
              <w:rPr>
                <w:rFonts w:ascii="Arial" w:hAnsi="Arial" w:cs="Arial"/>
              </w:rPr>
              <w:t>, change from baseline, QoL score,</w:t>
            </w:r>
          </w:p>
          <w:p w:rsidR="00670494" w:rsidRPr="00670494" w:rsidRDefault="00CD5D1D" w:rsidP="00670494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Time</w:t>
            </w:r>
            <w:r w:rsidR="00670494" w:rsidRPr="00670494">
              <w:rPr>
                <w:rFonts w:ascii="Arial" w:hAnsi="Arial" w:cs="Arial"/>
              </w:rPr>
              <w:t xml:space="preserve"> to event, logarithm, </w:t>
            </w:r>
            <w:r w:rsidRPr="00670494">
              <w:rPr>
                <w:rFonts w:ascii="Arial" w:hAnsi="Arial" w:cs="Arial"/>
              </w:rPr>
              <w:t>etc.</w:t>
            </w:r>
            <w:r w:rsidR="00670494" w:rsidRPr="00670494">
              <w:rPr>
                <w:rFonts w:ascii="Arial" w:hAnsi="Arial" w:cs="Arial"/>
              </w:rPr>
              <w:t>)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3.2.2, p. 14. No change scores are formed; baseline enters the model as an occasion.</w:t>
            </w:r>
          </w:p>
        </w:tc>
      </w:tr>
      <w:tr w:rsidR="00670494" w:rsidRPr="00627579" w:rsidTr="00F45467">
        <w:trPr>
          <w:trHeight w:val="340"/>
        </w:trPr>
        <w:tc>
          <w:tcPr>
            <w:tcW w:w="4033" w:type="dxa"/>
          </w:tcPr>
          <w:p w:rsidR="00670494" w:rsidRPr="00627579" w:rsidRDefault="00670494" w:rsidP="00670494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Analysis methods</w:t>
            </w:r>
          </w:p>
        </w:tc>
        <w:tc>
          <w:tcPr>
            <w:tcW w:w="755" w:type="dxa"/>
          </w:tcPr>
          <w:p w:rsidR="00670494" w:rsidRPr="00627579" w:rsidRDefault="00670494" w:rsidP="0067049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27a</w:t>
            </w:r>
          </w:p>
        </w:tc>
        <w:tc>
          <w:tcPr>
            <w:tcW w:w="9398" w:type="dxa"/>
          </w:tcPr>
          <w:p w:rsidR="00670494" w:rsidRPr="00670494" w:rsidRDefault="00670494" w:rsidP="006704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</w:t>
            </w:r>
            <w:r w:rsidRPr="00670494">
              <w:rPr>
                <w:rFonts w:ascii="Arial" w:hAnsi="Arial" w:cs="Arial"/>
              </w:rPr>
              <w:t>hat analysis method will be used and how the treatment effects will be presented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3.2.2, pp. 14-16, with the model equation, and Table 6 for the presentation of effects.</w:t>
            </w:r>
          </w:p>
        </w:tc>
      </w:tr>
      <w:tr w:rsidR="00670494" w:rsidRPr="00627579" w:rsidTr="00F45467">
        <w:trPr>
          <w:trHeight w:val="340"/>
        </w:trPr>
        <w:tc>
          <w:tcPr>
            <w:tcW w:w="4033" w:type="dxa"/>
          </w:tcPr>
          <w:p w:rsidR="00670494" w:rsidRPr="00627579" w:rsidRDefault="00670494" w:rsidP="00670494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</w:tcPr>
          <w:p w:rsidR="00670494" w:rsidRPr="00627579" w:rsidRDefault="00670494" w:rsidP="0067049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27b</w:t>
            </w:r>
          </w:p>
        </w:tc>
        <w:tc>
          <w:tcPr>
            <w:tcW w:w="9398" w:type="dxa"/>
          </w:tcPr>
          <w:p w:rsidR="00670494" w:rsidRPr="00670494" w:rsidRDefault="00670494" w:rsidP="006704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  <w:r w:rsidRPr="00670494">
              <w:rPr>
                <w:rFonts w:ascii="Arial" w:hAnsi="Arial" w:cs="Arial"/>
              </w:rPr>
              <w:t>ny adjustment for covariates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3.2.2, p. 16. No covariates beyond those structuring the randomisation, with the rationale given.</w:t>
            </w:r>
          </w:p>
        </w:tc>
      </w:tr>
      <w:tr w:rsidR="00670494" w:rsidRPr="00627579" w:rsidTr="00F45467">
        <w:trPr>
          <w:trHeight w:val="340"/>
        </w:trPr>
        <w:tc>
          <w:tcPr>
            <w:tcW w:w="4033" w:type="dxa"/>
          </w:tcPr>
          <w:p w:rsidR="00670494" w:rsidRPr="00627579" w:rsidRDefault="00670494" w:rsidP="00670494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</w:tcPr>
          <w:p w:rsidR="00670494" w:rsidRPr="00627579" w:rsidRDefault="00670494" w:rsidP="0067049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27c</w:t>
            </w:r>
          </w:p>
        </w:tc>
        <w:tc>
          <w:tcPr>
            <w:tcW w:w="9398" w:type="dxa"/>
          </w:tcPr>
          <w:p w:rsidR="00670494" w:rsidRPr="00670494" w:rsidRDefault="00670494" w:rsidP="006704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</w:t>
            </w:r>
            <w:r w:rsidRPr="00670494">
              <w:rPr>
                <w:rFonts w:ascii="Arial" w:hAnsi="Arial" w:cs="Arial"/>
              </w:rPr>
              <w:t>ethods used for assumptions to be checked for statistical methods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3.6, p. 20. Residual and random-effect diagnostics.</w:t>
            </w:r>
          </w:p>
        </w:tc>
      </w:tr>
      <w:tr w:rsidR="00670494" w:rsidRPr="00627579" w:rsidTr="00F45467">
        <w:trPr>
          <w:trHeight w:val="340"/>
        </w:trPr>
        <w:tc>
          <w:tcPr>
            <w:tcW w:w="4033" w:type="dxa"/>
          </w:tcPr>
          <w:p w:rsidR="00670494" w:rsidRPr="00627579" w:rsidRDefault="00670494" w:rsidP="00670494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</w:tcPr>
          <w:p w:rsidR="00670494" w:rsidRPr="00627579" w:rsidRDefault="00670494" w:rsidP="0067049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27d</w:t>
            </w:r>
          </w:p>
        </w:tc>
        <w:tc>
          <w:tcPr>
            <w:tcW w:w="9398" w:type="dxa"/>
          </w:tcPr>
          <w:p w:rsidR="00670494" w:rsidRPr="00670494" w:rsidRDefault="00670494" w:rsidP="00670494">
            <w:pPr>
              <w:autoSpaceDE w:val="0"/>
              <w:autoSpaceDN w:val="0"/>
              <w:adjustRightIn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  <w:r w:rsidRPr="00670494">
              <w:rPr>
                <w:rFonts w:ascii="Arial" w:hAnsi="Arial" w:cs="Arial"/>
              </w:rPr>
              <w:t xml:space="preserve">etails of alternative methods to be used if distributional assumptions do not hold, </w:t>
            </w:r>
            <w:r w:rsidR="00CD5D1D" w:rsidRPr="00670494">
              <w:rPr>
                <w:rFonts w:ascii="Arial" w:hAnsi="Arial" w:cs="Arial"/>
              </w:rPr>
              <w:t>e.g.</w:t>
            </w:r>
            <w:r w:rsidRPr="00670494">
              <w:rPr>
                <w:rFonts w:ascii="Arial" w:hAnsi="Arial" w:cs="Arial"/>
              </w:rPr>
              <w:t>, normality,</w:t>
            </w:r>
          </w:p>
          <w:p w:rsidR="00670494" w:rsidRPr="00670494" w:rsidRDefault="00670494" w:rsidP="00670494">
            <w:pPr>
              <w:rPr>
                <w:rFonts w:ascii="Arial" w:hAnsi="Arial" w:cs="Arial"/>
                <w:b/>
              </w:rPr>
            </w:pPr>
            <w:r w:rsidRPr="00670494">
              <w:rPr>
                <w:rFonts w:ascii="Arial" w:hAnsi="Arial" w:cs="Arial"/>
              </w:rPr>
              <w:t xml:space="preserve">proportional hazards, </w:t>
            </w:r>
            <w:r w:rsidR="00CD5D1D" w:rsidRPr="00670494">
              <w:rPr>
                <w:rFonts w:ascii="Arial" w:hAnsi="Arial" w:cs="Arial"/>
              </w:rPr>
              <w:t>etc.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3.6, p. 20, and section 3.4, p. 18, where the beta-binomial likelihood addresses the skewed RMDQ distribution.</w:t>
            </w:r>
          </w:p>
        </w:tc>
      </w:tr>
      <w:tr w:rsidR="00670494" w:rsidRPr="00627579" w:rsidTr="00F45467">
        <w:trPr>
          <w:trHeight w:val="340"/>
        </w:trPr>
        <w:tc>
          <w:tcPr>
            <w:tcW w:w="4033" w:type="dxa"/>
          </w:tcPr>
          <w:p w:rsidR="00670494" w:rsidRPr="00627579" w:rsidRDefault="00670494" w:rsidP="00670494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</w:tcPr>
          <w:p w:rsidR="00670494" w:rsidRPr="00627579" w:rsidRDefault="00670494" w:rsidP="0067049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27e</w:t>
            </w:r>
          </w:p>
        </w:tc>
        <w:tc>
          <w:tcPr>
            <w:tcW w:w="9398" w:type="dxa"/>
          </w:tcPr>
          <w:p w:rsidR="00670494" w:rsidRPr="00670494" w:rsidRDefault="00670494" w:rsidP="006704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  <w:r w:rsidRPr="00670494">
              <w:rPr>
                <w:rFonts w:ascii="Arial" w:hAnsi="Arial" w:cs="Arial"/>
              </w:rPr>
              <w:t>ny planned sensitivity analyses for each outcome where applicable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3.6, pp. 20-21. Unconstrained model, three-level model, cluster-level analysis, alternative priors.</w:t>
            </w:r>
          </w:p>
        </w:tc>
      </w:tr>
      <w:tr w:rsidR="00670494" w:rsidRPr="00627579" w:rsidTr="00F45467">
        <w:trPr>
          <w:trHeight w:val="340"/>
        </w:trPr>
        <w:tc>
          <w:tcPr>
            <w:tcW w:w="4033" w:type="dxa"/>
          </w:tcPr>
          <w:p w:rsidR="00670494" w:rsidRPr="00627579" w:rsidRDefault="00670494" w:rsidP="00670494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</w:tcPr>
          <w:p w:rsidR="00670494" w:rsidRPr="00627579" w:rsidRDefault="00670494" w:rsidP="0067049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27f</w:t>
            </w:r>
          </w:p>
        </w:tc>
        <w:tc>
          <w:tcPr>
            <w:tcW w:w="9398" w:type="dxa"/>
          </w:tcPr>
          <w:p w:rsidR="00670494" w:rsidRPr="00670494" w:rsidRDefault="00670494" w:rsidP="006704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  <w:r w:rsidRPr="00670494">
              <w:rPr>
                <w:rFonts w:ascii="Arial" w:hAnsi="Arial" w:cs="Arial"/>
              </w:rPr>
              <w:t>ny planned subgroup analyses for each outcome including how subgroups are defined</w:t>
            </w:r>
          </w:p>
        </w:tc>
        <w:tc>
          <w:tcPr>
            <w:tcW w:w="1407" w:type="dxa"/>
          </w:tcPr>
          <w:p>
            <w:r/>
            <w:r>
              <w:rPr>
                <w:color w:val="A00028"/>
                <w:sz w:val="18"/>
              </w:rPr>
              <w:t>No subgroup analyses are planned. The SAP does not state this explicitly; a single sentence would close the item.</w:t>
            </w:r>
          </w:p>
        </w:tc>
      </w:tr>
      <w:tr w:rsidR="00670494" w:rsidRPr="00627579" w:rsidTr="00F45467">
        <w:trPr>
          <w:trHeight w:val="340"/>
        </w:trPr>
        <w:tc>
          <w:tcPr>
            <w:tcW w:w="4033" w:type="dxa"/>
          </w:tcPr>
          <w:p w:rsidR="00670494" w:rsidRPr="00627579" w:rsidRDefault="00670494" w:rsidP="00670494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Missing data</w:t>
            </w:r>
          </w:p>
        </w:tc>
        <w:tc>
          <w:tcPr>
            <w:tcW w:w="755" w:type="dxa"/>
          </w:tcPr>
          <w:p w:rsidR="00670494" w:rsidRPr="00627579" w:rsidRDefault="00670494" w:rsidP="0067049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</w:t>
            </w:r>
          </w:p>
        </w:tc>
        <w:tc>
          <w:tcPr>
            <w:tcW w:w="9398" w:type="dxa"/>
          </w:tcPr>
          <w:p w:rsidR="00670494" w:rsidRPr="00670494" w:rsidRDefault="00670494" w:rsidP="00670494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Reporting and assumptions/statistical methods to handle missing data (</w:t>
            </w:r>
            <w:r w:rsidR="00CD5D1D" w:rsidRPr="00670494">
              <w:rPr>
                <w:rFonts w:ascii="Arial" w:hAnsi="Arial" w:cs="Arial"/>
              </w:rPr>
              <w:t>e.g.</w:t>
            </w:r>
            <w:r w:rsidRPr="00670494">
              <w:rPr>
                <w:rFonts w:ascii="Arial" w:hAnsi="Arial" w:cs="Arial"/>
              </w:rPr>
              <w:t>, multiple imputation)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3.7, p. 21. Mixed model under MAR, two-level multiple imputation as sensitivity analysis.</w:t>
            </w:r>
          </w:p>
        </w:tc>
      </w:tr>
      <w:tr w:rsidR="00670494" w:rsidRPr="00627579" w:rsidTr="00F45467">
        <w:trPr>
          <w:trHeight w:val="340"/>
        </w:trPr>
        <w:tc>
          <w:tcPr>
            <w:tcW w:w="4033" w:type="dxa"/>
          </w:tcPr>
          <w:p w:rsidR="00670494" w:rsidRPr="00627579" w:rsidRDefault="00670494" w:rsidP="00670494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Additional analyses</w:t>
            </w:r>
          </w:p>
        </w:tc>
        <w:tc>
          <w:tcPr>
            <w:tcW w:w="755" w:type="dxa"/>
          </w:tcPr>
          <w:p w:rsidR="00670494" w:rsidRPr="00627579" w:rsidRDefault="00670494" w:rsidP="0067049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</w:t>
            </w:r>
          </w:p>
        </w:tc>
        <w:tc>
          <w:tcPr>
            <w:tcW w:w="9398" w:type="dxa"/>
          </w:tcPr>
          <w:p w:rsidR="00670494" w:rsidRPr="00670494" w:rsidRDefault="00670494" w:rsidP="00670494">
            <w:pPr>
              <w:rPr>
                <w:rFonts w:ascii="Arial" w:hAnsi="Arial" w:cs="Arial"/>
                <w:b/>
              </w:rPr>
            </w:pPr>
            <w:r w:rsidRPr="00670494">
              <w:rPr>
                <w:rFonts w:ascii="Arial" w:hAnsi="Arial" w:cs="Arial"/>
              </w:rPr>
              <w:t xml:space="preserve">Details of any additional statistical analyses required, </w:t>
            </w:r>
            <w:r w:rsidR="00CD5D1D" w:rsidRPr="00670494">
              <w:rPr>
                <w:rFonts w:ascii="Arial" w:hAnsi="Arial" w:cs="Arial"/>
              </w:rPr>
              <w:t>e.g.</w:t>
            </w:r>
            <w:r w:rsidRPr="00670494">
              <w:rPr>
                <w:rFonts w:ascii="Arial" w:hAnsi="Arial" w:cs="Arial"/>
              </w:rPr>
              <w:t>, complier-average causal effect10 analysis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3.8, p. 22, complier-average causal effect by instrumental variable estimation; section 3.4, p. 18, the Bayesian analysis.</w:t>
            </w:r>
          </w:p>
        </w:tc>
      </w:tr>
      <w:tr w:rsidR="00670494" w:rsidRPr="00627579" w:rsidTr="00F45467">
        <w:trPr>
          <w:trHeight w:val="340"/>
        </w:trPr>
        <w:tc>
          <w:tcPr>
            <w:tcW w:w="4033" w:type="dxa"/>
          </w:tcPr>
          <w:p w:rsidR="00670494" w:rsidRPr="00627579" w:rsidRDefault="00670494" w:rsidP="00670494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Harms</w:t>
            </w:r>
          </w:p>
        </w:tc>
        <w:tc>
          <w:tcPr>
            <w:tcW w:w="755" w:type="dxa"/>
          </w:tcPr>
          <w:p w:rsidR="00670494" w:rsidRPr="00627579" w:rsidRDefault="00670494" w:rsidP="0067049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</w:p>
        </w:tc>
        <w:tc>
          <w:tcPr>
            <w:tcW w:w="9398" w:type="dxa"/>
          </w:tcPr>
          <w:p w:rsidR="00670494" w:rsidRPr="00670494" w:rsidRDefault="00670494" w:rsidP="00670494">
            <w:pPr>
              <w:autoSpaceDE w:val="0"/>
              <w:autoSpaceDN w:val="0"/>
              <w:adjustRightInd w:val="0"/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 xml:space="preserve">Sufficient detail on summarizing safety data, </w:t>
            </w:r>
            <w:r w:rsidR="00CD5D1D" w:rsidRPr="00670494">
              <w:rPr>
                <w:rFonts w:ascii="Arial" w:hAnsi="Arial" w:cs="Arial"/>
              </w:rPr>
              <w:t>e.g.</w:t>
            </w:r>
            <w:r w:rsidRPr="00670494">
              <w:rPr>
                <w:rFonts w:ascii="Arial" w:hAnsi="Arial" w:cs="Arial"/>
              </w:rPr>
              <w:t>, information on severity, expectedness, and causality;</w:t>
            </w:r>
          </w:p>
          <w:p w:rsidR="00670494" w:rsidRPr="00670494" w:rsidRDefault="00670494" w:rsidP="00670494">
            <w:pPr>
              <w:autoSpaceDE w:val="0"/>
              <w:autoSpaceDN w:val="0"/>
              <w:adjustRightInd w:val="0"/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 xml:space="preserve">details of how adverse events are coded or categorized; how adverse event data will be </w:t>
            </w:r>
            <w:r w:rsidR="00CD5D1D" w:rsidRPr="00670494">
              <w:rPr>
                <w:rFonts w:ascii="Arial" w:hAnsi="Arial" w:cs="Arial"/>
              </w:rPr>
              <w:t>analysed</w:t>
            </w:r>
            <w:r w:rsidRPr="00670494">
              <w:rPr>
                <w:rFonts w:ascii="Arial" w:hAnsi="Arial" w:cs="Arial"/>
              </w:rPr>
              <w:t>,</w:t>
            </w:r>
          </w:p>
          <w:p w:rsidR="00670494" w:rsidRPr="00670494" w:rsidRDefault="00CD5D1D" w:rsidP="00670494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i.e.</w:t>
            </w:r>
            <w:r w:rsidR="00670494" w:rsidRPr="00670494">
              <w:rPr>
                <w:rFonts w:ascii="Arial" w:hAnsi="Arial" w:cs="Arial"/>
              </w:rPr>
              <w:t>, grade 3/4 only, incidence case analysis, intervention emergent analysis</w:t>
            </w:r>
          </w:p>
        </w:tc>
        <w:tc>
          <w:tcPr>
            <w:tcW w:w="1407" w:type="dxa"/>
          </w:tcPr>
          <w:p>
            <w:r/>
            <w:r>
              <w:rPr>
                <w:color w:val="A00028"/>
                <w:sz w:val="18"/>
              </w:rPr>
              <w:t>Section 2.9.2, p. 12. Adverse events are treated as safety data and summarised descriptively by arm. No coding dictionary or severity grading is specified; add one if the journal asks.</w:t>
            </w:r>
          </w:p>
        </w:tc>
      </w:tr>
      <w:tr w:rsidR="00670494" w:rsidRPr="00627579" w:rsidTr="00F45467">
        <w:trPr>
          <w:trHeight w:val="340"/>
        </w:trPr>
        <w:tc>
          <w:tcPr>
            <w:tcW w:w="4033" w:type="dxa"/>
          </w:tcPr>
          <w:p w:rsidR="00670494" w:rsidRPr="00627579" w:rsidRDefault="00670494" w:rsidP="00670494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Statistical software</w:t>
            </w:r>
          </w:p>
        </w:tc>
        <w:tc>
          <w:tcPr>
            <w:tcW w:w="755" w:type="dxa"/>
          </w:tcPr>
          <w:p w:rsidR="00670494" w:rsidRPr="00627579" w:rsidRDefault="00670494" w:rsidP="0067049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</w:t>
            </w:r>
          </w:p>
        </w:tc>
        <w:tc>
          <w:tcPr>
            <w:tcW w:w="9398" w:type="dxa"/>
          </w:tcPr>
          <w:p w:rsidR="00670494" w:rsidRPr="00670494" w:rsidRDefault="00670494" w:rsidP="00670494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Details of statistical packages to be used to carry out analyses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2.8, p. 11. R, with lme4, lmerTest, pbkrtest and brms named where used.</w:t>
            </w:r>
          </w:p>
        </w:tc>
      </w:tr>
      <w:tr w:rsidR="00670494" w:rsidRPr="00627579" w:rsidTr="00F45467">
        <w:trPr>
          <w:trHeight w:val="340"/>
        </w:trPr>
        <w:tc>
          <w:tcPr>
            <w:tcW w:w="4033" w:type="dxa"/>
          </w:tcPr>
          <w:p w:rsidR="00670494" w:rsidRPr="00627579" w:rsidRDefault="00670494" w:rsidP="00670494">
            <w:pPr>
              <w:rPr>
                <w:rFonts w:ascii="Arial" w:hAnsi="Arial" w:cs="Arial"/>
              </w:rPr>
            </w:pPr>
            <w:r w:rsidRPr="00627579">
              <w:rPr>
                <w:rFonts w:ascii="Arial" w:hAnsi="Arial" w:cs="Arial"/>
              </w:rPr>
              <w:t>References</w:t>
            </w:r>
          </w:p>
        </w:tc>
        <w:tc>
          <w:tcPr>
            <w:tcW w:w="755" w:type="dxa"/>
          </w:tcPr>
          <w:p w:rsidR="00670494" w:rsidRPr="00627579" w:rsidRDefault="00670494" w:rsidP="0067049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32a</w:t>
            </w:r>
          </w:p>
        </w:tc>
        <w:tc>
          <w:tcPr>
            <w:tcW w:w="9398" w:type="dxa"/>
          </w:tcPr>
          <w:p w:rsidR="00670494" w:rsidRPr="00670494" w:rsidRDefault="00670494" w:rsidP="00670494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References to be provided for nonstandard statistical methods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Throughout, notably Teerenstra et al. for the sample size, Kenward and Roger for the small-sample correction, Liang and Zeger for the constrained model, and ICH E9(R1) for the estimand.</w:t>
            </w:r>
          </w:p>
        </w:tc>
      </w:tr>
      <w:tr w:rsidR="00670494" w:rsidRPr="00627579" w:rsidTr="00F45467">
        <w:trPr>
          <w:trHeight w:val="340"/>
        </w:trPr>
        <w:tc>
          <w:tcPr>
            <w:tcW w:w="4033" w:type="dxa"/>
          </w:tcPr>
          <w:p w:rsidR="00670494" w:rsidRPr="00627579" w:rsidRDefault="00670494" w:rsidP="00670494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</w:tcPr>
          <w:p w:rsidR="00670494" w:rsidRPr="00627579" w:rsidRDefault="00670494" w:rsidP="0067049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32b</w:t>
            </w:r>
          </w:p>
        </w:tc>
        <w:tc>
          <w:tcPr>
            <w:tcW w:w="9398" w:type="dxa"/>
          </w:tcPr>
          <w:p w:rsidR="00670494" w:rsidRPr="00670494" w:rsidRDefault="00670494" w:rsidP="00670494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Reference to Data Management Plan</w:t>
            </w:r>
          </w:p>
        </w:tc>
        <w:tc>
          <w:tcPr>
            <w:tcW w:w="1407" w:type="dxa"/>
          </w:tcPr>
          <w:p>
            <w:r/>
            <w:r>
              <w:rPr>
                <w:color w:val="A00028"/>
                <w:sz w:val="18"/>
              </w:rPr>
              <w:t>Not referenced. The trial has a data management plan held by the sponsor; add a pointer if required.</w:t>
            </w:r>
          </w:p>
        </w:tc>
      </w:tr>
      <w:tr w:rsidR="00670494" w:rsidRPr="00627579" w:rsidTr="00F45467">
        <w:trPr>
          <w:trHeight w:val="340"/>
        </w:trPr>
        <w:tc>
          <w:tcPr>
            <w:tcW w:w="4033" w:type="dxa"/>
          </w:tcPr>
          <w:p w:rsidR="00670494" w:rsidRPr="00627579" w:rsidRDefault="00670494" w:rsidP="00670494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</w:tcPr>
          <w:p w:rsidR="00670494" w:rsidRPr="00627579" w:rsidRDefault="00670494" w:rsidP="0067049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32c</w:t>
            </w:r>
          </w:p>
        </w:tc>
        <w:tc>
          <w:tcPr>
            <w:tcW w:w="9398" w:type="dxa"/>
          </w:tcPr>
          <w:p w:rsidR="00670494" w:rsidRPr="00670494" w:rsidRDefault="00670494" w:rsidP="00670494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Reference to the Trial Master File and Statistical Master File</w:t>
            </w:r>
          </w:p>
        </w:tc>
        <w:tc>
          <w:tcPr>
            <w:tcW w:w="1407" w:type="dxa"/>
          </w:tcPr>
          <w:p>
            <w:r/>
            <w:r>
              <w:rPr>
                <w:color w:val="A00028"/>
                <w:sz w:val="18"/>
              </w:rPr>
              <w:t>Not referenced, see 32b.</w:t>
            </w:r>
          </w:p>
        </w:tc>
      </w:tr>
      <w:tr w:rsidR="00670494" w:rsidRPr="00627579" w:rsidTr="00F45467">
        <w:trPr>
          <w:trHeight w:val="340"/>
        </w:trPr>
        <w:tc>
          <w:tcPr>
            <w:tcW w:w="4033" w:type="dxa"/>
          </w:tcPr>
          <w:p w:rsidR="00670494" w:rsidRPr="00627579" w:rsidRDefault="00670494" w:rsidP="00670494">
            <w:pPr>
              <w:rPr>
                <w:rFonts w:ascii="Arial" w:hAnsi="Arial" w:cs="Arial"/>
              </w:rPr>
            </w:pPr>
          </w:p>
        </w:tc>
        <w:tc>
          <w:tcPr>
            <w:tcW w:w="755" w:type="dxa"/>
          </w:tcPr>
          <w:p w:rsidR="00670494" w:rsidRPr="00627579" w:rsidRDefault="00670494" w:rsidP="0067049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32d</w:t>
            </w:r>
          </w:p>
        </w:tc>
        <w:tc>
          <w:tcPr>
            <w:tcW w:w="9398" w:type="dxa"/>
          </w:tcPr>
          <w:p w:rsidR="00670494" w:rsidRPr="00670494" w:rsidRDefault="00670494" w:rsidP="00670494">
            <w:pPr>
              <w:rPr>
                <w:rFonts w:ascii="Arial" w:hAnsi="Arial" w:cs="Arial"/>
              </w:rPr>
            </w:pPr>
            <w:r w:rsidRPr="00670494">
              <w:rPr>
                <w:rFonts w:ascii="Arial" w:hAnsi="Arial" w:cs="Arial"/>
              </w:rPr>
              <w:t>Reference to other standard operating procedures or documents to be adhered to</w:t>
            </w:r>
          </w:p>
        </w:tc>
        <w:tc>
          <w:tcPr>
            <w:tcW w:w="1407" w:type="dxa"/>
          </w:tcPr>
          <w:p>
            <w:r/>
            <w:r>
              <w:rPr>
                <w:sz w:val="18"/>
              </w:rPr>
              <w:t>Section 3.10, p. 24, references the data publication procedure of the ZHAW School of Health Sciences.</w:t>
            </w:r>
          </w:p>
        </w:tc>
      </w:tr>
    </w:tbl>
    <w:p w:rsidR="00F45467" w:rsidRDefault="00F45467" w:rsidP="00F45467">
      <w:pPr>
        <w:ind w:left="-993" w:right="-784"/>
        <w:rPr>
          <w:rFonts w:ascii="Arial" w:hAnsi="Arial" w:cs="Arial"/>
        </w:rPr>
      </w:pPr>
    </w:p>
    <w:p w:rsidR="00F45467" w:rsidRPr="00F45467" w:rsidRDefault="00F45467" w:rsidP="00F45467">
      <w:pPr>
        <w:ind w:left="-993" w:right="-784"/>
        <w:rPr>
          <w:rFonts w:ascii="Arial" w:hAnsi="Arial" w:cs="Arial"/>
        </w:rPr>
      </w:pPr>
      <w:r w:rsidRPr="00F45467">
        <w:rPr>
          <w:rFonts w:ascii="Arial" w:hAnsi="Arial" w:cs="Arial"/>
          <w:b/>
          <w:noProof/>
        </w:rPr>
        <w:t>Taken from the paper:</w:t>
      </w:r>
      <w:r w:rsidRPr="00F45467">
        <w:rPr>
          <w:rFonts w:ascii="Arial" w:hAnsi="Arial" w:cs="Arial"/>
          <w:noProof/>
        </w:rPr>
        <w:t xml:space="preserve"> Gamble C, Krishan A, Stocken D, Lewis S, Juszczak E, Doré C, et al. Guidelines for the Content of Statistical Analysis Plans in Clinical Trials. JAMA. 2017;318(23):2337-43.</w:t>
      </w:r>
    </w:p>
    <w:p w:rsidR="00CF626D" w:rsidRPr="00F45467" w:rsidRDefault="00CF626D" w:rsidP="00F45467">
      <w:pPr>
        <w:ind w:left="-993" w:right="-784"/>
        <w:rPr>
          <w:rFonts w:ascii="Arial" w:hAnsi="Arial" w:cs="Arial"/>
        </w:rPr>
      </w:pPr>
      <w:r w:rsidRPr="00F45467">
        <w:rPr>
          <w:rFonts w:ascii="Arial" w:hAnsi="Arial" w:cs="Arial"/>
          <w:b/>
        </w:rPr>
        <w:t>Abbreviations:</w:t>
      </w:r>
      <w:r w:rsidRPr="00F45467">
        <w:rPr>
          <w:rFonts w:ascii="Arial" w:hAnsi="Arial" w:cs="Arial"/>
        </w:rPr>
        <w:t xml:space="preserve"> CONSORT, Consolidated Standards of Reporting Trials; hbA1c, </w:t>
      </w:r>
      <w:r w:rsidR="00CD5D1D" w:rsidRPr="00F45467">
        <w:rPr>
          <w:rFonts w:ascii="Arial" w:hAnsi="Arial" w:cs="Arial"/>
        </w:rPr>
        <w:t>haemoglobin</w:t>
      </w:r>
      <w:r w:rsidRPr="00F45467">
        <w:rPr>
          <w:rFonts w:ascii="Arial" w:hAnsi="Arial" w:cs="Arial"/>
        </w:rPr>
        <w:t xml:space="preserve"> A1c; QoL, quality of life; SAP, statistical analysis plan.</w:t>
      </w:r>
    </w:p>
    <w:p w:rsidR="00F45467" w:rsidRDefault="00CF626D" w:rsidP="00F45467">
      <w:pPr>
        <w:ind w:left="-993" w:right="-784"/>
        <w:rPr>
          <w:rFonts w:ascii="Arial" w:hAnsi="Arial" w:cs="Arial"/>
        </w:rPr>
      </w:pPr>
      <w:r w:rsidRPr="00F45467">
        <w:rPr>
          <w:rFonts w:ascii="Arial" w:hAnsi="Arial" w:cs="Arial"/>
        </w:rPr>
        <w:t xml:space="preserve">For more information visit: </w:t>
      </w:r>
    </w:p>
    <w:p w:rsidR="005A61C2" w:rsidRDefault="005A61C2" w:rsidP="00F45467">
      <w:pPr>
        <w:ind w:left="-993" w:right="-784"/>
        <w:rPr>
          <w:rFonts w:ascii="Arial" w:hAnsi="Arial" w:cs="Arial"/>
        </w:rPr>
      </w:pPr>
    </w:p>
    <w:p w:rsidR="005A61C2" w:rsidRDefault="005A61C2" w:rsidP="00F45467">
      <w:pPr>
        <w:ind w:left="-993" w:right="-784"/>
        <w:rPr>
          <w:rFonts w:ascii="Arial" w:hAnsi="Arial" w:cs="Arial"/>
        </w:rPr>
      </w:pPr>
    </w:p>
    <w:p w:rsidR="005A61C2" w:rsidRPr="005A61C2" w:rsidRDefault="005A61C2" w:rsidP="00F45467">
      <w:pPr>
        <w:ind w:left="-993" w:right="-784"/>
        <w:rPr>
          <w:rFonts w:ascii="Arial" w:hAnsi="Arial" w:cs="Arial"/>
          <w:i/>
          <w:sz w:val="20"/>
        </w:rPr>
      </w:pPr>
      <w:r w:rsidRPr="005A61C2">
        <w:rPr>
          <w:rFonts w:ascii="Arial" w:hAnsi="Arial" w:cs="Arial"/>
          <w:i/>
          <w:sz w:val="20"/>
        </w:rPr>
        <w:t xml:space="preserve">The development of this checklist was funded by the </w:t>
      </w:r>
      <w:hyperlink r:id="rId6" w:history="1">
        <w:r w:rsidRPr="005A61C2">
          <w:rPr>
            <w:rStyle w:val="Hyperlink"/>
            <w:rFonts w:ascii="Arial" w:hAnsi="Arial" w:cs="Arial"/>
            <w:i/>
            <w:sz w:val="20"/>
          </w:rPr>
          <w:t>MRC Hubs for Trials Methodology Research</w:t>
        </w:r>
      </w:hyperlink>
      <w:bookmarkStart w:id="0" w:name="_GoBack"/>
      <w:bookmarkEnd w:id="0"/>
    </w:p>
    <w:sectPr w:rsidR="005A61C2" w:rsidRPr="005A61C2" w:rsidSect="00F45467">
      <w:footerReference w:type="default" r:id="rId7"/>
      <w:pgSz w:w="16838" w:h="11906" w:orient="landscape"/>
      <w:pgMar w:top="851" w:right="1440" w:bottom="568" w:left="1440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F626D" w:rsidRDefault="00CF626D" w:rsidP="00CF626D">
      <w:pPr>
        <w:spacing w:after="0" w:line="240" w:lineRule="auto"/>
      </w:pPr>
      <w:r>
        <w:separator/>
      </w:r>
    </w:p>
  </w:endnote>
  <w:endnote w:type="continuationSeparator" w:id="0">
    <w:p w:rsidR="00CF626D" w:rsidRDefault="00CF626D" w:rsidP="00CF62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747045470"/>
      <w:docPartObj>
        <w:docPartGallery w:val="Page Numbers (Bottom of Page)"/>
        <w:docPartUnique/>
      </w:docPartObj>
    </w:sdtPr>
    <w:sdtEndPr/>
    <w:sdtContent>
      <w:sdt>
        <w:sdtPr>
          <w:id w:val="-1594630289"/>
          <w:docPartObj>
            <w:docPartGallery w:val="Page Numbers (Top of Page)"/>
            <w:docPartUnique/>
          </w:docPartObj>
        </w:sdtPr>
        <w:sdtEndPr/>
        <w:sdtContent>
          <w:p w:rsidR="00CF626D" w:rsidRDefault="00CF626D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A52EB8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A52EB8">
              <w:rPr>
                <w:b/>
                <w:bCs/>
                <w:noProof/>
              </w:rPr>
              <w:t>3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F626D" w:rsidRDefault="00CF626D" w:rsidP="00CF626D">
      <w:pPr>
        <w:spacing w:after="0" w:line="240" w:lineRule="auto"/>
      </w:pPr>
      <w:r>
        <w:separator/>
      </w:r>
    </w:p>
  </w:footnote>
  <w:footnote w:type="continuationSeparator" w:id="0">
    <w:p w:rsidR="00CF626D" w:rsidRDefault="00CF626D" w:rsidP="00CF626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Vancouver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sfwarr92mt0fp6eedssxvswmr0sxprf0wppz&quot;&gt;SAP Endnote library&lt;record-ids&gt;&lt;item&gt;1&lt;/item&gt;&lt;/record-ids&gt;&lt;/item&gt;&lt;/Libraries&gt;"/>
  </w:docVars>
  <w:rsids>
    <w:rsidRoot w:val="00CF626D"/>
    <w:rsid w:val="00292CB5"/>
    <w:rsid w:val="004A5B03"/>
    <w:rsid w:val="005A61C2"/>
    <w:rsid w:val="00627579"/>
    <w:rsid w:val="00670494"/>
    <w:rsid w:val="009B7291"/>
    <w:rsid w:val="00A52EB8"/>
    <w:rsid w:val="00AA0FAF"/>
    <w:rsid w:val="00CD5D1D"/>
    <w:rsid w:val="00CF626D"/>
    <w:rsid w:val="00E30167"/>
    <w:rsid w:val="00F45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522EE877"/>
  <w15:chartTrackingRefBased/>
  <w15:docId w15:val="{C53ABDA0-B700-45A8-8C71-54284C977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F62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F626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626D"/>
  </w:style>
  <w:style w:type="paragraph" w:styleId="Footer">
    <w:name w:val="footer"/>
    <w:basedOn w:val="Normal"/>
    <w:link w:val="FooterChar"/>
    <w:uiPriority w:val="99"/>
    <w:unhideWhenUsed/>
    <w:rsid w:val="00CF626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626D"/>
  </w:style>
  <w:style w:type="paragraph" w:customStyle="1" w:styleId="EndNoteBibliographyTitle">
    <w:name w:val="EndNote Bibliography Title"/>
    <w:basedOn w:val="Normal"/>
    <w:link w:val="EndNoteBibliographyTitleChar"/>
    <w:rsid w:val="00F45467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F45467"/>
    <w:rPr>
      <w:rFonts w:ascii="Calibri" w:hAnsi="Calibri" w:cs="Calibri"/>
      <w:noProof/>
      <w:lang w:val="en-US"/>
    </w:rPr>
  </w:style>
  <w:style w:type="paragraph" w:customStyle="1" w:styleId="EndNoteBibliography">
    <w:name w:val="EndNote Bibliography"/>
    <w:basedOn w:val="Normal"/>
    <w:link w:val="EndNoteBibliographyChar"/>
    <w:rsid w:val="00F45467"/>
    <w:pPr>
      <w:spacing w:line="240" w:lineRule="auto"/>
    </w:pPr>
    <w:rPr>
      <w:rFonts w:ascii="Calibri" w:hAnsi="Calibri" w:cs="Calibri"/>
      <w:noProof/>
      <w:lang w:val="en-US"/>
    </w:rPr>
  </w:style>
  <w:style w:type="character" w:customStyle="1" w:styleId="EndNoteBibliographyChar">
    <w:name w:val="EndNote Bibliography Char"/>
    <w:basedOn w:val="DefaultParagraphFont"/>
    <w:link w:val="EndNoteBibliography"/>
    <w:rsid w:val="00F45467"/>
    <w:rPr>
      <w:rFonts w:ascii="Calibri" w:hAnsi="Calibri" w:cs="Calibri"/>
      <w:noProof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4546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5467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5A61C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61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methodologyhubs.mrc.ac.uk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924</Words>
  <Characters>5270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University of Liverpool</Company>
  <LinksUpToDate>false</LinksUpToDate>
  <CharactersWithSpaces>6182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O'Nions, Carrie [conions]</dc:creator>
  <cp:keywords/>
  <dc:description/>
  <cp:lastModifiedBy>Kearney, Anna</cp:lastModifiedBy>
  <cp:revision>6</cp:revision>
  <cp:lastPrinted>2019-10-22T11:14:00Z</cp:lastPrinted>
  <dcterms:created xsi:type="dcterms:W3CDTF">2019-08-19T10:08:00Z</dcterms:created>
  <dcterms:modified xsi:type="dcterms:W3CDTF">2019-10-22T12:18:00Z</dcterms:modified>
</cp:coreProperties>
</file>