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Protocol details: minimal changes</w:t>
      </w:r>
    </w:p>
    <w:p>
      <w:pPr>
        <w:widowControl/>
        <w:spacing w:after="120"/>
      </w:pPr>
      <w:r>
        <w:rPr>
          <w:b/>
          <w:color w:val="17365D"/>
          <w:sz w:val="22"/>
        </w:rPr>
        <w:t>Document 5 | Four small, appendix-grounded edits</w:t>
      </w:r>
    </w:p>
    <w:p>
      <w:pPr>
        <w:widowControl/>
        <w:spacing w:after="120"/>
      </w:pPr>
      <w:r>
        <w:rPr>
          <w:b w:val="0"/>
          <w:sz w:val="20"/>
        </w:rPr>
        <w:t>Exact source text is quoted verbatim (LaTeX where applicable). Page references identify the saved before.pdf snapshot, not a newly compiled manuscript. All edits below are NOT APPLIED.</w:t>
      </w:r>
    </w:p>
    <w:p>
      <w:pPr>
        <w:widowControl/>
        <w:spacing w:after="120"/>
      </w:pPr>
      <w:r>
        <w:rPr>
          <w:b w:val="0"/>
          <w:sz w:val="20"/>
        </w:rPr>
        <w:t>The top-50 candidate pool and five-versus-ten downstream budgets already appear in the main text. The proposals clarify their interpretation; they do not claim these numbers are missing.</w:t>
      </w:r>
    </w:p>
    <w:p>
      <w:pPr>
        <w:pStyle w:val="Heading2"/>
      </w:pPr>
      <w:r>
        <w:t>1. Correct the split description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sections/experiments.tex:12–12 | before.pdf p. 4</w:t>
      </w:r>
    </w:p>
    <w:p>
      <w:pPr>
        <w:widowControl/>
        <w:spacing w:after="120"/>
      </w:pPr>
      <w:r>
        <w:rPr>
          <w:b/>
          <w:sz w:val="20"/>
        </w:rPr>
        <w:t>OLD — exact source fragment:</w:t>
      </w:r>
    </w:p>
    <w:p>
      <w:pPr>
        <w:widowControl/>
        <w:spacing w:after="120"/>
      </w:pPr>
      <w:r>
        <w:rPr>
          <w:b w:val="0"/>
          <w:sz w:val="20"/>
        </w:rPr>
        <w:t>We split each dataset into train, validation, and test splits with ratios of 70\%, 15\%, 15\%, respectively. To evaluate the learning capabilities of baselines, we further filter and balance splits such that each split has at least one task that share the same required skill.</w:t>
      </w:r>
    </w:p>
    <w:p>
      <w:pPr>
        <w:widowControl/>
        <w:spacing w:after="120"/>
      </w:pPr>
      <w:r>
        <w:rPr>
          <w:b/>
          <w:color w:val="176144"/>
          <w:sz w:val="20"/>
        </w:rPr>
        <w:t>NEW — exact replacement:</w:t>
      </w:r>
    </w:p>
    <w:p>
      <w:pPr>
        <w:widowControl/>
        <w:spacing w:after="120"/>
      </w:pPr>
      <w:r>
        <w:rPr>
          <w:b w:val="0"/>
          <w:sz w:val="21"/>
        </w:rPr>
        <w:t>After iterative rare-skill filtering, 4,987 of 5,400 tasks remain. A constrained global 70\%/15\%/15\% split yields 3,491/748/748 task-disjoint train/validation/test instances, with all 306 retained gold skills represented in each partition; this tests held-out-task rather than unseen-skill generalization (Appendix~\ref{app:data-splits}).</w:t>
      </w:r>
    </w:p>
    <w:p>
      <w:pPr>
        <w:widowControl/>
        <w:spacing w:after="120"/>
      </w:pPr>
      <w:r>
        <w:rPr>
          <w:b/>
          <w:sz w:val="20"/>
        </w:rPr>
        <w:t>Readable proposal (same wording, references expanded):</w:t>
      </w:r>
    </w:p>
    <w:p>
      <w:pPr>
        <w:widowControl/>
        <w:spacing w:after="120"/>
      </w:pPr>
      <w:r>
        <w:rPr>
          <w:b w:val="0"/>
          <w:sz w:val="21"/>
        </w:rPr>
        <w:t>After iterative rare-skill filtering, 4,987 of 5,400 tasks remain. A constrained global 70%/15%/15% split yields 3,491/748/748 task-disjoint train/validation/test instances, with all 306 retained gold skills represented in each partition; this tests held-out-task rather than unseen-skill generalization (Appendix C.1).</w:t>
      </w:r>
    </w:p>
    <w:p>
      <w:pPr>
        <w:widowControl/>
        <w:spacing w:after="120"/>
      </w:pPr>
      <w:r>
        <w:rPr>
          <w:b w:val="0"/>
          <w:sz w:val="20"/>
        </w:rPr>
        <w:t>Why: Replace only the last two sentences of the paragraph. The current per-dataset ratio is inaccurate; the appendix explicitly gives a global constrained allocation and shared skill vocabulary.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sections/appendix/data_splits.tex:3 (snapshot p. 16); sections/appendix/data_splits.tex:5 (snapshot p. 16); sections/appendix/data_splits.tex:7 (snapshot p. 16)</w:t>
      </w:r>
    </w:p>
    <w:p>
      <w:r>
        <w:br w:type="page"/>
      </w:r>
    </w:p>
    <w:p>
      <w:pPr>
        <w:pStyle w:val="Heading1"/>
      </w:pPr>
      <w:r>
        <w:t>Candidate pool and downstream budget</w:t>
      </w:r>
    </w:p>
    <w:p>
      <w:pPr>
        <w:pStyle w:val="Heading2"/>
      </w:pPr>
      <w:r>
        <w:t>2. Separate candidates from supplied skills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sections/experiments.tex:47–47 | before.pdf p. 5</w:t>
      </w:r>
    </w:p>
    <w:p>
      <w:pPr>
        <w:widowControl/>
        <w:spacing w:after="120"/>
      </w:pPr>
      <w:r>
        <w:rPr>
          <w:b/>
          <w:sz w:val="20"/>
        </w:rPr>
        <w:t>OLD — exact source fragment:</w:t>
      </w:r>
    </w:p>
    <w:p>
      <w:pPr>
        <w:widowControl/>
        <w:spacing w:after="120"/>
      </w:pPr>
      <w:r>
        <w:rPr>
          <w:b w:val="0"/>
          <w:sz w:val="20"/>
        </w:rPr>
        <w:t>The skill routing baselines are conditioned on the top 50 retrieved skills and use some optimization method to improve performance.</w:t>
      </w:r>
    </w:p>
    <w:p>
      <w:pPr>
        <w:widowControl/>
        <w:spacing w:after="120"/>
      </w:pPr>
      <w:r>
        <w:rPr>
          <w:b/>
          <w:color w:val="176144"/>
          <w:sz w:val="20"/>
        </w:rPr>
        <w:t>NEW — exact replacement:</w:t>
      </w:r>
    </w:p>
    <w:p>
      <w:pPr>
        <w:widowControl/>
        <w:spacing w:after="120"/>
      </w:pPr>
      <w:r>
        <w:rPr>
          <w:b w:val="0"/>
          <w:sz w:val="21"/>
        </w:rPr>
        <w:t>The skill routing baselines use a retrieved candidate pool of 50 skills, distinct from the smaller downstream skill budget.</w:t>
      </w:r>
    </w:p>
    <w:p>
      <w:pPr>
        <w:widowControl/>
        <w:spacing w:after="120"/>
      </w:pPr>
      <w:r>
        <w:rPr>
          <w:b w:val="0"/>
          <w:sz w:val="20"/>
        </w:rPr>
        <w:t>Why: The top-50 pool is already in the current main text; this is a distinction/clarity edit, not promotion of an absent fact. Leave the immediately following SkillDAG exception unchanged.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sections/appendix/implementation_settings.tex:3 (snapshot p. 17)</w:t>
      </w:r>
    </w:p>
    <w:p>
      <w:pPr>
        <w:pStyle w:val="Heading2"/>
      </w:pPr>
      <w:r>
        <w:t>3. Qualify the downstream comparison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sections/experiments.tex:47–47 | before.pdf p. 5</w:t>
      </w:r>
    </w:p>
    <w:p>
      <w:pPr>
        <w:widowControl/>
        <w:spacing w:after="120"/>
      </w:pPr>
      <w:r>
        <w:rPr>
          <w:b/>
          <w:sz w:val="20"/>
        </w:rPr>
        <w:t>Existing anchor — retain unchanged (exact source):</w:t>
      </w:r>
    </w:p>
    <w:p>
      <w:pPr>
        <w:widowControl/>
        <w:spacing w:after="120"/>
      </w:pPr>
      <w:r>
        <w:rPr>
          <w:b w:val="0"/>
          <w:sz w:val="20"/>
        </w:rPr>
        <w:t>In downstream tasks, we use k = 5 skills for SkillRouter and $\mathrm{RouterBSI}_{\mathrm{top}k}$, and we set k = 10 for SkillDAG because k = 5 would match the retriever's performance.</w:t>
      </w:r>
    </w:p>
    <w:p>
      <w:pPr>
        <w:widowControl/>
        <w:spacing w:after="120"/>
      </w:pPr>
      <w:r>
        <w:rPr>
          <w:b/>
          <w:color w:val="176144"/>
          <w:sz w:val="20"/>
        </w:rPr>
        <w:t>INSERT immediately after anchor:</w:t>
      </w:r>
    </w:p>
    <w:p>
      <w:pPr>
        <w:widowControl/>
        <w:spacing w:after="120"/>
      </w:pPr>
      <w:r>
        <w:rPr>
          <w:b w:val="0"/>
          <w:sz w:val="21"/>
        </w:rPr>
        <w:t>The strict RouterBSI variant supplies the variable-size predicate-selected set, so the downstream comparisons are not matched for supplied skill count.</w:t>
      </w:r>
    </w:p>
    <w:p>
      <w:pPr>
        <w:widowControl/>
        <w:spacing w:after="120"/>
      </w:pPr>
      <w:r>
        <w:rPr>
          <w:b w:val="0"/>
          <w:sz w:val="20"/>
        </w:rPr>
        <w:t>Why: Keep the existing five-versus-ten budgets and SkillDAG rationale unchanged. Add only the strict variant and the unequal-budget qualification.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sections/appendix/implementation_settings.tex:3 (snapshot p. 17); sections/appendix/error_downstream_results.tex:2 (snapshot p. 28); sections/appendix/procedure_routing.tex:18 (snapshot p. 11)</w:t>
      </w:r>
    </w:p>
    <w:p>
      <w:r>
        <w:br w:type="page"/>
      </w:r>
    </w:p>
    <w:p>
      <w:pPr>
        <w:pStyle w:val="Heading1"/>
      </w:pPr>
      <w:r>
        <w:t>Uncertainty reporting</w:t>
      </w:r>
    </w:p>
    <w:p>
      <w:pPr>
        <w:pStyle w:val="Heading2"/>
      </w:pPr>
      <w:r>
        <w:t>4. Name the statistic in Figure 5 — NOT APPLIED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Source: figs/mbr_replay_test_ndcg@1_std/description.text:1–1 | before.pdf p. 7</w:t>
      </w:r>
    </w:p>
    <w:p>
      <w:pPr>
        <w:widowControl/>
        <w:spacing w:after="120"/>
      </w:pPr>
      <w:r>
        <w:rPr>
          <w:b/>
          <w:sz w:val="20"/>
        </w:rPr>
        <w:t>OLD — exact source fragment:</w:t>
      </w:r>
    </w:p>
    <w:p>
      <w:pPr>
        <w:widowControl/>
        <w:spacing w:after="120"/>
      </w:pPr>
      <w:r>
        <w:rPr>
          <w:b w:val="0"/>
          <w:sz w:val="20"/>
        </w:rPr>
        <w:t>The lines and areas represent the standard mean and variation, respectively across three runs starting from the same initial predicates at iteration 0.</w:t>
      </w:r>
    </w:p>
    <w:p>
      <w:pPr>
        <w:widowControl/>
        <w:spacing w:after="120"/>
      </w:pPr>
      <w:r>
        <w:rPr>
          <w:b/>
          <w:color w:val="176144"/>
          <w:sz w:val="20"/>
        </w:rPr>
        <w:t>NEW — exact replacement:</w:t>
      </w:r>
    </w:p>
    <w:p>
      <w:pPr>
        <w:widowControl/>
        <w:spacing w:after="120"/>
      </w:pPr>
      <w:r>
        <w:rPr>
          <w:b w:val="0"/>
          <w:sz w:val="21"/>
        </w:rPr>
        <w:t>Across three runs starting from the same initial predicates at iteration 0, lines show mean test nDCG@1 and shaded bands show plus/minus one population standard deviation, not confidence intervals.</w:t>
      </w:r>
    </w:p>
    <w:p>
      <w:pPr>
        <w:widowControl/>
        <w:spacing w:after="120"/>
      </w:pPr>
      <w:r>
        <w:rPr>
          <w:b w:val="0"/>
          <w:sz w:val="20"/>
        </w:rPr>
        <w:t>Why: Small caption-only replacement gives the statistic and aggregation unit while preserving the author-confirmed shared initialization.</w:t>
      </w:r>
    </w:p>
    <w:p>
      <w:pPr>
        <w:widowControl/>
        <w:spacing w:after="120"/>
      </w:pPr>
      <w:r>
        <w:rPr>
          <w:b w:val="0"/>
          <w:color w:val="555555"/>
          <w:sz w:val="19"/>
        </w:rPr>
        <w:t>Grounding: sections/appendix/trajectory_table.tex:22 (snapshot p. 24); sections/appendix/ablation_components.tex:21 (snapshot p. 23)</w:t>
      </w:r>
    </w:p>
    <w:p>
      <w:pPr>
        <w:widowControl/>
        <w:spacing w:after="120"/>
      </w:pPr>
      <w:r>
        <w:rPr>
          <w:b/>
          <w:sz w:val="20"/>
        </w:rPr>
        <w:t>Shared initialization is preserved exactly as clarified by the author. The change identifies population standard deviation across three runs; it neither introduces confidence intervals nor asserts statistical significance.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PROPOSALS ONLY — NOT APPLIED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RouterBSIPaper | Author-alignment proposals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