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xperiments"/>
    <w:p>
      <w:pPr>
        <w:pStyle w:val="Heading1"/>
      </w:pPr>
      <w:r>
        <w:t xml:space="preserve">Experiments</w:t>
      </w:r>
    </w:p>
    <w:bookmarkStart w:id="20" w:name="benchmarks-and-skill-corpus."/>
    <w:p>
      <w:pPr>
        <w:pStyle w:val="Heading2"/>
      </w:pPr>
      <w:r>
        <w:t xml:space="preserve">Benchmarks and Skill Corpus.</w:t>
      </w:r>
    </w:p>
    <w:p>
      <w:pPr>
        <w:pStyle w:val="FirstParagraph"/>
      </w:pPr>
      <w:r>
        <w:t xml:space="preserve">We conduct experiments on SRA-Bench, which comprises six capability-intensive benchmarks: TheoremQA </w:t>
      </w:r>
      <w:r>
        <w:t xml:space="preserve">(Chen et al. 2023)</w:t>
      </w:r>
      <w:r>
        <w:t xml:space="preserve">, LogicBench </w:t>
      </w:r>
      <w:r>
        <w:t xml:space="preserve">(Parmar et al. 2024)</w:t>
      </w:r>
      <w:r>
        <w:t xml:space="preserve">, ToolQA </w:t>
      </w:r>
      <w:r>
        <w:t xml:space="preserve">(Zhuang et al. 2023)</w:t>
      </w:r>
      <w:r>
        <w:t xml:space="preserve">, CHAMP </w:t>
      </w:r>
      <w:r>
        <w:t xml:space="preserve">(Mao, Kim, and Zhou 2024)</w:t>
      </w:r>
      <w:r>
        <w:t xml:space="preserve">, MedCalc-Bench </w:t>
      </w:r>
      <w:r>
        <w:t xml:space="preserve">(Khandekar et al. 2024)</w:t>
      </w:r>
      <w:r>
        <w:t xml:space="preserve">, and BigCodeBench </w:t>
      </w:r>
      <w:r>
        <w:t xml:space="preserve">(Zhuo et al. 2025)</w:t>
      </w:r>
      <w:r>
        <w:t xml:space="preserve">. These datasets cover diverse task settings, including mathematical reasoning, formal logic, tool use, and code generation. Each instance is paired with annotated gold skill(s) and evaluated against a shared external skill corpus, enabling decomposed analysis of retrieval, incorporation, and end-task execution. We split each dataset into train, validation, and test splits with ratios of 70%, 15%, 15%, respectively. To evaluate the learning capabilities of baselines, we further filter and balance splits such that each split has at least one task that share the same required skill.</w:t>
      </w:r>
    </w:p>
    <w:bookmarkEnd w:id="20"/>
    <w:bookmarkStart w:id="22" w:name="evaluation-metrics."/>
    <w:p>
      <w:pPr>
        <w:pStyle w:val="Heading2"/>
      </w:pPr>
      <w:r>
        <w:t xml:space="preserve">Evaluation Metrics.</w:t>
      </w:r>
    </w:p>
    <w:p>
      <w:pPr>
        <w:pStyle w:val="FirstParagraph"/>
      </w:pPr>
      <w:r>
        <w:t xml:space="preserve">We evaluate the SRA pipeline from both retrieval and end-task perspectives. For skill retrieval, we report Recall@</w:t>
      </w:r>
      <m:oMath>
        <m:r>
          <m:t>k</m:t>
        </m:r>
      </m:oMath>
      <w:r>
        <w:t xml:space="preserve"> </w:t>
      </w:r>
      <w:r>
        <w:t xml:space="preserve">and nDCG@</w:t>
      </w:r>
      <m:oMath>
        <m:r>
          <m:t>k</m:t>
        </m:r>
      </m:oMath>
      <w:r>
        <w:t xml:space="preserve">. We additionally report F1@</w:t>
      </w:r>
      <m:oMath>
        <m:r>
          <m:t>k</m:t>
        </m:r>
      </m:oMath>
      <w:r>
        <w:t xml:space="preserve"> </w:t>
      </w:r>
      <w:r>
        <w:t xml:space="preserve">to compare filtering capabilities. For end-task performance, each benchmark follows its standard evaluation protocol: rule-based exact match or accuracy for reasoning and QA datasets, and pass@1 based on unit-test execution for BigCodeBench. Averages are measured across task instances.</w:t>
      </w:r>
    </w:p>
    <w:bookmarkStart w:id="21" w:name="tab:skill_routing_performance_average"/>
    <w:p>
      <w:pPr>
        <w:pStyle w:val="TableCaption"/>
      </w:pPr>
      <w:r>
        <w:t xml:space="preserve">Table 1: Skill routing performance using Qwen3.5 4B. BM25, Vector, and SkillSight are shown first as native retrieval baselines. Each remaining row is the equal-weight mean across those three retrievers. Columns report nDCG@1 (N@1) and nDCG@10 (N@10) for each benchmark; Average uses each retriever’s task-weighted scores over 748 tasks. Bold and underlined values mark the best and second-best distinct scores in each column.</w:t>
      </w:r>
    </w:p>
    <w:tbl>
      <w:tblPr>
        <w:tblStyle w:val="Table"/>
        <w:tblW w:type="auto" w:w="0"/>
        <w:tblLayout w:type="fixed"/>
        <w:tblLook w:firstRow="0" w:lastRow="0" w:firstColumn="0" w:lastColumn="0" w:noHBand="0" w:noVBand="0" w:val="0000"/>
        <w:tblCaption w:val="Table 1: Skill routing performance using Qwen3.5 4B. BM25, Vector, and SkillSight are shown first as native retrieval baselines. Each remaining row is the equal-weight mean across those three retrievers. Columns report nDCG@1 (N@1) and nDCG@10 (N@10) for each benchmark; Average uses each retriever’s task-weighted scores over 748 tasks. Bold and underlined values mark the best and second-best distinct scores in each column."/>
      </w:tblPr>
      <w:tblGrid>
        <w:gridCol w:w="2448"/>
        <w:gridCol w:w="813"/>
        <w:gridCol w:w="813"/>
        <w:gridCol w:w="813"/>
        <w:gridCol w:w="813"/>
        <w:gridCol w:w="813"/>
        <w:gridCol w:w="813"/>
        <w:gridCol w:w="813"/>
        <w:gridCol w:w="813"/>
        <w:gridCol w:w="813"/>
        <w:gridCol w:w="813"/>
        <w:gridCol w:w="813"/>
        <w:gridCol w:w="813"/>
        <w:gridCol w:w="813"/>
        <w:gridCol w:w="813"/>
      </w:tblGrid>
      <w:tr>
        <w:tc>
          <w:tcPr>
            <w:tcW w:type="dxa" w:w="2448"/>
          </w:tcPr>
          <w:p>
            <w:pPr>
              <w:pStyle w:val="Compact"/>
              <w:jc w:val="left"/>
            </w:pPr>
            <w:r>
              <w:rPr>
                <w:sz w:val="16"/>
              </w:rPr>
              <w:t xml:space="preserve">Method</w:t>
            </w:r>
          </w:p>
        </w:tc>
        <w:tc>
          <w:tcPr>
            <w:tcW w:type="dxa" w:w="1625"/>
            <w:gridSpan w:val="2"/>
          </w:tcPr>
          <w:p>
            <w:pPr>
              <w:pStyle w:val="Compact"/>
              <w:jc w:val="center"/>
            </w:pPr>
            <w:r>
              <w:rPr>
                <w:sz w:val="16"/>
              </w:rPr>
              <w:t xml:space="preserve">BigCode Bench</w:t>
            </w:r>
          </w:p>
        </w:tc>
        <w:tc>
          <w:tcPr>
            <w:tcW w:type="dxa" w:w="1625"/>
            <w:gridSpan w:val="2"/>
          </w:tcPr>
          <w:p>
            <w:pPr>
              <w:pStyle w:val="Compact"/>
              <w:jc w:val="center"/>
            </w:pPr>
            <w:r>
              <w:rPr>
                <w:sz w:val="16"/>
              </w:rPr>
              <w:t xml:space="preserve">CHAMP</w:t>
            </w:r>
          </w:p>
        </w:tc>
        <w:tc>
          <w:tcPr>
            <w:tcW w:type="dxa" w:w="1625"/>
            <w:gridSpan w:val="2"/>
          </w:tcPr>
          <w:p>
            <w:pPr>
              <w:pStyle w:val="Compact"/>
              <w:jc w:val="center"/>
            </w:pPr>
            <w:r>
              <w:rPr>
                <w:sz w:val="16"/>
              </w:rPr>
              <w:t xml:space="preserve">LogicBench</w:t>
            </w:r>
          </w:p>
        </w:tc>
        <w:tc>
          <w:tcPr>
            <w:tcW w:type="dxa" w:w="1625"/>
            <w:gridSpan w:val="2"/>
          </w:tcPr>
          <w:p>
            <w:pPr>
              <w:pStyle w:val="Compact"/>
              <w:jc w:val="center"/>
            </w:pPr>
            <w:r>
              <w:rPr>
                <w:sz w:val="16"/>
              </w:rPr>
              <w:t xml:space="preserve">MedCalc- Bench</w:t>
            </w:r>
          </w:p>
        </w:tc>
        <w:tc>
          <w:tcPr>
            <w:tcW w:type="dxa" w:w="1625"/>
            <w:gridSpan w:val="2"/>
          </w:tcPr>
          <w:p>
            <w:pPr>
              <w:pStyle w:val="Compact"/>
              <w:jc w:val="center"/>
            </w:pPr>
            <w:r>
              <w:rPr>
                <w:sz w:val="16"/>
              </w:rPr>
              <w:t xml:space="preserve">TheoremQA</w:t>
            </w:r>
          </w:p>
        </w:tc>
        <w:tc>
          <w:tcPr>
            <w:tcW w:type="dxa" w:w="1625"/>
            <w:gridSpan w:val="2"/>
          </w:tcPr>
          <w:p>
            <w:pPr>
              <w:pStyle w:val="Compact"/>
              <w:jc w:val="center"/>
            </w:pPr>
            <w:r>
              <w:rPr>
                <w:sz w:val="16"/>
              </w:rPr>
              <w:t xml:space="preserve">ToolQA</w:t>
            </w:r>
          </w:p>
        </w:tc>
        <w:tc>
          <w:tcPr>
            <w:tcW w:type="dxa" w:w="1625"/>
            <w:gridSpan w:val="2"/>
          </w:tcPr>
          <w:p>
            <w:pPr>
              <w:pStyle w:val="Compact"/>
              <w:jc w:val="center"/>
            </w:pPr>
            <w:r>
              <w:rPr>
                <w:sz w:val="16"/>
              </w:rPr>
              <w:t xml:space="preserve">Average</w:t>
            </w:r>
          </w:p>
        </w:tc>
      </w:tr>
      <w:tr>
        <w:tc>
          <w:tcPr>
            <w:tcW w:type="dxa" w:w="2448"/>
          </w:tcPr>
          <w:p>
            <w:pPr>
              <w:pStyle w:val="Compact"/>
            </w:pP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r>
      <w:tr>
        <w:tc>
          <w:tcPr>
            <w:tcW w:type="dxa" w:w="13824"/>
            <w:gridSpan w:val="15"/>
          </w:tcPr>
          <w:p>
            <w:pPr>
              <w:pStyle w:val="Compact"/>
              <w:jc w:val="left"/>
            </w:pPr>
            <w:r>
              <w:rPr>
                <w:i/>
                <w:iCs/>
                <w:sz w:val="16"/>
              </w:rPr>
              <w:t xml:space="preserve">Retrievers</w:t>
            </w:r>
          </w:p>
        </w:tc>
      </w:tr>
      <w:tr>
        <w:tc>
          <w:tcPr>
            <w:tcW w:type="dxa" w:w="2448"/>
          </w:tcPr>
          <w:p>
            <w:pPr>
              <w:pStyle w:val="Compact"/>
              <w:jc w:val="left"/>
            </w:pPr>
            <w:r>
              <w:rPr>
                <w:sz w:val="16"/>
              </w:rPr>
              <w:t xml:space="preserve">BM25</w:t>
            </w:r>
          </w:p>
        </w:tc>
        <w:tc>
          <w:tcPr>
            <w:tcW w:type="dxa" w:w="813"/>
          </w:tcPr>
          <w:p>
            <w:pPr>
              <w:pStyle w:val="Compact"/>
              <w:jc w:val="right"/>
            </w:pPr>
            <w:r>
              <w:rPr>
                <w:sz w:val="16"/>
              </w:rPr>
              <w:t xml:space="preserve">0.610</w:t>
            </w:r>
          </w:p>
        </w:tc>
        <w:tc>
          <w:tcPr>
            <w:tcW w:type="dxa" w:w="813"/>
          </w:tcPr>
          <w:p>
            <w:pPr>
              <w:pStyle w:val="Compact"/>
              <w:jc w:val="right"/>
            </w:pPr>
            <w:r>
              <w:rPr>
                <w:sz w:val="16"/>
              </w:rPr>
              <w:t xml:space="preserve">0.544</w:t>
            </w:r>
          </w:p>
        </w:tc>
        <w:tc>
          <w:tcPr>
            <w:tcW w:type="dxa" w:w="813"/>
          </w:tcPr>
          <w:p>
            <w:pPr>
              <w:pStyle w:val="Compact"/>
              <w:jc w:val="right"/>
            </w:pPr>
            <w:r>
              <w:rPr>
                <w:sz w:val="16"/>
              </w:rPr>
              <w:t xml:space="preserve">0.423</w:t>
            </w:r>
          </w:p>
        </w:tc>
        <w:tc>
          <w:tcPr>
            <w:tcW w:type="dxa" w:w="813"/>
          </w:tcPr>
          <w:p>
            <w:pPr>
              <w:pStyle w:val="Compact"/>
              <w:jc w:val="right"/>
            </w:pPr>
            <w:r>
              <w:rPr>
                <w:sz w:val="16"/>
              </w:rPr>
              <w:t xml:space="preserve">0.410</w:t>
            </w:r>
          </w:p>
        </w:tc>
        <w:tc>
          <w:tcPr>
            <w:tcW w:type="dxa" w:w="813"/>
          </w:tcPr>
          <w:p>
            <w:pPr>
              <w:pStyle w:val="Compact"/>
              <w:jc w:val="right"/>
            </w:pPr>
            <w:r>
              <w:rPr>
                <w:sz w:val="16"/>
              </w:rPr>
              <w:t xml:space="preserve">0.158</w:t>
            </w:r>
          </w:p>
        </w:tc>
        <w:tc>
          <w:tcPr>
            <w:tcW w:type="dxa" w:w="813"/>
          </w:tcPr>
          <w:p>
            <w:pPr>
              <w:pStyle w:val="Compact"/>
              <w:jc w:val="right"/>
            </w:pPr>
            <w:r>
              <w:rPr>
                <w:sz w:val="16"/>
              </w:rPr>
              <w:t xml:space="preserve">0.220</w:t>
            </w:r>
          </w:p>
        </w:tc>
        <w:tc>
          <w:tcPr>
            <w:tcW w:type="dxa" w:w="813"/>
          </w:tcPr>
          <w:p>
            <w:pPr>
              <w:pStyle w:val="Compact"/>
              <w:jc w:val="right"/>
            </w:pPr>
            <w:r>
              <w:rPr>
                <w:sz w:val="16"/>
              </w:rPr>
              <w:t xml:space="preserve">0.315</w:t>
            </w:r>
          </w:p>
        </w:tc>
        <w:tc>
          <w:tcPr>
            <w:tcW w:type="dxa" w:w="813"/>
          </w:tcPr>
          <w:p>
            <w:pPr>
              <w:pStyle w:val="Compact"/>
              <w:jc w:val="right"/>
            </w:pPr>
            <w:r>
              <w:rPr>
                <w:sz w:val="16"/>
              </w:rPr>
              <w:t xml:space="preserve">0.462</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0.659</w:t>
            </w:r>
          </w:p>
        </w:tc>
        <w:tc>
          <w:tcPr>
            <w:tcW w:type="dxa" w:w="813"/>
          </w:tcPr>
          <w:p>
            <w:pPr>
              <w:pStyle w:val="Compact"/>
              <w:jc w:val="right"/>
            </w:pPr>
            <w:r>
              <w:rPr>
                <w:sz w:val="16"/>
              </w:rPr>
              <w:t xml:space="preserve">0.070</w:t>
            </w:r>
          </w:p>
        </w:tc>
        <w:tc>
          <w:tcPr>
            <w:tcW w:type="dxa" w:w="813"/>
          </w:tcPr>
          <w:p>
            <w:pPr>
              <w:pStyle w:val="Compact"/>
              <w:jc w:val="right"/>
            </w:pPr>
            <w:r>
              <w:rPr>
                <w:sz w:val="16"/>
              </w:rPr>
              <w:t xml:space="preserve">0.271</w:t>
            </w:r>
          </w:p>
        </w:tc>
        <w:tc>
          <w:tcPr>
            <w:tcW w:type="dxa" w:w="813"/>
          </w:tcPr>
          <w:p>
            <w:pPr>
              <w:pStyle w:val="Compact"/>
              <w:jc w:val="right"/>
            </w:pPr>
            <w:r>
              <w:rPr>
                <w:sz w:val="16"/>
              </w:rPr>
              <w:t xml:space="preserve">0.302</w:t>
            </w:r>
          </w:p>
        </w:tc>
        <w:tc>
          <w:tcPr>
            <w:tcW w:type="dxa" w:w="813"/>
          </w:tcPr>
          <w:p>
            <w:pPr>
              <w:pStyle w:val="Compact"/>
              <w:jc w:val="right"/>
            </w:pPr>
            <w:r>
              <w:rPr>
                <w:sz w:val="16"/>
              </w:rPr>
              <w:t xml:space="preserve">0.410</w:t>
            </w:r>
          </w:p>
        </w:tc>
      </w:tr>
      <w:tr>
        <w:tc>
          <w:tcPr>
            <w:tcW w:type="dxa" w:w="2448"/>
          </w:tcPr>
          <w:p>
            <w:pPr>
              <w:pStyle w:val="Compact"/>
              <w:jc w:val="left"/>
            </w:pPr>
            <w:r>
              <w:rPr>
                <w:sz w:val="16"/>
              </w:rPr>
              <w:t xml:space="preserve">Vector</w:t>
            </w:r>
          </w:p>
        </w:tc>
        <w:tc>
          <w:tcPr>
            <w:tcW w:type="dxa" w:w="813"/>
          </w:tcPr>
          <w:p>
            <w:pPr>
              <w:pStyle w:val="Compact"/>
              <w:jc w:val="right"/>
            </w:pPr>
            <w:r>
              <w:rPr>
                <w:sz w:val="16"/>
              </w:rPr>
              <w:t xml:space="preserve">0.504</w:t>
            </w:r>
          </w:p>
        </w:tc>
        <w:tc>
          <w:tcPr>
            <w:tcW w:type="dxa" w:w="813"/>
          </w:tcPr>
          <w:p>
            <w:pPr>
              <w:pStyle w:val="Compact"/>
              <w:jc w:val="right"/>
            </w:pPr>
            <w:r>
              <w:rPr>
                <w:sz w:val="16"/>
              </w:rPr>
              <w:t xml:space="preserve">0.407</w:t>
            </w:r>
          </w:p>
        </w:tc>
        <w:tc>
          <w:tcPr>
            <w:tcW w:type="dxa" w:w="813"/>
          </w:tcPr>
          <w:p>
            <w:pPr>
              <w:pStyle w:val="Compact"/>
              <w:jc w:val="right"/>
            </w:pPr>
            <w:r>
              <w:rPr>
                <w:sz w:val="16"/>
              </w:rPr>
              <w:t xml:space="preserve">0.346</w:t>
            </w:r>
          </w:p>
        </w:tc>
        <w:tc>
          <w:tcPr>
            <w:tcW w:type="dxa" w:w="813"/>
          </w:tcPr>
          <w:p>
            <w:pPr>
              <w:pStyle w:val="Compact"/>
              <w:jc w:val="right"/>
            </w:pPr>
            <w:r>
              <w:rPr>
                <w:sz w:val="16"/>
              </w:rPr>
              <w:t xml:space="preserve">0.463</w:t>
            </w:r>
          </w:p>
        </w:tc>
        <w:tc>
          <w:tcPr>
            <w:tcW w:type="dxa" w:w="813"/>
          </w:tcPr>
          <w:p>
            <w:pPr>
              <w:pStyle w:val="Compact"/>
              <w:jc w:val="right"/>
            </w:pPr>
            <w:r>
              <w:rPr>
                <w:sz w:val="16"/>
              </w:rPr>
              <w:t xml:space="preserve">0.105</w:t>
            </w:r>
          </w:p>
        </w:tc>
        <w:tc>
          <w:tcPr>
            <w:tcW w:type="dxa" w:w="813"/>
          </w:tcPr>
          <w:p>
            <w:pPr>
              <w:pStyle w:val="Compact"/>
              <w:jc w:val="right"/>
            </w:pPr>
            <w:r>
              <w:rPr>
                <w:sz w:val="16"/>
              </w:rPr>
              <w:t xml:space="preserve">0.248</w:t>
            </w:r>
          </w:p>
        </w:tc>
        <w:tc>
          <w:tcPr>
            <w:tcW w:type="dxa" w:w="813"/>
          </w:tcPr>
          <w:p>
            <w:pPr>
              <w:pStyle w:val="Compact"/>
              <w:jc w:val="right"/>
            </w:pPr>
            <w:r>
              <w:rPr>
                <w:b/>
                <w:bCs/>
                <w:sz w:val="16"/>
              </w:rPr>
              <w:t xml:space="preserve">0.988</w:t>
            </w:r>
          </w:p>
        </w:tc>
        <w:tc>
          <w:tcPr>
            <w:tcW w:type="dxa" w:w="813"/>
          </w:tcPr>
          <w:p>
            <w:pPr>
              <w:pStyle w:val="Compact"/>
              <w:jc w:val="right"/>
            </w:pPr>
            <w:r>
              <w:rPr>
                <w:b/>
                <w:bCs/>
                <w:sz w:val="16"/>
              </w:rPr>
              <w:t xml:space="preserve">0.992</w:t>
            </w:r>
          </w:p>
        </w:tc>
        <w:tc>
          <w:tcPr>
            <w:tcW w:type="dxa" w:w="813"/>
          </w:tcPr>
          <w:p>
            <w:pPr>
              <w:pStyle w:val="Compact"/>
              <w:jc w:val="right"/>
            </w:pPr>
            <w:r>
              <w:rPr>
                <w:sz w:val="16"/>
              </w:rPr>
              <w:t xml:space="preserve">0.695</w:t>
            </w:r>
          </w:p>
        </w:tc>
        <w:tc>
          <w:tcPr>
            <w:tcW w:type="dxa" w:w="813"/>
          </w:tcPr>
          <w:p>
            <w:pPr>
              <w:pStyle w:val="Compact"/>
              <w:jc w:val="right"/>
            </w:pPr>
            <w:r>
              <w:rPr>
                <w:sz w:val="16"/>
              </w:rPr>
              <w:t xml:space="preserve">0.833</w:t>
            </w:r>
          </w:p>
        </w:tc>
        <w:tc>
          <w:tcPr>
            <w:tcW w:type="dxa" w:w="813"/>
          </w:tcPr>
          <w:p>
            <w:pPr>
              <w:pStyle w:val="Compact"/>
              <w:jc w:val="right"/>
            </w:pPr>
            <w:r>
              <w:rPr>
                <w:sz w:val="16"/>
              </w:rPr>
              <w:t xml:space="preserve">0.312</w:t>
            </w:r>
          </w:p>
        </w:tc>
        <w:tc>
          <w:tcPr>
            <w:tcW w:type="dxa" w:w="813"/>
          </w:tcPr>
          <w:p>
            <w:pPr>
              <w:pStyle w:val="Compact"/>
              <w:jc w:val="right"/>
            </w:pPr>
            <w:r>
              <w:rPr>
                <w:sz w:val="16"/>
              </w:rPr>
              <w:t xml:space="preserve">0.413</w:t>
            </w:r>
          </w:p>
        </w:tc>
        <w:tc>
          <w:tcPr>
            <w:tcW w:type="dxa" w:w="813"/>
          </w:tcPr>
          <w:p>
            <w:pPr>
              <w:pStyle w:val="Compact"/>
              <w:jc w:val="right"/>
            </w:pPr>
            <w:r>
              <w:rPr>
                <w:sz w:val="16"/>
              </w:rPr>
              <w:t xml:space="preserve">0.516</w:t>
            </w:r>
          </w:p>
        </w:tc>
        <w:tc>
          <w:tcPr>
            <w:tcW w:type="dxa" w:w="813"/>
          </w:tcPr>
          <w:p>
            <w:pPr>
              <w:pStyle w:val="Compact"/>
              <w:jc w:val="right"/>
            </w:pPr>
            <w:r>
              <w:rPr>
                <w:sz w:val="16"/>
              </w:rPr>
              <w:t xml:space="preserve">0.575</w:t>
            </w:r>
          </w:p>
        </w:tc>
      </w:tr>
      <w:tr>
        <w:tc>
          <w:tcPr>
            <w:tcW w:type="dxa" w:w="2448"/>
          </w:tcPr>
          <w:p>
            <w:pPr>
              <w:pStyle w:val="Compact"/>
              <w:jc w:val="left"/>
            </w:pPr>
            <w:r>
              <w:rPr>
                <w:sz w:val="16"/>
              </w:rPr>
              <w:t xml:space="preserve">SkillSight</w:t>
            </w:r>
          </w:p>
        </w:tc>
        <w:tc>
          <w:tcPr>
            <w:tcW w:type="dxa" w:w="813"/>
          </w:tcPr>
          <w:p>
            <w:pPr>
              <w:pStyle w:val="Compact"/>
              <w:jc w:val="right"/>
            </w:pPr>
            <w:r>
              <w:rPr>
                <w:sz w:val="16"/>
                <w:u w:val="single"/>
              </w:rPr>
              <w:t xml:space="preserve">0.724</w:t>
            </w:r>
          </w:p>
        </w:tc>
        <w:tc>
          <w:tcPr>
            <w:tcW w:type="dxa" w:w="813"/>
          </w:tcPr>
          <w:p>
            <w:pPr>
              <w:pStyle w:val="Compact"/>
              <w:jc w:val="right"/>
            </w:pPr>
            <w:r>
              <w:rPr>
                <w:sz w:val="16"/>
                <w:u w:val="single"/>
              </w:rPr>
              <w:t xml:space="preserve">0.616</w:t>
            </w:r>
          </w:p>
        </w:tc>
        <w:tc>
          <w:tcPr>
            <w:tcW w:type="dxa" w:w="813"/>
          </w:tcPr>
          <w:p>
            <w:pPr>
              <w:pStyle w:val="Compact"/>
              <w:jc w:val="right"/>
            </w:pPr>
            <w:r>
              <w:rPr>
                <w:sz w:val="16"/>
              </w:rPr>
              <w:t xml:space="preserve">0.308</w:t>
            </w:r>
          </w:p>
        </w:tc>
        <w:tc>
          <w:tcPr>
            <w:tcW w:type="dxa" w:w="813"/>
          </w:tcPr>
          <w:p>
            <w:pPr>
              <w:pStyle w:val="Compact"/>
              <w:jc w:val="right"/>
            </w:pPr>
            <w:r>
              <w:rPr>
                <w:sz w:val="16"/>
              </w:rPr>
              <w:t xml:space="preserve">0.429</w:t>
            </w:r>
          </w:p>
        </w:tc>
        <w:tc>
          <w:tcPr>
            <w:tcW w:type="dxa" w:w="813"/>
          </w:tcPr>
          <w:p>
            <w:pPr>
              <w:pStyle w:val="Compact"/>
              <w:jc w:val="right"/>
            </w:pPr>
            <w:r>
              <w:rPr>
                <w:sz w:val="16"/>
              </w:rPr>
              <w:t xml:space="preserve">0.167</w:t>
            </w:r>
          </w:p>
        </w:tc>
        <w:tc>
          <w:tcPr>
            <w:tcW w:type="dxa" w:w="813"/>
          </w:tcPr>
          <w:p>
            <w:pPr>
              <w:pStyle w:val="Compact"/>
              <w:jc w:val="right"/>
            </w:pPr>
            <w:r>
              <w:rPr>
                <w:sz w:val="16"/>
              </w:rPr>
              <w:t xml:space="preserve">0.406</w:t>
            </w:r>
          </w:p>
        </w:tc>
        <w:tc>
          <w:tcPr>
            <w:tcW w:type="dxa" w:w="813"/>
          </w:tcPr>
          <w:p>
            <w:pPr>
              <w:pStyle w:val="Compact"/>
              <w:jc w:val="right"/>
            </w:pPr>
            <w:r>
              <w:rPr>
                <w:sz w:val="16"/>
              </w:rPr>
              <w:t xml:space="preserve">0.830</w:t>
            </w:r>
          </w:p>
        </w:tc>
        <w:tc>
          <w:tcPr>
            <w:tcW w:type="dxa" w:w="813"/>
          </w:tcPr>
          <w:p>
            <w:pPr>
              <w:pStyle w:val="Compact"/>
              <w:jc w:val="right"/>
            </w:pPr>
            <w:r>
              <w:rPr>
                <w:sz w:val="16"/>
              </w:rPr>
              <w:t xml:space="preserve">0.903</w:t>
            </w:r>
          </w:p>
        </w:tc>
        <w:tc>
          <w:tcPr>
            <w:tcW w:type="dxa" w:w="813"/>
          </w:tcPr>
          <w:p>
            <w:pPr>
              <w:pStyle w:val="Compact"/>
              <w:jc w:val="right"/>
            </w:pPr>
            <w:r>
              <w:rPr>
                <w:sz w:val="16"/>
                <w:u w:val="single"/>
              </w:rPr>
              <w:t xml:space="preserve">0.733</w:t>
            </w:r>
          </w:p>
        </w:tc>
        <w:tc>
          <w:tcPr>
            <w:tcW w:type="dxa" w:w="813"/>
          </w:tcPr>
          <w:p>
            <w:pPr>
              <w:pStyle w:val="Compact"/>
              <w:jc w:val="right"/>
            </w:pPr>
            <w:r>
              <w:rPr>
                <w:sz w:val="16"/>
                <w:u w:val="single"/>
              </w:rPr>
              <w:t xml:space="preserve">0.852</w:t>
            </w:r>
          </w:p>
        </w:tc>
        <w:tc>
          <w:tcPr>
            <w:tcW w:type="dxa" w:w="813"/>
          </w:tcPr>
          <w:p>
            <w:pPr>
              <w:pStyle w:val="Compact"/>
              <w:jc w:val="right"/>
            </w:pPr>
            <w:r>
              <w:rPr>
                <w:sz w:val="16"/>
              </w:rPr>
              <w:t xml:space="preserve">0.102</w:t>
            </w:r>
          </w:p>
        </w:tc>
        <w:tc>
          <w:tcPr>
            <w:tcW w:type="dxa" w:w="813"/>
          </w:tcPr>
          <w:p>
            <w:pPr>
              <w:pStyle w:val="Compact"/>
              <w:jc w:val="right"/>
            </w:pPr>
            <w:r>
              <w:rPr>
                <w:sz w:val="16"/>
              </w:rPr>
              <w:t xml:space="preserve">0.390</w:t>
            </w:r>
          </w:p>
        </w:tc>
        <w:tc>
          <w:tcPr>
            <w:tcW w:type="dxa" w:w="813"/>
          </w:tcPr>
          <w:p>
            <w:pPr>
              <w:pStyle w:val="Compact"/>
              <w:jc w:val="right"/>
            </w:pPr>
            <w:r>
              <w:rPr>
                <w:sz w:val="16"/>
              </w:rPr>
              <w:t xml:space="preserve">0.471</w:t>
            </w:r>
          </w:p>
        </w:tc>
        <w:tc>
          <w:tcPr>
            <w:tcW w:type="dxa" w:w="813"/>
          </w:tcPr>
          <w:p>
            <w:pPr>
              <w:pStyle w:val="Compact"/>
              <w:jc w:val="right"/>
            </w:pPr>
            <w:r>
              <w:rPr>
                <w:sz w:val="16"/>
              </w:rPr>
              <w:t xml:space="preserve">0.609</w:t>
            </w:r>
          </w:p>
        </w:tc>
      </w:tr>
      <w:tr>
        <w:tc>
          <w:tcPr>
            <w:tcW w:type="dxa" w:w="13824"/>
            <w:gridSpan w:val="15"/>
          </w:tcPr>
          <w:p>
            <w:pPr>
              <w:pStyle w:val="Compact"/>
              <w:jc w:val="left"/>
            </w:pPr>
            <w:r>
              <w:rPr>
                <w:i/>
                <w:iCs/>
                <w:sz w:val="16"/>
              </w:rPr>
              <w:t xml:space="preserve">Routers</w:t>
            </w:r>
          </w:p>
        </w:tc>
      </w:tr>
      <w:tr>
        <w:tc>
          <w:tcPr>
            <w:tcW w:type="dxa" w:w="2448"/>
          </w:tcPr>
          <w:p>
            <w:pPr>
              <w:pStyle w:val="Compact"/>
              <w:jc w:val="left"/>
            </w:pPr>
            <w:r>
              <w:rPr>
                <w:sz w:val="16"/>
              </w:rPr>
              <w:t xml:space="preserve">LLM Select</w:t>
            </w:r>
          </w:p>
        </w:tc>
        <w:tc>
          <w:tcPr>
            <w:tcW w:type="dxa" w:w="813"/>
          </w:tcPr>
          <w:p>
            <w:pPr>
              <w:pStyle w:val="Compact"/>
              <w:jc w:val="right"/>
            </w:pPr>
            <w:r>
              <w:rPr>
                <w:sz w:val="16"/>
              </w:rPr>
              <w:t xml:space="preserve">0.480</w:t>
            </w:r>
          </w:p>
        </w:tc>
        <w:tc>
          <w:tcPr>
            <w:tcW w:type="dxa" w:w="813"/>
          </w:tcPr>
          <w:p>
            <w:pPr>
              <w:pStyle w:val="Compact"/>
              <w:jc w:val="right"/>
            </w:pPr>
            <w:r>
              <w:rPr>
                <w:sz w:val="16"/>
              </w:rPr>
              <w:t xml:space="preserve">0.510</w:t>
            </w:r>
          </w:p>
        </w:tc>
        <w:tc>
          <w:tcPr>
            <w:tcW w:type="dxa" w:w="813"/>
          </w:tcPr>
          <w:p>
            <w:pPr>
              <w:pStyle w:val="Compact"/>
              <w:jc w:val="right"/>
            </w:pPr>
            <w:r>
              <w:rPr>
                <w:sz w:val="16"/>
              </w:rPr>
              <w:t xml:space="preserve">0.385</w:t>
            </w:r>
          </w:p>
        </w:tc>
        <w:tc>
          <w:tcPr>
            <w:tcW w:type="dxa" w:w="813"/>
          </w:tcPr>
          <w:p>
            <w:pPr>
              <w:pStyle w:val="Compact"/>
              <w:jc w:val="right"/>
            </w:pPr>
            <w:r>
              <w:rPr>
                <w:sz w:val="16"/>
              </w:rPr>
              <w:t xml:space="preserve">0.458</w:t>
            </w:r>
          </w:p>
        </w:tc>
        <w:tc>
          <w:tcPr>
            <w:tcW w:type="dxa" w:w="813"/>
          </w:tcPr>
          <w:p>
            <w:pPr>
              <w:pStyle w:val="Compact"/>
              <w:jc w:val="right"/>
            </w:pPr>
            <w:r>
              <w:rPr>
                <w:sz w:val="16"/>
              </w:rPr>
              <w:t xml:space="preserve">0.266</w:t>
            </w:r>
          </w:p>
        </w:tc>
        <w:tc>
          <w:tcPr>
            <w:tcW w:type="dxa" w:w="813"/>
          </w:tcPr>
          <w:p>
            <w:pPr>
              <w:pStyle w:val="Compact"/>
              <w:jc w:val="right"/>
            </w:pPr>
            <w:r>
              <w:rPr>
                <w:sz w:val="16"/>
              </w:rPr>
              <w:t xml:space="preserve">0.394</w:t>
            </w:r>
          </w:p>
        </w:tc>
        <w:tc>
          <w:tcPr>
            <w:tcW w:type="dxa" w:w="813"/>
          </w:tcPr>
          <w:p>
            <w:pPr>
              <w:pStyle w:val="Compact"/>
              <w:jc w:val="right"/>
            </w:pPr>
            <w:r>
              <w:rPr>
                <w:sz w:val="16"/>
              </w:rPr>
              <w:t xml:space="preserve">0.745</w:t>
            </w:r>
          </w:p>
        </w:tc>
        <w:tc>
          <w:tcPr>
            <w:tcW w:type="dxa" w:w="813"/>
          </w:tcPr>
          <w:p>
            <w:pPr>
              <w:pStyle w:val="Compact"/>
              <w:jc w:val="right"/>
            </w:pPr>
            <w:r>
              <w:rPr>
                <w:sz w:val="16"/>
              </w:rPr>
              <w:t xml:space="preserve">0.834</w:t>
            </w:r>
          </w:p>
        </w:tc>
        <w:tc>
          <w:tcPr>
            <w:tcW w:type="dxa" w:w="813"/>
          </w:tcPr>
          <w:p>
            <w:pPr>
              <w:pStyle w:val="Compact"/>
              <w:jc w:val="right"/>
            </w:pPr>
            <w:r>
              <w:rPr>
                <w:sz w:val="16"/>
              </w:rPr>
              <w:t xml:space="preserve">0.683</w:t>
            </w:r>
          </w:p>
        </w:tc>
        <w:tc>
          <w:tcPr>
            <w:tcW w:type="dxa" w:w="813"/>
          </w:tcPr>
          <w:p>
            <w:pPr>
              <w:pStyle w:val="Compact"/>
              <w:jc w:val="right"/>
            </w:pPr>
            <w:r>
              <w:rPr>
                <w:sz w:val="16"/>
              </w:rPr>
              <w:t xml:space="preserve">0.819</w:t>
            </w:r>
          </w:p>
        </w:tc>
        <w:tc>
          <w:tcPr>
            <w:tcW w:type="dxa" w:w="813"/>
          </w:tcPr>
          <w:p>
            <w:pPr>
              <w:pStyle w:val="Compact"/>
              <w:jc w:val="right"/>
            </w:pPr>
            <w:r>
              <w:rPr>
                <w:sz w:val="16"/>
              </w:rPr>
              <w:t xml:space="preserve">0.437</w:t>
            </w:r>
          </w:p>
        </w:tc>
        <w:tc>
          <w:tcPr>
            <w:tcW w:type="dxa" w:w="813"/>
          </w:tcPr>
          <w:p>
            <w:pPr>
              <w:pStyle w:val="Compact"/>
              <w:jc w:val="right"/>
            </w:pPr>
            <w:r>
              <w:rPr>
                <w:sz w:val="16"/>
              </w:rPr>
              <w:t xml:space="preserve">0.547</w:t>
            </w:r>
          </w:p>
        </w:tc>
        <w:tc>
          <w:tcPr>
            <w:tcW w:type="dxa" w:w="813"/>
          </w:tcPr>
          <w:p>
            <w:pPr>
              <w:pStyle w:val="Compact"/>
              <w:jc w:val="right"/>
            </w:pPr>
            <w:r>
              <w:rPr>
                <w:sz w:val="16"/>
              </w:rPr>
              <w:t xml:space="preserve">0.519</w:t>
            </w:r>
          </w:p>
        </w:tc>
        <w:tc>
          <w:tcPr>
            <w:tcW w:type="dxa" w:w="813"/>
          </w:tcPr>
          <w:p>
            <w:pPr>
              <w:pStyle w:val="Compact"/>
              <w:jc w:val="right"/>
            </w:pPr>
            <w:r>
              <w:rPr>
                <w:sz w:val="16"/>
              </w:rPr>
              <w:t xml:space="preserve">0.616</w:t>
            </w:r>
          </w:p>
        </w:tc>
      </w:tr>
      <w:tr>
        <w:tc>
          <w:tcPr>
            <w:tcW w:type="dxa" w:w="2448"/>
          </w:tcPr>
          <w:p>
            <w:pPr>
              <w:pStyle w:val="Compact"/>
              <w:jc w:val="left"/>
            </w:pPr>
            <w:r>
              <w:rPr>
                <w:sz w:val="16"/>
              </w:rPr>
              <w:t xml:space="preserve">SkillRouter</w:t>
            </w:r>
          </w:p>
        </w:tc>
        <w:tc>
          <w:tcPr>
            <w:tcW w:type="dxa" w:w="813"/>
          </w:tcPr>
          <w:p>
            <w:pPr>
              <w:pStyle w:val="Compact"/>
              <w:jc w:val="right"/>
            </w:pPr>
            <w:r>
              <w:rPr>
                <w:sz w:val="16"/>
              </w:rPr>
              <w:t xml:space="preserve">0.366</w:t>
            </w:r>
          </w:p>
        </w:tc>
        <w:tc>
          <w:tcPr>
            <w:tcW w:type="dxa" w:w="813"/>
          </w:tcPr>
          <w:p>
            <w:pPr>
              <w:pStyle w:val="Compact"/>
              <w:jc w:val="right"/>
            </w:pPr>
            <w:r>
              <w:rPr>
                <w:sz w:val="16"/>
              </w:rPr>
              <w:t xml:space="preserve">0.299</w:t>
            </w:r>
          </w:p>
        </w:tc>
        <w:tc>
          <w:tcPr>
            <w:tcW w:type="dxa" w:w="813"/>
          </w:tcPr>
          <w:p>
            <w:pPr>
              <w:pStyle w:val="Compact"/>
              <w:jc w:val="right"/>
            </w:pPr>
            <w:r>
              <w:rPr>
                <w:sz w:val="16"/>
                <w:u w:val="single"/>
              </w:rPr>
              <w:t xml:space="preserve">0.449</w:t>
            </w:r>
          </w:p>
        </w:tc>
        <w:tc>
          <w:tcPr>
            <w:tcW w:type="dxa" w:w="813"/>
          </w:tcPr>
          <w:p>
            <w:pPr>
              <w:pStyle w:val="Compact"/>
              <w:jc w:val="right"/>
            </w:pPr>
            <w:r>
              <w:rPr>
                <w:sz w:val="16"/>
                <w:u w:val="single"/>
              </w:rPr>
              <w:t xml:space="preserve">0.476</w:t>
            </w:r>
          </w:p>
        </w:tc>
        <w:tc>
          <w:tcPr>
            <w:tcW w:type="dxa" w:w="813"/>
          </w:tcPr>
          <w:p>
            <w:pPr>
              <w:pStyle w:val="Compact"/>
              <w:jc w:val="right"/>
            </w:pPr>
            <w:r>
              <w:rPr>
                <w:sz w:val="16"/>
                <w:u w:val="single"/>
              </w:rPr>
              <w:t xml:space="preserve">0.269</w:t>
            </w:r>
          </w:p>
        </w:tc>
        <w:tc>
          <w:tcPr>
            <w:tcW w:type="dxa" w:w="813"/>
          </w:tcPr>
          <w:p>
            <w:pPr>
              <w:pStyle w:val="Compact"/>
              <w:jc w:val="right"/>
            </w:pPr>
            <w:r>
              <w:rPr>
                <w:sz w:val="16"/>
                <w:u w:val="single"/>
              </w:rPr>
              <w:t xml:space="preserve">0.416</w:t>
            </w:r>
          </w:p>
        </w:tc>
        <w:tc>
          <w:tcPr>
            <w:tcW w:type="dxa" w:w="813"/>
          </w:tcPr>
          <w:p>
            <w:pPr>
              <w:pStyle w:val="Compact"/>
              <w:jc w:val="right"/>
            </w:pPr>
            <w:r>
              <w:rPr>
                <w:sz w:val="16"/>
                <w:u w:val="single"/>
              </w:rPr>
              <w:t xml:space="preserve">0.974</w:t>
            </w:r>
          </w:p>
        </w:tc>
        <w:tc>
          <w:tcPr>
            <w:tcW w:type="dxa" w:w="813"/>
          </w:tcPr>
          <w:p>
            <w:pPr>
              <w:pStyle w:val="Compact"/>
              <w:jc w:val="right"/>
            </w:pPr>
            <w:r>
              <w:rPr>
                <w:sz w:val="16"/>
                <w:u w:val="single"/>
              </w:rPr>
              <w:t xml:space="preserve">0.981</w:t>
            </w:r>
          </w:p>
        </w:tc>
        <w:tc>
          <w:tcPr>
            <w:tcW w:type="dxa" w:w="813"/>
          </w:tcPr>
          <w:p>
            <w:pPr>
              <w:pStyle w:val="Compact"/>
              <w:jc w:val="right"/>
            </w:pPr>
            <w:r>
              <w:rPr>
                <w:b/>
                <w:bCs/>
                <w:sz w:val="16"/>
              </w:rPr>
              <w:t xml:space="preserve">0.816</w:t>
            </w:r>
          </w:p>
        </w:tc>
        <w:tc>
          <w:tcPr>
            <w:tcW w:type="dxa" w:w="813"/>
          </w:tcPr>
          <w:p>
            <w:pPr>
              <w:pStyle w:val="Compact"/>
              <w:jc w:val="right"/>
            </w:pPr>
            <w:r>
              <w:rPr>
                <w:b/>
                <w:bCs/>
                <w:sz w:val="16"/>
              </w:rPr>
              <w:t xml:space="preserve">0.860</w:t>
            </w:r>
          </w:p>
        </w:tc>
        <w:tc>
          <w:tcPr>
            <w:tcW w:type="dxa" w:w="813"/>
          </w:tcPr>
          <w:p>
            <w:pPr>
              <w:pStyle w:val="Compact"/>
              <w:jc w:val="right"/>
            </w:pPr>
            <w:r>
              <w:rPr>
                <w:sz w:val="16"/>
                <w:u w:val="single"/>
              </w:rPr>
              <w:t xml:space="preserve">0.600</w:t>
            </w:r>
          </w:p>
        </w:tc>
        <w:tc>
          <w:tcPr>
            <w:tcW w:type="dxa" w:w="813"/>
          </w:tcPr>
          <w:p>
            <w:pPr>
              <w:pStyle w:val="Compact"/>
              <w:jc w:val="right"/>
            </w:pPr>
            <w:r>
              <w:rPr>
                <w:sz w:val="16"/>
                <w:u w:val="single"/>
              </w:rPr>
              <w:t xml:space="preserve">0.711</w:t>
            </w:r>
          </w:p>
        </w:tc>
        <w:tc>
          <w:tcPr>
            <w:tcW w:type="dxa" w:w="813"/>
          </w:tcPr>
          <w:p>
            <w:pPr>
              <w:pStyle w:val="Compact"/>
              <w:jc w:val="right"/>
            </w:pPr>
            <w:r>
              <w:rPr>
                <w:sz w:val="16"/>
                <w:u w:val="single"/>
              </w:rPr>
              <w:t xml:space="preserve">0.619</w:t>
            </w:r>
          </w:p>
        </w:tc>
        <w:tc>
          <w:tcPr>
            <w:tcW w:type="dxa" w:w="813"/>
          </w:tcPr>
          <w:p>
            <w:pPr>
              <w:pStyle w:val="Compact"/>
              <w:jc w:val="right"/>
            </w:pPr>
            <w:r>
              <w:rPr>
                <w:sz w:val="16"/>
                <w:u w:val="single"/>
              </w:rPr>
              <w:t xml:space="preserve">0.671</w:t>
            </w:r>
          </w:p>
        </w:tc>
      </w:tr>
      <w:tr>
        <w:tc>
          <w:tcPr>
            <w:tcW w:type="dxa" w:w="2448"/>
          </w:tcPr>
          <w:p>
            <w:pPr>
              <w:pStyle w:val="Compact"/>
              <w:jc w:val="left"/>
            </w:pPr>
            <w:r>
              <w:rPr>
                <w:sz w:val="16"/>
              </w:rPr>
              <w:t xml:space="preserve">SkillDAG</w:t>
            </w:r>
          </w:p>
        </w:tc>
        <w:tc>
          <w:tcPr>
            <w:tcW w:type="dxa" w:w="813"/>
          </w:tcPr>
          <w:p>
            <w:pPr>
              <w:pStyle w:val="Compact"/>
              <w:jc w:val="right"/>
            </w:pPr>
            <w:r>
              <w:rPr>
                <w:sz w:val="16"/>
              </w:rPr>
              <w:t xml:space="preserve">0.612</w:t>
            </w:r>
          </w:p>
        </w:tc>
        <w:tc>
          <w:tcPr>
            <w:tcW w:type="dxa" w:w="813"/>
          </w:tcPr>
          <w:p>
            <w:pPr>
              <w:pStyle w:val="Compact"/>
              <w:jc w:val="right"/>
            </w:pPr>
            <w:r>
              <w:rPr>
                <w:sz w:val="16"/>
              </w:rPr>
              <w:t xml:space="preserve">0.600</w:t>
            </w:r>
          </w:p>
        </w:tc>
        <w:tc>
          <w:tcPr>
            <w:tcW w:type="dxa" w:w="813"/>
          </w:tcPr>
          <w:p>
            <w:pPr>
              <w:pStyle w:val="Compact"/>
              <w:jc w:val="right"/>
            </w:pPr>
            <w:r>
              <w:rPr>
                <w:sz w:val="16"/>
              </w:rPr>
              <w:t xml:space="preserve">0.359</w:t>
            </w:r>
          </w:p>
        </w:tc>
        <w:tc>
          <w:tcPr>
            <w:tcW w:type="dxa" w:w="813"/>
          </w:tcPr>
          <w:p>
            <w:pPr>
              <w:pStyle w:val="Compact"/>
              <w:jc w:val="right"/>
            </w:pPr>
            <w:r>
              <w:rPr>
                <w:sz w:val="16"/>
              </w:rPr>
              <w:t xml:space="preserve">0.453</w:t>
            </w:r>
          </w:p>
        </w:tc>
        <w:tc>
          <w:tcPr>
            <w:tcW w:type="dxa" w:w="813"/>
          </w:tcPr>
          <w:p>
            <w:pPr>
              <w:pStyle w:val="Compact"/>
              <w:jc w:val="right"/>
            </w:pPr>
            <w:r>
              <w:rPr>
                <w:sz w:val="16"/>
              </w:rPr>
              <w:t xml:space="preserve">0.143</w:t>
            </w:r>
          </w:p>
        </w:tc>
        <w:tc>
          <w:tcPr>
            <w:tcW w:type="dxa" w:w="813"/>
          </w:tcPr>
          <w:p>
            <w:pPr>
              <w:pStyle w:val="Compact"/>
              <w:jc w:val="right"/>
            </w:pPr>
            <w:r>
              <w:rPr>
                <w:sz w:val="16"/>
              </w:rPr>
              <w:t xml:space="preserve">0.378</w:t>
            </w:r>
          </w:p>
        </w:tc>
        <w:tc>
          <w:tcPr>
            <w:tcW w:type="dxa" w:w="813"/>
          </w:tcPr>
          <w:p>
            <w:pPr>
              <w:pStyle w:val="Compact"/>
              <w:jc w:val="right"/>
            </w:pPr>
            <w:r>
              <w:rPr>
                <w:sz w:val="16"/>
              </w:rPr>
              <w:t xml:space="preserve">0.709</w:t>
            </w:r>
          </w:p>
        </w:tc>
        <w:tc>
          <w:tcPr>
            <w:tcW w:type="dxa" w:w="813"/>
          </w:tcPr>
          <w:p>
            <w:pPr>
              <w:pStyle w:val="Compact"/>
              <w:jc w:val="right"/>
            </w:pPr>
            <w:r>
              <w:rPr>
                <w:sz w:val="16"/>
              </w:rPr>
              <w:t xml:space="preserve">0.785</w:t>
            </w:r>
          </w:p>
        </w:tc>
        <w:tc>
          <w:tcPr>
            <w:tcW w:type="dxa" w:w="813"/>
          </w:tcPr>
          <w:p>
            <w:pPr>
              <w:pStyle w:val="Compact"/>
              <w:jc w:val="right"/>
            </w:pPr>
            <w:r>
              <w:rPr>
                <w:sz w:val="16"/>
              </w:rPr>
              <w:t xml:space="preserve">0.651</w:t>
            </w:r>
          </w:p>
        </w:tc>
        <w:tc>
          <w:tcPr>
            <w:tcW w:type="dxa" w:w="813"/>
          </w:tcPr>
          <w:p>
            <w:pPr>
              <w:pStyle w:val="Compact"/>
              <w:jc w:val="right"/>
            </w:pPr>
            <w:r>
              <w:rPr>
                <w:sz w:val="16"/>
              </w:rPr>
              <w:t xml:space="preserve">0.781</w:t>
            </w:r>
          </w:p>
        </w:tc>
        <w:tc>
          <w:tcPr>
            <w:tcW w:type="dxa" w:w="813"/>
          </w:tcPr>
          <w:p>
            <w:pPr>
              <w:pStyle w:val="Compact"/>
              <w:jc w:val="right"/>
            </w:pPr>
            <w:r>
              <w:rPr>
                <w:sz w:val="16"/>
              </w:rPr>
              <w:t xml:space="preserve">0.161</w:t>
            </w:r>
          </w:p>
        </w:tc>
        <w:tc>
          <w:tcPr>
            <w:tcW w:type="dxa" w:w="813"/>
          </w:tcPr>
          <w:p>
            <w:pPr>
              <w:pStyle w:val="Compact"/>
              <w:jc w:val="right"/>
            </w:pPr>
            <w:r>
              <w:rPr>
                <w:sz w:val="16"/>
              </w:rPr>
              <w:t xml:space="preserve">0.421</w:t>
            </w:r>
          </w:p>
        </w:tc>
        <w:tc>
          <w:tcPr>
            <w:tcW w:type="dxa" w:w="813"/>
          </w:tcPr>
          <w:p>
            <w:pPr>
              <w:pStyle w:val="Compact"/>
              <w:jc w:val="right"/>
            </w:pPr>
            <w:r>
              <w:rPr>
                <w:sz w:val="16"/>
              </w:rPr>
              <w:t xml:space="preserve">0.429</w:t>
            </w:r>
          </w:p>
        </w:tc>
        <w:tc>
          <w:tcPr>
            <w:tcW w:type="dxa" w:w="813"/>
          </w:tcPr>
          <w:p>
            <w:pPr>
              <w:pStyle w:val="Compact"/>
              <w:jc w:val="right"/>
            </w:pPr>
            <w:r>
              <w:rPr>
                <w:sz w:val="16"/>
              </w:rPr>
              <w:t xml:space="preserve">0.576</w:t>
            </w:r>
          </w:p>
        </w:tc>
      </w:tr>
      <w:tr>
        <w:tc>
          <w:tcPr>
            <w:tcW w:type="dxa" w:w="2448"/>
          </w:tcPr>
          <w:p>
            <w:pPr>
              <w:pStyle w:val="Compact"/>
              <w:jc w:val="left"/>
            </w:pPr>
            <w:r>
              <w:rPr>
                <w:sz w:val="16"/>
              </w:rPr>
              <w:t xml:space="preserve">Skill-Pro</w:t>
            </w:r>
          </w:p>
        </w:tc>
        <w:tc>
          <w:tcPr>
            <w:tcW w:type="dxa" w:w="813"/>
          </w:tcPr>
          <w:p>
            <w:pPr>
              <w:pStyle w:val="Compact"/>
              <w:jc w:val="right"/>
            </w:pPr>
            <w:r>
              <w:rPr>
                <w:sz w:val="16"/>
              </w:rPr>
              <w:t xml:space="preserve">0.238</w:t>
            </w:r>
          </w:p>
        </w:tc>
        <w:tc>
          <w:tcPr>
            <w:tcW w:type="dxa" w:w="813"/>
          </w:tcPr>
          <w:p>
            <w:pPr>
              <w:pStyle w:val="Compact"/>
              <w:jc w:val="right"/>
            </w:pPr>
            <w:r>
              <w:rPr>
                <w:sz w:val="16"/>
              </w:rPr>
              <w:t xml:space="preserve">0.446</w:t>
            </w:r>
          </w:p>
        </w:tc>
        <w:tc>
          <w:tcPr>
            <w:tcW w:type="dxa" w:w="813"/>
          </w:tcPr>
          <w:p>
            <w:pPr>
              <w:pStyle w:val="Compact"/>
              <w:jc w:val="right"/>
            </w:pPr>
            <w:r>
              <w:rPr>
                <w:sz w:val="16"/>
              </w:rPr>
              <w:t xml:space="preserve">0.218</w:t>
            </w:r>
          </w:p>
        </w:tc>
        <w:tc>
          <w:tcPr>
            <w:tcW w:type="dxa" w:w="813"/>
          </w:tcPr>
          <w:p>
            <w:pPr>
              <w:pStyle w:val="Compact"/>
              <w:jc w:val="right"/>
            </w:pPr>
            <w:r>
              <w:rPr>
                <w:sz w:val="16"/>
              </w:rPr>
              <w:t xml:space="preserve">0.395</w:t>
            </w:r>
          </w:p>
        </w:tc>
        <w:tc>
          <w:tcPr>
            <w:tcW w:type="dxa" w:w="813"/>
          </w:tcPr>
          <w:p>
            <w:pPr>
              <w:pStyle w:val="Compact"/>
              <w:jc w:val="right"/>
            </w:pPr>
            <w:r>
              <w:rPr>
                <w:sz w:val="16"/>
              </w:rPr>
              <w:t xml:space="preserve">0.161</w:t>
            </w:r>
          </w:p>
        </w:tc>
        <w:tc>
          <w:tcPr>
            <w:tcW w:type="dxa" w:w="813"/>
          </w:tcPr>
          <w:p>
            <w:pPr>
              <w:pStyle w:val="Compact"/>
              <w:jc w:val="right"/>
            </w:pPr>
            <w:r>
              <w:rPr>
                <w:sz w:val="16"/>
              </w:rPr>
              <w:t xml:space="preserve">0.317</w:t>
            </w:r>
          </w:p>
        </w:tc>
        <w:tc>
          <w:tcPr>
            <w:tcW w:type="dxa" w:w="813"/>
          </w:tcPr>
          <w:p>
            <w:pPr>
              <w:pStyle w:val="Compact"/>
              <w:jc w:val="right"/>
            </w:pPr>
            <w:r>
              <w:rPr>
                <w:sz w:val="16"/>
              </w:rPr>
              <w:t xml:space="preserve">0.705</w:t>
            </w:r>
          </w:p>
        </w:tc>
        <w:tc>
          <w:tcPr>
            <w:tcW w:type="dxa" w:w="813"/>
          </w:tcPr>
          <w:p>
            <w:pPr>
              <w:pStyle w:val="Compact"/>
              <w:jc w:val="right"/>
            </w:pPr>
            <w:r>
              <w:rPr>
                <w:sz w:val="16"/>
              </w:rPr>
              <w:t xml:space="preserve">0.850</w:t>
            </w:r>
          </w:p>
        </w:tc>
        <w:tc>
          <w:tcPr>
            <w:tcW w:type="dxa" w:w="813"/>
          </w:tcPr>
          <w:p>
            <w:pPr>
              <w:pStyle w:val="Compact"/>
              <w:jc w:val="right"/>
            </w:pPr>
            <w:r>
              <w:rPr>
                <w:sz w:val="16"/>
              </w:rPr>
              <w:t xml:space="preserve">0.460</w:t>
            </w:r>
          </w:p>
        </w:tc>
        <w:tc>
          <w:tcPr>
            <w:tcW w:type="dxa" w:w="813"/>
          </w:tcPr>
          <w:p>
            <w:pPr>
              <w:pStyle w:val="Compact"/>
              <w:jc w:val="right"/>
            </w:pPr>
            <w:r>
              <w:rPr>
                <w:sz w:val="16"/>
              </w:rPr>
              <w:t xml:space="preserve">0.712</w:t>
            </w:r>
          </w:p>
        </w:tc>
        <w:tc>
          <w:tcPr>
            <w:tcW w:type="dxa" w:w="813"/>
          </w:tcPr>
          <w:p>
            <w:pPr>
              <w:pStyle w:val="Compact"/>
              <w:jc w:val="right"/>
            </w:pPr>
            <w:r>
              <w:rPr>
                <w:sz w:val="16"/>
              </w:rPr>
              <w:t xml:space="preserve">0.402</w:t>
            </w:r>
          </w:p>
        </w:tc>
        <w:tc>
          <w:tcPr>
            <w:tcW w:type="dxa" w:w="813"/>
          </w:tcPr>
          <w:p>
            <w:pPr>
              <w:pStyle w:val="Compact"/>
              <w:jc w:val="right"/>
            </w:pPr>
            <w:r>
              <w:rPr>
                <w:sz w:val="16"/>
              </w:rPr>
              <w:t xml:space="preserve">0.527</w:t>
            </w:r>
          </w:p>
        </w:tc>
        <w:tc>
          <w:tcPr>
            <w:tcW w:type="dxa" w:w="813"/>
          </w:tcPr>
          <w:p>
            <w:pPr>
              <w:pStyle w:val="Compact"/>
              <w:jc w:val="right"/>
            </w:pPr>
            <w:r>
              <w:rPr>
                <w:sz w:val="16"/>
              </w:rPr>
              <w:t xml:space="preserve">0.407</w:t>
            </w:r>
          </w:p>
        </w:tc>
        <w:tc>
          <w:tcPr>
            <w:tcW w:type="dxa" w:w="813"/>
          </w:tcPr>
          <w:p>
            <w:pPr>
              <w:pStyle w:val="Compact"/>
              <w:jc w:val="right"/>
            </w:pPr>
            <w:r>
              <w:rPr>
                <w:sz w:val="16"/>
              </w:rPr>
              <w:t xml:space="preserve">0.574</w:t>
            </w:r>
          </w:p>
        </w:tc>
      </w:tr>
      <w:tr>
        <w:tc>
          <w:tcPr>
            <w:tcW w:type="dxa" w:w="2448"/>
          </w:tcPr>
          <w:p>
            <w:pPr>
              <w:pStyle w:val="Compact"/>
              <w:jc w:val="left"/>
            </w:pP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i</m:t>
                  </m:r>
                  <m:r>
                    <m:rPr>
                      <m:sty m:val="p"/>
                    </m:rPr>
                    <m:t>n</m:t>
                  </m:r>
                  <m:r>
                    <m:rPr>
                      <m:sty m:val="p"/>
                    </m:rPr>
                    <m:t>i</m:t>
                  </m:r>
                  <m:r>
                    <m:rPr>
                      <m:sty m:val="p"/>
                    </m:rPr>
                    <m:t>t</m:t>
                  </m:r>
                </m:sub>
              </m:sSub>
            </m:oMath>
          </w:p>
        </w:tc>
        <w:tc>
          <w:tcPr>
            <w:tcW w:type="dxa" w:w="813"/>
          </w:tcPr>
          <w:p>
            <w:pPr>
              <w:pStyle w:val="Compact"/>
              <w:jc w:val="right"/>
            </w:pPr>
            <w:r>
              <w:rPr>
                <w:sz w:val="16"/>
              </w:rPr>
              <w:t xml:space="preserve">0.466</w:t>
            </w:r>
          </w:p>
        </w:tc>
        <w:tc>
          <w:tcPr>
            <w:tcW w:type="dxa" w:w="813"/>
          </w:tcPr>
          <w:p>
            <w:pPr>
              <w:pStyle w:val="Compact"/>
              <w:jc w:val="right"/>
            </w:pPr>
            <w:r>
              <w:rPr>
                <w:sz w:val="16"/>
              </w:rPr>
              <w:t xml:space="preserve">0.417</w:t>
            </w:r>
          </w:p>
        </w:tc>
        <w:tc>
          <w:tcPr>
            <w:tcW w:type="dxa" w:w="813"/>
          </w:tcPr>
          <w:p>
            <w:pPr>
              <w:pStyle w:val="Compact"/>
              <w:jc w:val="right"/>
            </w:pPr>
            <w:r>
              <w:rPr>
                <w:sz w:val="16"/>
              </w:rPr>
              <w:t xml:space="preserve">0.346</w:t>
            </w:r>
          </w:p>
        </w:tc>
        <w:tc>
          <w:tcPr>
            <w:tcW w:type="dxa" w:w="813"/>
          </w:tcPr>
          <w:p>
            <w:pPr>
              <w:pStyle w:val="Compact"/>
              <w:jc w:val="right"/>
            </w:pPr>
            <w:r>
              <w:rPr>
                <w:sz w:val="16"/>
              </w:rPr>
              <w:t xml:space="preserve">0.435</w:t>
            </w:r>
          </w:p>
        </w:tc>
        <w:tc>
          <w:tcPr>
            <w:tcW w:type="dxa" w:w="813"/>
          </w:tcPr>
          <w:p>
            <w:pPr>
              <w:pStyle w:val="Compact"/>
              <w:jc w:val="right"/>
            </w:pPr>
            <w:r>
              <w:rPr>
                <w:sz w:val="16"/>
              </w:rPr>
              <w:t xml:space="preserve">0.184</w:t>
            </w:r>
          </w:p>
        </w:tc>
        <w:tc>
          <w:tcPr>
            <w:tcW w:type="dxa" w:w="813"/>
          </w:tcPr>
          <w:p>
            <w:pPr>
              <w:pStyle w:val="Compact"/>
              <w:jc w:val="right"/>
            </w:pPr>
            <w:r>
              <w:rPr>
                <w:sz w:val="16"/>
              </w:rPr>
              <w:t xml:space="preserve">0.341</w:t>
            </w:r>
          </w:p>
        </w:tc>
        <w:tc>
          <w:tcPr>
            <w:tcW w:type="dxa" w:w="813"/>
          </w:tcPr>
          <w:p>
            <w:pPr>
              <w:pStyle w:val="Compact"/>
              <w:jc w:val="right"/>
            </w:pPr>
            <w:r>
              <w:rPr>
                <w:sz w:val="16"/>
              </w:rPr>
              <w:t xml:space="preserve">0.830</w:t>
            </w:r>
          </w:p>
        </w:tc>
        <w:tc>
          <w:tcPr>
            <w:tcW w:type="dxa" w:w="813"/>
          </w:tcPr>
          <w:p>
            <w:pPr>
              <w:pStyle w:val="Compact"/>
              <w:jc w:val="right"/>
            </w:pPr>
            <w:r>
              <w:rPr>
                <w:sz w:val="16"/>
              </w:rPr>
              <w:t xml:space="preserve">0.877</w:t>
            </w:r>
          </w:p>
        </w:tc>
        <w:tc>
          <w:tcPr>
            <w:tcW w:type="dxa" w:w="813"/>
          </w:tcPr>
          <w:p>
            <w:pPr>
              <w:pStyle w:val="Compact"/>
              <w:jc w:val="right"/>
            </w:pPr>
            <w:r>
              <w:rPr>
                <w:sz w:val="16"/>
              </w:rPr>
              <w:t xml:space="preserve">0.559</w:t>
            </w:r>
          </w:p>
        </w:tc>
        <w:tc>
          <w:tcPr>
            <w:tcW w:type="dxa" w:w="813"/>
          </w:tcPr>
          <w:p>
            <w:pPr>
              <w:pStyle w:val="Compact"/>
              <w:jc w:val="right"/>
            </w:pPr>
            <w:r>
              <w:rPr>
                <w:sz w:val="16"/>
              </w:rPr>
              <w:t xml:space="preserve">0.726</w:t>
            </w:r>
          </w:p>
        </w:tc>
        <w:tc>
          <w:tcPr>
            <w:tcW w:type="dxa" w:w="813"/>
          </w:tcPr>
          <w:p>
            <w:pPr>
              <w:pStyle w:val="Compact"/>
              <w:jc w:val="right"/>
            </w:pPr>
            <w:r>
              <w:rPr>
                <w:sz w:val="16"/>
              </w:rPr>
              <w:t xml:space="preserve">0.290</w:t>
            </w:r>
          </w:p>
        </w:tc>
        <w:tc>
          <w:tcPr>
            <w:tcW w:type="dxa" w:w="813"/>
          </w:tcPr>
          <w:p>
            <w:pPr>
              <w:pStyle w:val="Compact"/>
              <w:jc w:val="right"/>
            </w:pPr>
            <w:r>
              <w:rPr>
                <w:sz w:val="16"/>
              </w:rPr>
              <w:t xml:space="preserve">0.453</w:t>
            </w:r>
          </w:p>
        </w:tc>
        <w:tc>
          <w:tcPr>
            <w:tcW w:type="dxa" w:w="813"/>
          </w:tcPr>
          <w:p>
            <w:pPr>
              <w:pStyle w:val="Compact"/>
              <w:jc w:val="right"/>
            </w:pPr>
            <w:r>
              <w:rPr>
                <w:sz w:val="16"/>
              </w:rPr>
              <w:t xml:space="preserve">0.462</w:t>
            </w:r>
          </w:p>
        </w:tc>
        <w:tc>
          <w:tcPr>
            <w:tcW w:type="dxa" w:w="813"/>
          </w:tcPr>
          <w:p>
            <w:pPr>
              <w:pStyle w:val="Compact"/>
              <w:jc w:val="right"/>
            </w:pPr>
            <w:r>
              <w:rPr>
                <w:sz w:val="16"/>
              </w:rPr>
              <w:t xml:space="preserve">0.561</w:t>
            </w:r>
          </w:p>
        </w:tc>
      </w:tr>
      <w:tr>
        <w:tc>
          <w:tcPr>
            <w:tcW w:type="dxa" w:w="2448"/>
          </w:tcPr>
          <w:p>
            <w:pPr>
              <w:pStyle w:val="Compact"/>
              <w:jc w:val="left"/>
            </w:pPr>
            <w:r>
              <w:rPr>
                <w:sz w:val="16"/>
              </w:rPr>
              <w:t xml:space="preserve">RouterBSI</w:t>
            </w:r>
          </w:p>
        </w:tc>
        <w:tc>
          <w:tcPr>
            <w:tcW w:type="dxa" w:w="813"/>
          </w:tcPr>
          <w:p>
            <w:pPr>
              <w:pStyle w:val="Compact"/>
              <w:jc w:val="right"/>
            </w:pPr>
            <w:r>
              <w:rPr>
                <w:b/>
                <w:bCs/>
                <w:sz w:val="16"/>
              </w:rPr>
              <w:t xml:space="preserve">0.832</w:t>
            </w:r>
          </w:p>
        </w:tc>
        <w:tc>
          <w:tcPr>
            <w:tcW w:type="dxa" w:w="813"/>
          </w:tcPr>
          <w:p>
            <w:pPr>
              <w:pStyle w:val="Compact"/>
              <w:jc w:val="right"/>
            </w:pPr>
            <w:r>
              <w:rPr>
                <w:b/>
                <w:bCs/>
                <w:sz w:val="16"/>
              </w:rPr>
              <w:t xml:space="preserve">0.707</w:t>
            </w:r>
          </w:p>
        </w:tc>
        <w:tc>
          <w:tcPr>
            <w:tcW w:type="dxa" w:w="813"/>
          </w:tcPr>
          <w:p>
            <w:pPr>
              <w:pStyle w:val="Compact"/>
              <w:jc w:val="right"/>
            </w:pPr>
            <w:r>
              <w:rPr>
                <w:b/>
                <w:bCs/>
                <w:sz w:val="16"/>
              </w:rPr>
              <w:t xml:space="preserve">0.551</w:t>
            </w:r>
          </w:p>
        </w:tc>
        <w:tc>
          <w:tcPr>
            <w:tcW w:type="dxa" w:w="813"/>
          </w:tcPr>
          <w:p>
            <w:pPr>
              <w:pStyle w:val="Compact"/>
              <w:jc w:val="right"/>
            </w:pPr>
            <w:r>
              <w:rPr>
                <w:b/>
                <w:bCs/>
                <w:sz w:val="16"/>
              </w:rPr>
              <w:t xml:space="preserve">0.556</w:t>
            </w:r>
          </w:p>
        </w:tc>
        <w:tc>
          <w:tcPr>
            <w:tcW w:type="dxa" w:w="813"/>
          </w:tcPr>
          <w:p>
            <w:pPr>
              <w:pStyle w:val="Compact"/>
              <w:jc w:val="right"/>
            </w:pPr>
            <w:r>
              <w:rPr>
                <w:b/>
                <w:bCs/>
                <w:sz w:val="16"/>
              </w:rPr>
              <w:t xml:space="preserve">0.336</w:t>
            </w:r>
          </w:p>
        </w:tc>
        <w:tc>
          <w:tcPr>
            <w:tcW w:type="dxa" w:w="813"/>
          </w:tcPr>
          <w:p>
            <w:pPr>
              <w:pStyle w:val="Compact"/>
              <w:jc w:val="right"/>
            </w:pPr>
            <w:r>
              <w:rPr>
                <w:b/>
                <w:bCs/>
                <w:sz w:val="16"/>
              </w:rPr>
              <w:t xml:space="preserve">0.449</w:t>
            </w:r>
          </w:p>
        </w:tc>
        <w:tc>
          <w:tcPr>
            <w:tcW w:type="dxa" w:w="813"/>
          </w:tcPr>
          <w:p>
            <w:pPr>
              <w:pStyle w:val="Compact"/>
              <w:jc w:val="right"/>
            </w:pPr>
            <w:r>
              <w:rPr>
                <w:sz w:val="16"/>
              </w:rPr>
              <w:t xml:space="preserve">0.915</w:t>
            </w:r>
          </w:p>
        </w:tc>
        <w:tc>
          <w:tcPr>
            <w:tcW w:type="dxa" w:w="813"/>
          </w:tcPr>
          <w:p>
            <w:pPr>
              <w:pStyle w:val="Compact"/>
              <w:jc w:val="right"/>
            </w:pPr>
            <w:r>
              <w:rPr>
                <w:sz w:val="16"/>
              </w:rPr>
              <w:t xml:space="preserve">0.933</w:t>
            </w:r>
          </w:p>
        </w:tc>
        <w:tc>
          <w:tcPr>
            <w:tcW w:type="dxa" w:w="813"/>
          </w:tcPr>
          <w:p>
            <w:pPr>
              <w:pStyle w:val="Compact"/>
              <w:jc w:val="right"/>
            </w:pPr>
            <w:r>
              <w:rPr>
                <w:sz w:val="16"/>
              </w:rPr>
              <w:t xml:space="preserve">0.686</w:t>
            </w:r>
          </w:p>
        </w:tc>
        <w:tc>
          <w:tcPr>
            <w:tcW w:type="dxa" w:w="813"/>
          </w:tcPr>
          <w:p>
            <w:pPr>
              <w:pStyle w:val="Compact"/>
              <w:jc w:val="right"/>
            </w:pPr>
            <w:r>
              <w:rPr>
                <w:sz w:val="16"/>
              </w:rPr>
              <w:t xml:space="preserve">0.808</w:t>
            </w:r>
          </w:p>
        </w:tc>
        <w:tc>
          <w:tcPr>
            <w:tcW w:type="dxa" w:w="813"/>
          </w:tcPr>
          <w:p>
            <w:pPr>
              <w:pStyle w:val="Compact"/>
              <w:jc w:val="right"/>
            </w:pPr>
            <w:r>
              <w:rPr>
                <w:b/>
                <w:bCs/>
                <w:sz w:val="16"/>
              </w:rPr>
              <w:t xml:space="preserve">0.631</w:t>
            </w:r>
          </w:p>
        </w:tc>
        <w:tc>
          <w:tcPr>
            <w:tcW w:type="dxa" w:w="813"/>
          </w:tcPr>
          <w:p>
            <w:pPr>
              <w:pStyle w:val="Compact"/>
              <w:jc w:val="right"/>
            </w:pPr>
            <w:r>
              <w:rPr>
                <w:b/>
                <w:bCs/>
                <w:sz w:val="16"/>
              </w:rPr>
              <w:t xml:space="preserve">0.712</w:t>
            </w:r>
          </w:p>
        </w:tc>
        <w:tc>
          <w:tcPr>
            <w:tcW w:type="dxa" w:w="813"/>
          </w:tcPr>
          <w:p>
            <w:pPr>
              <w:pStyle w:val="Compact"/>
              <w:jc w:val="right"/>
            </w:pPr>
            <w:r>
              <w:rPr>
                <w:b/>
                <w:bCs/>
                <w:sz w:val="16"/>
              </w:rPr>
              <w:t xml:space="preserve">0.687</w:t>
            </w:r>
          </w:p>
        </w:tc>
        <w:tc>
          <w:tcPr>
            <w:tcW w:type="dxa" w:w="813"/>
          </w:tcPr>
          <w:p>
            <w:pPr>
              <w:pStyle w:val="Compact"/>
              <w:jc w:val="right"/>
            </w:pPr>
            <w:r>
              <w:rPr>
                <w:b/>
                <w:bCs/>
                <w:sz w:val="16"/>
              </w:rPr>
              <w:t xml:space="preserve">0.728</w:t>
            </w:r>
          </w:p>
        </w:tc>
      </w:tr>
    </w:tbl>
    <w:bookmarkEnd w:id="21"/>
    <w:bookmarkEnd w:id="22"/>
    <w:bookmarkStart w:id="23" w:name="selected-models."/>
    <w:p>
      <w:pPr>
        <w:pStyle w:val="Heading2"/>
      </w:pPr>
      <w:r>
        <w:t xml:space="preserve">Selected Models.</w:t>
      </w:r>
    </w:p>
    <w:p>
      <w:pPr>
        <w:pStyle w:val="FirstParagraph"/>
      </w:pPr>
      <w:r>
        <w:t xml:space="preserve">We evaluate five models spanning four open-weight checkpoints and one proprietary frontier model: Qwen3.5-4B</w:t>
      </w:r>
      <w:r>
        <w:t xml:space="preserve"> </w:t>
      </w:r>
      <w:r>
        <w:t xml:space="preserve">(Qwen Team 2026a)</w:t>
      </w:r>
      <w:r>
        <w:t xml:space="preserve">, Qwen3.8-27B</w:t>
      </w:r>
      <w:r>
        <w:t xml:space="preserve"> </w:t>
      </w:r>
      <w:r>
        <w:t xml:space="preserve">(Qwen Team 2026b)</w:t>
      </w:r>
      <w:r>
        <w:t xml:space="preserve">, Llama-3.3-70B-Instruct</w:t>
      </w:r>
      <w:r>
        <w:t xml:space="preserve"> </w:t>
      </w:r>
      <w:r>
        <w:t xml:space="preserve">(Meta 2024)</w:t>
      </w:r>
      <w:r>
        <w:t xml:space="preserve">, gpt-oss-120b</w:t>
      </w:r>
      <w:r>
        <w:t xml:space="preserve"> </w:t>
      </w:r>
      <w:r>
        <w:t xml:space="preserve">(OpenAI 2025)</w:t>
      </w:r>
      <w:r>
        <w:t xml:space="preserve">, and GPT-5.4</w:t>
      </w:r>
      <w:r>
        <w:t xml:space="preserve"> </w:t>
      </w:r>
      <w:r>
        <w:t xml:space="preserve">(OpenAI 2026)</w:t>
      </w:r>
      <w:r>
        <w:t xml:space="preserve">.</w:t>
      </w:r>
    </w:p>
    <w:bookmarkEnd w:id="23"/>
    <w:bookmarkStart w:id="24" w:name="baselines"/>
    <w:p>
      <w:pPr>
        <w:pStyle w:val="Heading2"/>
      </w:pPr>
      <w:r>
        <w:t xml:space="preserve">Baselines</w:t>
      </w:r>
    </w:p>
    <w:p>
      <w:pPr>
        <w:pStyle w:val="FirstParagraph"/>
      </w:pPr>
      <w:r>
        <w:t xml:space="preserve">We study retrieval, reranker, and selection baselines. The retrievers include sparse and dense retrievers</w:t>
      </w:r>
      <w:r>
        <w:t xml:space="preserve"> </w:t>
      </w:r>
      <w:r>
        <w:t xml:space="preserve">(Su et al. 2026)</w:t>
      </w:r>
      <w:r>
        <w:t xml:space="preserve"> </w:t>
      </w:r>
      <w:r>
        <w:t xml:space="preserve">and SkillSight, a hybrid retriever. They are trained on training split and frozen on validation and test splits. LLM Select is a static router, and LLM Direct and LLM Oracle are downstream performance baselines representing without skills and with ground-truth skill set, respectively</w:t>
      </w:r>
      <w:r>
        <w:t xml:space="preserve"> </w:t>
      </w:r>
      <w:r>
        <w:t xml:space="preserve">(Su et al. 2026)</w:t>
      </w:r>
      <w:r>
        <w:t xml:space="preserve">. The non-parametric optimization baselines are SkillDag and Skill-Pro</w:t>
      </w:r>
      <w:r>
        <w:t xml:space="preserve"> </w:t>
      </w:r>
      <w:r>
        <w:t xml:space="preserve">(Mi et al. 2026; Bai et al. 2026)</w:t>
      </w:r>
      <w:r>
        <w:t xml:space="preserve">.</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i</m:t>
            </m:r>
            <m:r>
              <m:rPr>
                <m:sty m:val="p"/>
              </m:rPr>
              <m:t>n</m:t>
            </m:r>
            <m:r>
              <m:rPr>
                <m:sty m:val="p"/>
              </m:rPr>
              <m:t>i</m:t>
            </m:r>
            <m:r>
              <m:rPr>
                <m:sty m:val="p"/>
              </m:rPr>
              <m:t>t</m:t>
            </m:r>
          </m:sub>
        </m:sSub>
      </m:oMath>
      <w:r>
        <w:t xml:space="preserve"> </w:t>
      </w:r>
      <w:r>
        <w:t xml:space="preserve">and RouterBSI refer to the cold-start and final iteration performance.</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s</m:t>
            </m:r>
            <m:r>
              <m:rPr>
                <m:sty m:val="p"/>
              </m:rPr>
              <m:t>t</m:t>
            </m:r>
            <m:r>
              <m:rPr>
                <m:sty m:val="p"/>
              </m:rPr>
              <m:t>r</m:t>
            </m:r>
            <m:r>
              <m:rPr>
                <m:sty m:val="p"/>
              </m:rPr>
              <m:t>i</m:t>
            </m:r>
            <m:r>
              <m:rPr>
                <m:sty m:val="p"/>
              </m:rPr>
              <m:t>c</m:t>
            </m:r>
            <m:r>
              <m:rPr>
                <m:sty m:val="p"/>
              </m:rPr>
              <m:t>t</m:t>
            </m:r>
          </m:sub>
        </m:sSub>
      </m:oMath>
      <w:r>
        <w:t xml:space="preserve"> </w:t>
      </w:r>
      <w:r>
        <w:t xml:space="preserve">selects skills only when their predicate evaluates to true.</w:t>
      </w:r>
      <w:r>
        <w:t xml:space="preserve"> </w:t>
      </w:r>
      <m:oMath>
        <m:sSub>
          <m:e>
            <m:r>
              <m:rPr>
                <m:sty m:val="p"/>
              </m:rPr>
              <m:t>R</m:t>
            </m:r>
            <m:r>
              <m:rPr>
                <m:sty m:val="p"/>
              </m:rPr>
              <m:t>o</m:t>
            </m:r>
            <m:r>
              <m:rPr>
                <m:sty m:val="p"/>
              </m:rPr>
              <m:t>u</m:t>
            </m:r>
            <m:r>
              <m:rPr>
                <m:sty m:val="p"/>
              </m:rPr>
              <m:t>t</m:t>
            </m:r>
            <m:r>
              <m:rPr>
                <m:sty m:val="p"/>
              </m:rPr>
              <m:t>e</m:t>
            </m:r>
            <m:r>
              <m:rPr>
                <m:sty m:val="p"/>
              </m:rPr>
              <m:t>r</m:t>
            </m:r>
            <m:r>
              <m:rPr>
                <m:sty m:val="p"/>
              </m:rPr>
              <m:t>B</m:t>
            </m:r>
            <m:r>
              <m:rPr>
                <m:sty m:val="p"/>
              </m:rPr>
              <m:t>S</m:t>
            </m:r>
            <m:r>
              <m:rPr>
                <m:sty m:val="p"/>
              </m:rPr>
              <m:t>I</m:t>
            </m:r>
          </m:e>
          <m:sub>
            <m:r>
              <m:rPr>
                <m:sty m:val="p"/>
              </m:rPr>
              <m:t>t</m:t>
            </m:r>
            <m:r>
              <m:rPr>
                <m:sty m:val="p"/>
              </m:rPr>
              <m:t>o</m:t>
            </m:r>
            <m:r>
              <m:rPr>
                <m:sty m:val="p"/>
              </m:rPr>
              <m:t>p</m:t>
            </m:r>
            <m:r>
              <m:t>k</m:t>
            </m:r>
          </m:sub>
        </m:sSub>
      </m:oMath>
      <w:r>
        <w:t xml:space="preserve"> </w:t>
      </w:r>
      <w:r>
        <w:t xml:space="preserve">are the top k skills using the sum of their predicate label and the retrieval score.</w:t>
      </w:r>
    </w:p>
    <w:bookmarkEnd w:id="24"/>
    <w:bookmarkStart w:id="62" w:name="implementation-details."/>
    <w:p>
      <w:pPr>
        <w:pStyle w:val="Heading2"/>
      </w:pPr>
      <w:r>
        <w:t xml:space="preserve">Implementation Details.</w:t>
      </w:r>
    </w:p>
    <w:p>
      <w:pPr>
        <w:pStyle w:val="FirstParagraph"/>
      </w:pPr>
      <w:r>
        <w:t xml:space="preserve">The retrievers use either pretrained embedding models or lexical matching, so they do not require training. Candidate skills are retrieved from the shared external skill corpus in response to the input query. The reranking and selection baselines are conditioned on the top 50 retrieved skills and use an optimization method to improve performance. SkillSight is the default retriever for reranking and selection baselines. The non-parametric baselines, including ours, do not output a continuous score like rerankers, so we rank them by the sum of their binary label and the retrieval score, where 1 is the label for selected skills and 0 otherwise. We use a temperature of 1 for proposing candidate predicates and 0 for evaluating predicates and downstream performance. RouterBSI is optimized over 10 iterations. Qwen3.5-4B is the default model used in our experiments.</w:t>
      </w:r>
    </w:p>
    <w:bookmarkStart w:id="28" w:name="fig:average_recall_degradation"/>
    <w:p>
      <w:pPr>
        <w:pStyle w:val="CaptionedFigure"/>
      </w:pPr>
      <w:r>
        <w:drawing>
          <wp:inline>
            <wp:extent cx="5334000" cy="2807368"/>
            <wp:effectExtent b="0" l="0" r="0" t="0"/>
            <wp:docPr descr="" title="" id="26" name="Picture"/>
            <a:graphic>
              <a:graphicData uri="http://schemas.openxmlformats.org/drawingml/2006/picture">
                <pic:pic>
                  <pic:nvPicPr>
                    <pic:cNvPr descr="/workspace/storage/healthcare_workspace/project_skill_selection/RouterBSIPaper/figs/average_recall_degradation/preview.png" id="27" name="Picture"/>
                    <pic:cNvPicPr>
                      <a:picLocks noChangeArrowheads="1" noChangeAspect="1"/>
                    </pic:cNvPicPr>
                  </pic:nvPicPr>
                  <pic:blipFill>
                    <a:blip r:embed="rId25"/>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Figure 3: Required-skill recall comparison as the number of selected skills decreases. Lines show task-weighted test Recall@k averaged equally across BM25, Vector, and SkillSight. The retriever baseline averages the three native retrievers.</w:t>
      </w:r>
    </w:p>
    <w:bookmarkEnd w:id="28"/>
    <w:bookmarkStart w:id="32" w:name="fig:downstream_average"/>
    <w:p>
      <w:pPr>
        <w:pStyle w:val="CaptionedFigure"/>
      </w:pPr>
      <w:r>
        <w:drawing>
          <wp:inline>
            <wp:extent cx="5334000" cy="2319878"/>
            <wp:effectExtent b="0" l="0" r="0" t="0"/>
            <wp:docPr descr="" title="" id="30" name="Picture"/>
            <a:graphic>
              <a:graphicData uri="http://schemas.openxmlformats.org/drawingml/2006/picture">
                <pic:pic>
                  <pic:nvPicPr>
                    <pic:cNvPr descr="/workspace/storage/healthcare_workspace/project_skill_selection/RouterBSIPaper/figs/downstream_average/preview.png" id="31" name="Picture"/>
                    <pic:cNvPicPr>
                      <a:picLocks noChangeArrowheads="1" noChangeAspect="1"/>
                    </pic:cNvPicPr>
                  </pic:nvPicPr>
                  <pic:blipFill>
                    <a:blip r:embed="rId29"/>
                    <a:stretch>
                      <a:fillRect/>
                    </a:stretch>
                  </pic:blipFill>
                  <pic:spPr bwMode="auto">
                    <a:xfrm>
                      <a:off x="0" y="0"/>
                      <a:ext cx="5334000" cy="2319878"/>
                    </a:xfrm>
                    <a:prstGeom prst="rect">
                      <a:avLst/>
                    </a:prstGeom>
                    <a:noFill/>
                    <a:ln w="9525">
                      <a:noFill/>
                      <a:headEnd/>
                      <a:tailEnd/>
                    </a:ln>
                  </pic:spPr>
                </pic:pic>
              </a:graphicData>
            </a:graphic>
          </wp:inline>
        </w:drawing>
      </w:r>
    </w:p>
    <w:p>
      <w:pPr>
        <w:pStyle w:val="ImageCaption"/>
      </w:pPr>
      <w:r>
        <w:t xml:space="preserve">Figure 4: Downstream performance comparison using Qwen3.5 4B. Bars show task-weighted success rates averaged equally across BM25 and SkillSight. Horizontal lines show the LLM Direct and LLM Oracle references.</w:t>
      </w:r>
    </w:p>
    <w:bookmarkEnd w:id="32"/>
    <w:bookmarkStart w:id="61" w:name="refs"/>
    <w:bookmarkStart w:id="34" w:name="ref-bai2026skilldag"/>
    <w:p>
      <w:pPr>
        <w:pStyle w:val="Bibliography"/>
      </w:pPr>
      <w:r>
        <w:t xml:space="preserve">Bai, Tong, Zhenglin Wan, Pengfei Zhou, Xingrui Yu, Yang You, and Ivor W. Tsang. 2026.</w:t>
      </w:r>
      <w:r>
        <w:t xml:space="preserve"> </w:t>
      </w:r>
      <w:r>
        <w:t xml:space="preserve">“</w:t>
      </w:r>
      <w:r>
        <w:t xml:space="preserve">SkillDAG</w:t>
      </w:r>
      <w:r>
        <w:t xml:space="preserve">: Self-Evolving Typed Skill Graphs for</w:t>
      </w:r>
      <w:r>
        <w:t xml:space="preserve"> </w:t>
      </w:r>
      <w:r>
        <w:t xml:space="preserve">LLM</w:t>
      </w:r>
      <w:r>
        <w:t xml:space="preserve"> </w:t>
      </w:r>
      <w:r>
        <w:t xml:space="preserve">Skill Selection at Scale.”</w:t>
      </w:r>
      <w:r>
        <w:t xml:space="preserve"> </w:t>
      </w:r>
      <w:hyperlink r:id="rId33">
        <w:r>
          <w:rPr>
            <w:rStyle w:val="Hyperlink"/>
          </w:rPr>
          <w:t xml:space="preserve">https://arxiv.org/abs/2606.03056</w:t>
        </w:r>
      </w:hyperlink>
      <w:r>
        <w:t xml:space="preserve">.</w:t>
      </w:r>
    </w:p>
    <w:bookmarkEnd w:id="34"/>
    <w:bookmarkStart w:id="36" w:name="ref-chen-etal-2023-theoremqa"/>
    <w:p>
      <w:pPr>
        <w:pStyle w:val="Bibliography"/>
      </w:pPr>
      <w:r>
        <w:t xml:space="preserve">Chen, Wenhu, Ming Yin, Max Ku, Pan Lu, Yixin Wan, Xueguang Ma, Jianyu Xu, Xinyi Wang, and Tony Xia. 2023.</w:t>
      </w:r>
      <w:r>
        <w:t xml:space="preserve"> </w:t>
      </w:r>
      <w:r>
        <w:t xml:space="preserve">“</w:t>
      </w:r>
      <w:r>
        <w:t xml:space="preserve">TheoremQA</w:t>
      </w:r>
      <w:r>
        <w:t xml:space="preserve">: A Theorem-Driven Question Answering Dataset.”</w:t>
      </w:r>
      <w:r>
        <w:t xml:space="preserve"> </w:t>
      </w:r>
      <w:r>
        <w:t xml:space="preserve">In</w:t>
      </w:r>
      <w:r>
        <w:t xml:space="preserve"> </w:t>
      </w:r>
      <w:r>
        <w:rPr>
          <w:i/>
          <w:iCs/>
        </w:rPr>
        <w:t xml:space="preserve">Proceedings of the 2023 Conference on Empirical Methods in Natural Language Processing</w:t>
      </w:r>
      <w:r>
        <w:t xml:space="preserve">, 7889–7901. Singapore: Association for Computational Linguistics.</w:t>
      </w:r>
      <w:r>
        <w:t xml:space="preserve"> </w:t>
      </w:r>
      <w:hyperlink r:id="rId35">
        <w:r>
          <w:rPr>
            <w:rStyle w:val="Hyperlink"/>
          </w:rPr>
          <w:t xml:space="preserve">https://doi.org/10.18653/v1/2023.emnlp-main.489</w:t>
        </w:r>
      </w:hyperlink>
      <w:r>
        <w:t xml:space="preserve">.</w:t>
      </w:r>
    </w:p>
    <w:bookmarkEnd w:id="36"/>
    <w:bookmarkStart w:id="38" w:name="ref-NEURIPS2024_99e81750"/>
    <w:p>
      <w:pPr>
        <w:pStyle w:val="Bibliography"/>
      </w:pPr>
      <w:r>
        <w:t xml:space="preserve">Khandekar, Nikhil, Qiao Jin, Guangzhi Xiong, Soren Dunn, Serina S Applebaum, Zain Anwar, Maame Sarfo-Gyamfi, et al. 2024.</w:t>
      </w:r>
      <w:r>
        <w:t xml:space="preserve"> </w:t>
      </w:r>
      <w:r>
        <w:t xml:space="preserve">“</w:t>
      </w:r>
      <w:r>
        <w:t xml:space="preserve">MedCalc-Bench</w:t>
      </w:r>
      <w:r>
        <w:t xml:space="preserve">: Evaluating Large Language Models for Medical Calculations.”</w:t>
      </w:r>
      <w:r>
        <w:t xml:space="preserve"> </w:t>
      </w:r>
      <w:r>
        <w:t xml:space="preserve">In</w:t>
      </w:r>
      <w:r>
        <w:t xml:space="preserve"> </w:t>
      </w:r>
      <w:r>
        <w:rPr>
          <w:i/>
          <w:iCs/>
        </w:rPr>
        <w:t xml:space="preserve">Advances in Neural Information Processing Systems</w:t>
      </w:r>
      <w:r>
        <w:t xml:space="preserve">, 37:84730–45. Curran Associates, Inc.</w:t>
      </w:r>
      <w:r>
        <w:t xml:space="preserve"> </w:t>
      </w:r>
      <w:hyperlink r:id="rId37">
        <w:r>
          <w:rPr>
            <w:rStyle w:val="Hyperlink"/>
          </w:rPr>
          <w:t xml:space="preserve">https://doi.org/10.52202/079017-2690</w:t>
        </w:r>
      </w:hyperlink>
      <w:r>
        <w:t xml:space="preserve">.</w:t>
      </w:r>
    </w:p>
    <w:bookmarkEnd w:id="38"/>
    <w:bookmarkStart w:id="40" w:name="ref-mao-etal-2024-champ"/>
    <w:p>
      <w:pPr>
        <w:pStyle w:val="Bibliography"/>
      </w:pPr>
      <w:r>
        <w:t xml:space="preserve">Mao, Yujun, Yoon Kim, and Yilun Zhou. 2024.</w:t>
      </w:r>
      <w:r>
        <w:t xml:space="preserve"> </w:t>
      </w:r>
      <w:r>
        <w:t xml:space="preserve">“</w:t>
      </w:r>
      <w:r>
        <w:t xml:space="preserve">CHAMP</w:t>
      </w:r>
      <w:r>
        <w:t xml:space="preserve">: A Competition-Level Dataset for Fine-Grained Analyses of</w:t>
      </w:r>
      <w:r>
        <w:t xml:space="preserve"> </w:t>
      </w:r>
      <w:r>
        <w:t xml:space="preserve">LLMs</w:t>
      </w:r>
      <w:r>
        <w:t xml:space="preserve">’ Mathematical Reasoning Capabilities.”</w:t>
      </w:r>
      <w:r>
        <w:t xml:space="preserve"> </w:t>
      </w:r>
      <w:r>
        <w:t xml:space="preserve">In</w:t>
      </w:r>
      <w:r>
        <w:t xml:space="preserve"> </w:t>
      </w:r>
      <w:r>
        <w:rPr>
          <w:i/>
          <w:iCs/>
        </w:rPr>
        <w:t xml:space="preserve">Findings of the Association for Computational Linguistics: ACL 2024</w:t>
      </w:r>
      <w:r>
        <w:t xml:space="preserve">, 13256–74. Bangkok, Thailand: Association for Computational Linguistics.</w:t>
      </w:r>
      <w:r>
        <w:t xml:space="preserve"> </w:t>
      </w:r>
      <w:hyperlink r:id="rId39">
        <w:r>
          <w:rPr>
            <w:rStyle w:val="Hyperlink"/>
          </w:rPr>
          <w:t xml:space="preserve">https://doi.org/10.18653/v1/2024.findings-acl.785</w:t>
        </w:r>
      </w:hyperlink>
      <w:r>
        <w:t xml:space="preserve">.</w:t>
      </w:r>
    </w:p>
    <w:bookmarkEnd w:id="40"/>
    <w:bookmarkStart w:id="42" w:name="ref-meta2024llama33"/>
    <w:p>
      <w:pPr>
        <w:pStyle w:val="Bibliography"/>
      </w:pPr>
      <w:r>
        <w:t xml:space="preserve">Meta. 2024.</w:t>
      </w:r>
      <w:r>
        <w:t xml:space="preserve"> </w:t>
      </w:r>
      <w:r>
        <w:t xml:space="preserve">“Llama 3.3 Model Card.”</w:t>
      </w:r>
      <w:r>
        <w:t xml:space="preserve"> </w:t>
      </w:r>
      <w:hyperlink r:id="rId41">
        <w:r>
          <w:rPr>
            <w:rStyle w:val="Hyperlink"/>
          </w:rPr>
          <w:t xml:space="preserve">https://github.com/meta-llama/llama-models/blob/main/models/llama3\_3/MODEL\_CARD.md</w:t>
        </w:r>
      </w:hyperlink>
      <w:r>
        <w:t xml:space="preserve">.</w:t>
      </w:r>
    </w:p>
    <w:bookmarkEnd w:id="42"/>
    <w:bookmarkStart w:id="44" w:name="ref-pmlr-v306-mi26d"/>
    <w:p>
      <w:pPr>
        <w:pStyle w:val="Bibliography"/>
      </w:pPr>
      <w:r>
        <w:t xml:space="preserve">Mi, Qirui, Zhijian Ma, Mengyue Yang, Haoxuan Li, Yisen Wang, Haifeng Zhang, and Jun Wang. 2026.</w:t>
      </w:r>
      <w:r>
        <w:t xml:space="preserve"> </w:t>
      </w:r>
      <w:r>
        <w:t xml:space="preserve">“</w:t>
      </w:r>
      <w:r>
        <w:t xml:space="preserve">Skill-Pro</w:t>
      </w:r>
      <w:r>
        <w:t xml:space="preserve">: Learning Reusable Skills from Experience via Non-Parametric</w:t>
      </w:r>
      <w:r>
        <w:t xml:space="preserve"> </w:t>
      </w:r>
      <w:r>
        <w:t xml:space="preserve">PPO</w:t>
      </w:r>
      <w:r>
        <w:t xml:space="preserve"> </w:t>
      </w:r>
      <w:r>
        <w:t xml:space="preserve">for</w:t>
      </w:r>
      <w:r>
        <w:t xml:space="preserve"> </w:t>
      </w:r>
      <w:r>
        <w:t xml:space="preserve">LLM</w:t>
      </w:r>
      <w:r>
        <w:t xml:space="preserve"> </w:t>
      </w:r>
      <w:r>
        <w:t xml:space="preserve">Agents.”</w:t>
      </w:r>
      <w:r>
        <w:t xml:space="preserve"> </w:t>
      </w:r>
      <w:r>
        <w:t xml:space="preserve">In</w:t>
      </w:r>
      <w:r>
        <w:t xml:space="preserve"> </w:t>
      </w:r>
      <w:r>
        <w:rPr>
          <w:i/>
          <w:iCs/>
        </w:rPr>
        <w:t xml:space="preserve">Proceedings of the 43rd International Conference on Machine Learning</w:t>
      </w:r>
      <w:r>
        <w:t xml:space="preserve">, 306:88574–95. Proceedings of Machine Learning Research. PMLR.</w:t>
      </w:r>
      <w:r>
        <w:t xml:space="preserve"> </w:t>
      </w:r>
      <w:hyperlink r:id="rId43">
        <w:r>
          <w:rPr>
            <w:rStyle w:val="Hyperlink"/>
          </w:rPr>
          <w:t xml:space="preserve">https://proceedings.mlr.press/v306/mi26d.html</w:t>
        </w:r>
      </w:hyperlink>
      <w:r>
        <w:t xml:space="preserve">.</w:t>
      </w:r>
    </w:p>
    <w:bookmarkEnd w:id="44"/>
    <w:bookmarkStart w:id="46" w:name="ref-openai2025gptoss"/>
    <w:p>
      <w:pPr>
        <w:pStyle w:val="Bibliography"/>
      </w:pPr>
      <w:r>
        <w:t xml:space="preserve">OpenAI. 2025.</w:t>
      </w:r>
      <w:r>
        <w:t xml:space="preserve"> </w:t>
      </w:r>
      <w:r>
        <w:t xml:space="preserve">“</w:t>
      </w:r>
      <w:r>
        <w:t xml:space="preserve">gpt-oss-120b</w:t>
      </w:r>
      <w:r>
        <w:t xml:space="preserve"> </w:t>
      </w:r>
      <w:r>
        <w:t xml:space="preserve">&amp;</w:t>
      </w:r>
      <w:r>
        <w:t xml:space="preserve"> </w:t>
      </w:r>
      <w:r>
        <w:t xml:space="preserve">gpt-oss-20b</w:t>
      </w:r>
      <w:r>
        <w:t xml:space="preserve"> </w:t>
      </w:r>
      <w:r>
        <w:t xml:space="preserve">Model Card.”</w:t>
      </w:r>
      <w:r>
        <w:t xml:space="preserve"> </w:t>
      </w:r>
      <w:hyperlink r:id="rId45">
        <w:r>
          <w:rPr>
            <w:rStyle w:val="Hyperlink"/>
          </w:rPr>
          <w:t xml:space="preserve">https://arxiv.org/abs/2508.10925</w:t>
        </w:r>
      </w:hyperlink>
      <w:r>
        <w:t xml:space="preserve">.</w:t>
      </w:r>
    </w:p>
    <w:bookmarkEnd w:id="46"/>
    <w:bookmarkStart w:id="48" w:name="ref-openai2026gpt54"/>
    <w:p>
      <w:pPr>
        <w:pStyle w:val="Bibliography"/>
      </w:pPr>
      <w:r>
        <w:t xml:space="preserve">———. 2026.</w:t>
      </w:r>
      <w:r>
        <w:t xml:space="preserve"> </w:t>
      </w:r>
      <w:r>
        <w:t xml:space="preserve">“Introducing</w:t>
      </w:r>
      <w:r>
        <w:t xml:space="preserve"> </w:t>
      </w:r>
      <w:r>
        <w:t xml:space="preserve">GPT-5.4</w:t>
      </w:r>
      <w:r>
        <w:t xml:space="preserve">.”</w:t>
      </w:r>
      <w:r>
        <w:t xml:space="preserve"> </w:t>
      </w:r>
      <w:hyperlink r:id="rId47">
        <w:r>
          <w:rPr>
            <w:rStyle w:val="Hyperlink"/>
          </w:rPr>
          <w:t xml:space="preserve">https://openai.com/index/introducing-gpt-5-4/</w:t>
        </w:r>
      </w:hyperlink>
      <w:r>
        <w:t xml:space="preserve">.</w:t>
      </w:r>
    </w:p>
    <w:bookmarkEnd w:id="48"/>
    <w:bookmarkStart w:id="50" w:name="ref-parmar-etal-2024-logicbench"/>
    <w:p>
      <w:pPr>
        <w:pStyle w:val="Bibliography"/>
      </w:pPr>
      <w:r>
        <w:t xml:space="preserve">Parmar, Mihir, Nisarg Patel, Neeraj Varshney, Mutsumi Nakamura, Man Luo, Santosh Mashetty, Arindam Mitra, and Chitta Baral. 2024.</w:t>
      </w:r>
      <w:r>
        <w:t xml:space="preserve"> </w:t>
      </w:r>
      <w:r>
        <w:t xml:space="preserve">“</w:t>
      </w:r>
      <w:r>
        <w:t xml:space="preserve">LogicBench</w:t>
      </w:r>
      <w:r>
        <w:t xml:space="preserve">: Towards Systematic Evaluation of Logical Reasoning Ability of Large Language Models.”</w:t>
      </w:r>
      <w:r>
        <w:t xml:space="preserve"> </w:t>
      </w:r>
      <w:r>
        <w:t xml:space="preserve">In</w:t>
      </w:r>
      <w:r>
        <w:t xml:space="preserve"> </w:t>
      </w:r>
      <w:r>
        <w:rPr>
          <w:i/>
          <w:iCs/>
        </w:rPr>
        <w:t xml:space="preserve">Proceedings of the 62nd Annual Meeting of the Association for Computational Linguistics (Volume 1: Long Papers)</w:t>
      </w:r>
      <w:r>
        <w:t xml:space="preserve">, 13679–707. Bangkok, Thailand: Association for Computational Linguistics.</w:t>
      </w:r>
      <w:r>
        <w:t xml:space="preserve"> </w:t>
      </w:r>
      <w:hyperlink r:id="rId49">
        <w:r>
          <w:rPr>
            <w:rStyle w:val="Hyperlink"/>
          </w:rPr>
          <w:t xml:space="preserve">https://doi.org/10.18653/v1/2024.acl-long.739</w:t>
        </w:r>
      </w:hyperlink>
      <w:r>
        <w:t xml:space="preserve">.</w:t>
      </w:r>
    </w:p>
    <w:bookmarkEnd w:id="50"/>
    <w:bookmarkStart w:id="52" w:name="ref-qwen2026qwen35"/>
    <w:p>
      <w:pPr>
        <w:pStyle w:val="Bibliography"/>
      </w:pPr>
      <w:r>
        <w:t xml:space="preserve">Qwen Team. 2026a.</w:t>
      </w:r>
      <w:r>
        <w:t xml:space="preserve"> </w:t>
      </w:r>
      <w:r>
        <w:t xml:space="preserve">“Qwen3.5: Towards Native Multimodal Agents.”</w:t>
      </w:r>
      <w:r>
        <w:t xml:space="preserve"> </w:t>
      </w:r>
      <w:hyperlink r:id="rId51">
        <w:r>
          <w:rPr>
            <w:rStyle w:val="Hyperlink"/>
          </w:rPr>
          <w:t xml:space="preserve">https://qwen.ai/blog?id=qwen3.5</w:t>
        </w:r>
      </w:hyperlink>
      <w:r>
        <w:t xml:space="preserve">.</w:t>
      </w:r>
    </w:p>
    <w:bookmarkEnd w:id="52"/>
    <w:bookmarkStart w:id="54" w:name="ref-qwen2026qwen38"/>
    <w:p>
      <w:pPr>
        <w:pStyle w:val="Bibliography"/>
      </w:pPr>
      <w:r>
        <w:t xml:space="preserve">———. 2026b.</w:t>
      </w:r>
      <w:r>
        <w:t xml:space="preserve"> </w:t>
      </w:r>
      <w:r>
        <w:t xml:space="preserve">“Qwen3.8-Max: A New Bar for Coding and Cowork.”</w:t>
      </w:r>
      <w:r>
        <w:t xml:space="preserve"> </w:t>
      </w:r>
      <w:hyperlink r:id="rId53">
        <w:r>
          <w:rPr>
            <w:rStyle w:val="Hyperlink"/>
          </w:rPr>
          <w:t xml:space="preserve">https://qwen.ai/blog?id=qwen3.8</w:t>
        </w:r>
      </w:hyperlink>
      <w:r>
        <w:t xml:space="preserve">.</w:t>
      </w:r>
    </w:p>
    <w:bookmarkEnd w:id="54"/>
    <w:bookmarkStart w:id="56" w:name="ref-su2026skillretrieval"/>
    <w:p>
      <w:pPr>
        <w:pStyle w:val="Bibliography"/>
      </w:pPr>
      <w:r>
        <w:t xml:space="preserve">Su, Weihang, Jianming Long, Qingyao Ai, Qiaozhi He, Yichen Tang, Changyue Wang, Yiteng Tu, Yingbo Wang, and Yiqun Liu. 2026.</w:t>
      </w:r>
      <w:r>
        <w:t xml:space="preserve"> </w:t>
      </w:r>
      <w:r>
        <w:t xml:space="preserve">“Skill Retrieval Augmentation for Agentic</w:t>
      </w:r>
      <w:r>
        <w:t xml:space="preserve"> </w:t>
      </w:r>
      <w:r>
        <w:t xml:space="preserve">AI</w:t>
      </w:r>
      <w:r>
        <w:t xml:space="preserve">.”</w:t>
      </w:r>
      <w:r>
        <w:t xml:space="preserve"> </w:t>
      </w:r>
      <w:hyperlink r:id="rId55">
        <w:r>
          <w:rPr>
            <w:rStyle w:val="Hyperlink"/>
          </w:rPr>
          <w:t xml:space="preserve">https://arxiv.org/abs/2604.24594</w:t>
        </w:r>
      </w:hyperlink>
      <w:r>
        <w:t xml:space="preserve">.</w:t>
      </w:r>
    </w:p>
    <w:bookmarkEnd w:id="56"/>
    <w:bookmarkStart w:id="58" w:name="ref-NEURIPS2023_9cb2a749"/>
    <w:p>
      <w:pPr>
        <w:pStyle w:val="Bibliography"/>
      </w:pPr>
      <w:r>
        <w:t xml:space="preserve">Zhuang, Yuchen, Yue Yu, Kuan Wang, Haotian Sun, and Chao Zhang. 2023.</w:t>
      </w:r>
      <w:r>
        <w:t xml:space="preserve"> </w:t>
      </w:r>
      <w:r>
        <w:t xml:space="preserve">“</w:t>
      </w:r>
      <w:r>
        <w:t xml:space="preserve">ToolQA</w:t>
      </w:r>
      <w:r>
        <w:t xml:space="preserve">: A Dataset for</w:t>
      </w:r>
      <w:r>
        <w:t xml:space="preserve"> </w:t>
      </w:r>
      <w:r>
        <w:t xml:space="preserve">LLM</w:t>
      </w:r>
      <w:r>
        <w:t xml:space="preserve"> </w:t>
      </w:r>
      <w:r>
        <w:t xml:space="preserve">Question Answering with External Tools.”</w:t>
      </w:r>
      <w:r>
        <w:t xml:space="preserve"> </w:t>
      </w:r>
      <w:r>
        <w:t xml:space="preserve">In</w:t>
      </w:r>
      <w:r>
        <w:t xml:space="preserve"> </w:t>
      </w:r>
      <w:r>
        <w:rPr>
          <w:i/>
          <w:iCs/>
        </w:rPr>
        <w:t xml:space="preserve">Advances in Neural Information Processing Systems</w:t>
      </w:r>
      <w:r>
        <w:t xml:space="preserve">, 36:50117–43. Curran Associates, Inc.</w:t>
      </w:r>
      <w:r>
        <w:t xml:space="preserve"> </w:t>
      </w:r>
      <w:hyperlink r:id="rId57">
        <w:r>
          <w:rPr>
            <w:rStyle w:val="Hyperlink"/>
          </w:rPr>
          <w:t xml:space="preserve">https://doi.org/10.52202/075280-2180</w:t>
        </w:r>
      </w:hyperlink>
      <w:r>
        <w:t xml:space="preserve">.</w:t>
      </w:r>
    </w:p>
    <w:bookmarkEnd w:id="58"/>
    <w:bookmarkStart w:id="60" w:name="ref-ICLR2025_a6a90bcc"/>
    <w:p>
      <w:pPr>
        <w:pStyle w:val="Bibliography"/>
      </w:pPr>
      <w:r>
        <w:t xml:space="preserve">Zhuo, Terry Yue, Minh Chien Vu, Jenny Chim, Han Hu, Wenhao Yu, Ratnadira Widyasari, Imam Nur Bani Yusuf, et al. 2025.</w:t>
      </w:r>
      <w:r>
        <w:t xml:space="preserve"> </w:t>
      </w:r>
      <w:r>
        <w:t xml:space="preserve">“</w:t>
      </w:r>
      <w:r>
        <w:t xml:space="preserve">BigCodeBench</w:t>
      </w:r>
      <w:r>
        <w:t xml:space="preserve">: Benchmarking Code Generation with Diverse Function Calls and Complex Instructions.”</w:t>
      </w:r>
      <w:r>
        <w:t xml:space="preserve"> </w:t>
      </w:r>
      <w:r>
        <w:t xml:space="preserve">In</w:t>
      </w:r>
      <w:r>
        <w:t xml:space="preserve"> </w:t>
      </w:r>
      <w:r>
        <w:rPr>
          <w:i/>
          <w:iCs/>
        </w:rPr>
        <w:t xml:space="preserve">International Conference on Learning Representations</w:t>
      </w:r>
      <w:r>
        <w:t xml:space="preserve">, 2025:66602–56.</w:t>
      </w:r>
      <w:r>
        <w:t xml:space="preserve"> </w:t>
      </w:r>
      <w:hyperlink r:id="rId59">
        <w:r>
          <w:rPr>
            <w:rStyle w:val="Hyperlink"/>
          </w:rPr>
          <w:t xml:space="preserve">https://proceedings.iclr.cc/paper\_files/paper/2025/file/a6a90bcc2aa470c3871b2d39a67d26e8-Paper-Conference.pdf</w:t>
        </w:r>
      </w:hyperlink>
      <w:r>
        <w:t xml:space="preserve">.</w:t>
      </w:r>
    </w:p>
    <w:bookmarkEnd w:id="60"/>
    <w:bookmarkEnd w:id="61"/>
    <w:bookmarkEnd w:id="62"/>
    <w:bookmarkEnd w:id="63"/>
    <w:sectPr>
      <w:footnotePr>
        <w:numRestart w:val="eachSect"/>
      </w:footnotePr>
      <w:pgSz w:w="15840" w:h="122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9" Type="http://schemas.openxmlformats.org/officeDocument/2006/relationships/image" Target="media/rId29.png"/><Relationship Id="rId45" Type="http://schemas.openxmlformats.org/officeDocument/2006/relationships/hyperlink" Target="https://arxiv.org/abs/2508.10925" TargetMode="External"/><Relationship Id="rId55" Type="http://schemas.openxmlformats.org/officeDocument/2006/relationships/hyperlink" Target="https://arxiv.org/abs/2604.24594" TargetMode="External"/><Relationship Id="rId33" Type="http://schemas.openxmlformats.org/officeDocument/2006/relationships/hyperlink" Target="https://arxiv.org/abs/2606.03056" TargetMode="External"/><Relationship Id="rId35" Type="http://schemas.openxmlformats.org/officeDocument/2006/relationships/hyperlink" Target="https://doi.org/10.18653/v1/2023.emnlp-main.489" TargetMode="External"/><Relationship Id="rId49" Type="http://schemas.openxmlformats.org/officeDocument/2006/relationships/hyperlink" Target="https://doi.org/10.18653/v1/2024.acl-long.739" TargetMode="External"/><Relationship Id="rId39" Type="http://schemas.openxmlformats.org/officeDocument/2006/relationships/hyperlink" Target="https://doi.org/10.18653/v1/2024.findings-acl.785" TargetMode="External"/><Relationship Id="rId57" Type="http://schemas.openxmlformats.org/officeDocument/2006/relationships/hyperlink" Target="https://doi.org/10.52202/075280-2180" TargetMode="External"/><Relationship Id="rId37" Type="http://schemas.openxmlformats.org/officeDocument/2006/relationships/hyperlink" Target="https://doi.org/10.52202/079017-2690" TargetMode="External"/><Relationship Id="rId41" Type="http://schemas.openxmlformats.org/officeDocument/2006/relationships/hyperlink" Target="https://github.com/meta-llama/llama-models/blob/main/models/llama3\_3/MODEL\_CARD.md" TargetMode="External"/><Relationship Id="rId47" Type="http://schemas.openxmlformats.org/officeDocument/2006/relationships/hyperlink" Target="https://openai.com/index/introducing-gpt-5-4/" TargetMode="External"/><Relationship Id="rId59" Type="http://schemas.openxmlformats.org/officeDocument/2006/relationships/hyperlink" Target="https://proceedings.iclr.cc/paper\_files/paper/2025/file/a6a90bcc2aa470c3871b2d39a67d26e8-Paper-Conference.pdf" TargetMode="External"/><Relationship Id="rId43" Type="http://schemas.openxmlformats.org/officeDocument/2006/relationships/hyperlink" Target="https://proceedings.mlr.press/v306/mi26d.html" TargetMode="External"/><Relationship Id="rId51" Type="http://schemas.openxmlformats.org/officeDocument/2006/relationships/hyperlink" Target="https://qwen.ai/blog?id=qwen3.5" TargetMode="External"/><Relationship Id="rId53" Type="http://schemas.openxmlformats.org/officeDocument/2006/relationships/hyperlink" Target="https://qwen.ai/blog?id=qwen3.8"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arxiv.org/abs/2508.10925" TargetMode="External"/><Relationship Id="rId55" Type="http://schemas.openxmlformats.org/officeDocument/2006/relationships/hyperlink" Target="https://arxiv.org/abs/2604.24594" TargetMode="External"/><Relationship Id="rId33" Type="http://schemas.openxmlformats.org/officeDocument/2006/relationships/hyperlink" Target="https://arxiv.org/abs/2606.03056" TargetMode="External"/><Relationship Id="rId35" Type="http://schemas.openxmlformats.org/officeDocument/2006/relationships/hyperlink" Target="https://doi.org/10.18653/v1/2023.emnlp-main.489" TargetMode="External"/><Relationship Id="rId49" Type="http://schemas.openxmlformats.org/officeDocument/2006/relationships/hyperlink" Target="https://doi.org/10.18653/v1/2024.acl-long.739" TargetMode="External"/><Relationship Id="rId39" Type="http://schemas.openxmlformats.org/officeDocument/2006/relationships/hyperlink" Target="https://doi.org/10.18653/v1/2024.findings-acl.785" TargetMode="External"/><Relationship Id="rId57" Type="http://schemas.openxmlformats.org/officeDocument/2006/relationships/hyperlink" Target="https://doi.org/10.52202/075280-2180" TargetMode="External"/><Relationship Id="rId37" Type="http://schemas.openxmlformats.org/officeDocument/2006/relationships/hyperlink" Target="https://doi.org/10.52202/079017-2690" TargetMode="External"/><Relationship Id="rId41" Type="http://schemas.openxmlformats.org/officeDocument/2006/relationships/hyperlink" Target="https://github.com/meta-llama/llama-models/blob/main/models/llama3\_3/MODEL\_CARD.md" TargetMode="External"/><Relationship Id="rId47" Type="http://schemas.openxmlformats.org/officeDocument/2006/relationships/hyperlink" Target="https://openai.com/index/introducing-gpt-5-4/" TargetMode="External"/><Relationship Id="rId59" Type="http://schemas.openxmlformats.org/officeDocument/2006/relationships/hyperlink" Target="https://proceedings.iclr.cc/paper\_files/paper/2025/file/a6a90bcc2aa470c3871b2d39a67d26e8-Paper-Conference.pdf" TargetMode="External"/><Relationship Id="rId43" Type="http://schemas.openxmlformats.org/officeDocument/2006/relationships/hyperlink" Target="https://proceedings.mlr.press/v306/mi26d.html" TargetMode="External"/><Relationship Id="rId51" Type="http://schemas.openxmlformats.org/officeDocument/2006/relationships/hyperlink" Target="https://qwen.ai/blog?id=qwen3.5" TargetMode="External"/><Relationship Id="rId53" Type="http://schemas.openxmlformats.org/officeDocument/2006/relationships/hyperlink" Target="https://qwen.ai/blog?id=qwen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2026-10-12T15:29:33Z</dcterms:created>
  <dcterms:modified xsi:type="dcterms:W3CDTF">2026-10-12T15:29:33Z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