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ations"/>
    <w:p>
      <w:pPr>
        <w:pStyle w:val="Heading1"/>
      </w:pPr>
      <w:r>
        <w:t xml:space="preserve">Limitations</w:t>
      </w:r>
    </w:p>
    <w:p>
      <w:pPr>
        <w:pStyle w:val="FirstParagraph"/>
      </w:pPr>
      <w:r>
        <w:t xml:space="preserve">Our approach has three limitations. First, training is computationally expensive, although optimization converges on the training data and improves overall routing performance. Second, we do not provide a protocol for determining which skills a task requires. The method therefore relies on human annotations or an external labeling mechanism, making optimization dependent on the availability and accuracy of these labels. Third, we keep the predicate checker’s instructions fixed, even though errors in interpreting predicates can lead to incorrect skill selections. Our algorithm indirectly improves checking performance by generating and selecting predicate formulations that the checker evaluates more accurately against labeled tasks; however, it does not directly address weaknesses in the checker’s instructions.</w:t>
      </w:r>
    </w:p>
    <w:bookmarkEnd w:id="20"/>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2026-10-12T15:29:34Z</dcterms:created>
  <dcterms:modified xsi:type="dcterms:W3CDTF">2026-10-12T15:29:34Z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