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ablations"/>
    <w:p>
      <w:pPr>
        <w:pStyle w:val="Heading1"/>
      </w:pPr>
      <w:r>
        <w:t xml:space="preserve">Ablations</w:t>
      </w:r>
    </w:p>
    <w:bookmarkStart w:id="28" w:name="Xf360b43a8140c1378bbf8f0a6cce22c67c90ecb"/>
    <w:p>
      <w:pPr>
        <w:pStyle w:val="Heading2"/>
      </w:pPr>
      <w:r>
        <w:t xml:space="preserve">Impact of MBR based on Replay and Held-out Validation Gate</w:t>
      </w:r>
    </w:p>
    <w:p>
      <w:pPr>
        <w:pStyle w:val="FirstParagraph"/>
      </w:pPr>
      <w:r>
        <w:t xml:space="preserve">Across three runs for each retriever, MBR with bounded replay alone achieved higher final performance on test dataset than the held-out validation gate alone: F1 increased from 0.440 to 0.527 and nDCG@10 from 0.683 to 0.736, relative improvements of 19.8% and 7.8%, respectively. Combining MBR with the held-out gate further improved final performance on unseen test tasks, increasing F1 by 3.47% and nDCG@10 by 0.32% compared with MBR alone. Disabling both only increases F1 and nDCG@10 by 11.4% and 6.1% which is much lower than the 81.8% and 18.7% increase when both are enabled. This supports empirical update selection without implying that unchecked updates invariably worsen performance. With both components enabled, diminishing returns appeared around iteration 5, by which point 96.8% of the final F1 gain and 96.1% of the final nDCG@10 gain had accrued. Later iterations added only 0.008 F1 and 0.005 nDCG@10, indicating an approximate plateau. This suggest diminishing opportunities for useful predicate refinement on the plateau: early iterations correct broad, frequent routing errors, while later iterations encounter harder or less common cases (Figure 3).</w:t>
      </w:r>
    </w:p>
    <w:p>
      <w:pPr>
        <w:pStyle w:val="BodyText"/>
      </w:pPr>
      <w:r>
        <w:t xml:space="preserve">Combining replay and the gate provides the strongest final routing quality, while MBR alone reduces known run-local token usage by 10.8% at the cost of a 3.4% relative decrease in nDCG@10 compared with Both Enabled. Across configurations with and without the gate, enabling replay improves final routing performance by 11.6% to 12.4%, while increasing known run-local token usage by 40.6% to 52.9% (Figure 4).</w:t>
      </w:r>
    </w:p>
    <w:bookmarkStart w:id="23" w:name="fig:mbr_replay_validation_std"/>
    <w:p>
      <w:pPr>
        <w:pStyle w:val="CaptionedFigure"/>
      </w:pPr>
      <w:r>
        <w:drawing>
          <wp:inline>
            <wp:extent cx="5334000" cy="2730469"/>
            <wp:effectExtent b="0" l="0" r="0" t="0"/>
            <wp:docPr descr="" title="" id="21" name="Picture"/>
            <a:graphic>
              <a:graphicData uri="http://schemas.openxmlformats.org/drawingml/2006/picture">
                <pic:pic>
                  <pic:nvPicPr>
                    <pic:cNvPr descr="/workspace/storage/healthcare_workspace/project_skill_selection/RouterBSIPaper/figs/mbr_replay_validation_std/preview.png" id="22" name="Picture"/>
                    <pic:cNvPicPr>
                      <a:picLocks noChangeArrowheads="1" noChangeAspect="1"/>
                    </pic:cNvPicPr>
                  </pic:nvPicPr>
                  <pic:blipFill>
                    <a:blip r:embed="rId20"/>
                    <a:stretch>
                      <a:fillRect/>
                    </a:stretch>
                  </pic:blipFill>
                  <pic:spPr bwMode="auto">
                    <a:xfrm>
                      <a:off x="0" y="0"/>
                      <a:ext cx="5334000" cy="2730469"/>
                    </a:xfrm>
                    <a:prstGeom prst="rect">
                      <a:avLst/>
                    </a:prstGeom>
                    <a:noFill/>
                    <a:ln w="9525">
                      <a:noFill/>
                      <a:headEnd/>
                      <a:tailEnd/>
                    </a:ln>
                  </pic:spPr>
                </pic:pic>
              </a:graphicData>
            </a:graphic>
          </wp:inline>
        </w:drawing>
      </w:r>
    </w:p>
    <w:p>
      <w:pPr>
        <w:pStyle w:val="ImageCaption"/>
      </w:pPr>
      <w:r>
        <w:t xml:space="preserve">Figure 3: Replay and validation-gate ablation across runs. Analysis-only (non-reportable or unknown source provenance). Source Average rows (task-weighted over instances); checkpoint test nDCG@10, mean plus/minus one population standard deviation (sqrt of source variance), not a confidence interval; 3 observed runs per condition. Initial is iteration 0.</w:t>
      </w:r>
    </w:p>
    <w:bookmarkEnd w:id="23"/>
    <w:bookmarkStart w:id="27" w:name="fig:performance_token_usage"/>
    <w:p>
      <w:pPr>
        <w:pStyle w:val="CaptionedFigure"/>
      </w:pPr>
      <w:r>
        <w:drawing>
          <wp:inline>
            <wp:extent cx="5334000" cy="2730469"/>
            <wp:effectExtent b="0" l="0" r="0" t="0"/>
            <wp:docPr descr="" title="" id="25" name="Picture"/>
            <a:graphic>
              <a:graphicData uri="http://schemas.openxmlformats.org/drawingml/2006/picture">
                <pic:pic>
                  <pic:nvPicPr>
                    <pic:cNvPr descr="/workspace/storage/healthcare_workspace/project_skill_selection/RouterBSIPaper/figs/performance_token_usage/preview.png" id="26" name="Picture"/>
                    <pic:cNvPicPr>
                      <a:picLocks noChangeArrowheads="1" noChangeAspect="1"/>
                    </pic:cNvPicPr>
                  </pic:nvPicPr>
                  <pic:blipFill>
                    <a:blip r:embed="rId24"/>
                    <a:stretch>
                      <a:fillRect/>
                    </a:stretch>
                  </pic:blipFill>
                  <pic:spPr bwMode="auto">
                    <a:xfrm>
                      <a:off x="0" y="0"/>
                      <a:ext cx="5334000" cy="2730469"/>
                    </a:xfrm>
                    <a:prstGeom prst="rect">
                      <a:avLst/>
                    </a:prstGeom>
                    <a:noFill/>
                    <a:ln w="9525">
                      <a:noFill/>
                      <a:headEnd/>
                      <a:tailEnd/>
                    </a:ln>
                  </pic:spPr>
                </pic:pic>
              </a:graphicData>
            </a:graphic>
          </wp:inline>
        </w:drawing>
      </w:r>
    </w:p>
    <w:p>
      <w:pPr>
        <w:pStyle w:val="ImageCaption"/>
      </w:pPr>
      <w:r>
        <w:t xml:space="preserve">Figure 4: Routing performance and known token usage. Analysis-only (non-reportable or unknown source provenance). Analysis-only known token totals: exact Total Tokens / 1,000,000 versus final test nDCG@10. Source flags: Complete=False; Known Only=True; Source Reportable=False. Run-local costs exclude external/shared initialization; this is not full token accounting. Task-weighted source Dataset=Average values weight individual test tasks, not datasets.</w:t>
      </w:r>
    </w:p>
    <w:bookmarkEnd w:id="27"/>
    <w:bookmarkEnd w:id="28"/>
    <w:bookmarkStart w:id="29" w:name="Xbef7093346e64f0bf40dab86703d1b86fe17cdf"/>
    <w:p>
      <w:pPr>
        <w:pStyle w:val="Heading2"/>
      </w:pPr>
      <w:r>
        <w:t xml:space="preserve">Candidate Selection Performance as Size of Bounded Replay Increases</w:t>
      </w:r>
    </w:p>
    <w:p>
      <w:pPr>
        <w:pStyle w:val="FirstParagraph"/>
      </w:pPr>
      <w:r>
        <w:t xml:space="preserve">A moderate replay history gives the strongest routing result among the tested capacities. In the figure, the nDCG@10 improves as capacity increases from 1 through 3 to 5, rising from 0.705 to 0.759 between the smallest setting and size 5. Capacity 10 reaches 0.748, still above the two smaller settings but below size 5. The cause of this behavior is likely the replay error becoming more unbalanced as replay size increases leading to misleading update selections. It becomes unbalanced because most skills have 4 tasks where they are required, so their replay becomes unbalanced at capacity 10, containing 10 irrelevant tasks but only 4 relevant ones. High irrelevant-to-relevant ratios can lead to a prioritization of narrow updates that maximize rejection of tasks (Figure 5).</w:t>
      </w:r>
    </w:p>
    <w:bookmarkEnd w:id="29"/>
    <w:bookmarkStart w:id="38" w:name="X8b2c15c0cfcb90ec8b5250e16cbb7da1bcadbb4"/>
    <w:p>
      <w:pPr>
        <w:pStyle w:val="Heading2"/>
      </w:pPr>
      <w:r>
        <w:t xml:space="preserve">Skill Routing Performance across LLM Backbones</w:t>
      </w:r>
    </w:p>
    <w:p>
      <w:pPr>
        <w:pStyle w:val="FirstParagraph"/>
      </w:pPr>
      <w:r>
        <w:t xml:space="preserve">The initialization and final RouterBSI checkpoints improve over the shared SkillSight reference across the evaluated backbones. In the cross-LLM figure, the reference nDCG@10 is 0.609. RouterBSI_init scores 0.625, 0.716, and 0.753 for Qwen3.5 4B, Qwen3.8 27B, and GPT-OSS 120B, respectively; final RouterBSI scores 0.800, 0.844, and 0.806. The initial-to-final gains are largest for Qwen3.5 4B and Qwen3.8 27B, while the reported scores are not a controlled common-candidate comparison (Figure 6).</w:t>
      </w:r>
    </w:p>
    <w:bookmarkStart w:id="33" w:name="fig:replay_size_performance"/>
    <w:p>
      <w:pPr>
        <w:pStyle w:val="CaptionedFigure"/>
      </w:pPr>
      <w:r>
        <w:drawing>
          <wp:inline>
            <wp:extent cx="5334000" cy="2730469"/>
            <wp:effectExtent b="0" l="0" r="0" t="0"/>
            <wp:docPr descr="" title="" id="31" name="Picture"/>
            <a:graphic>
              <a:graphicData uri="http://schemas.openxmlformats.org/drawingml/2006/picture">
                <pic:pic>
                  <pic:nvPicPr>
                    <pic:cNvPr descr="/workspace/storage/healthcare_workspace/project_skill_selection/RouterBSIPaper/figs/replay_size_performance/preview.png" id="32" name="Picture"/>
                    <pic:cNvPicPr>
                      <a:picLocks noChangeArrowheads="1" noChangeAspect="1"/>
                    </pic:cNvPicPr>
                  </pic:nvPicPr>
                  <pic:blipFill>
                    <a:blip r:embed="rId30"/>
                    <a:stretch>
                      <a:fillRect/>
                    </a:stretch>
                  </pic:blipFill>
                  <pic:spPr bwMode="auto">
                    <a:xfrm>
                      <a:off x="0" y="0"/>
                      <a:ext cx="5334000" cy="2730469"/>
                    </a:xfrm>
                    <a:prstGeom prst="rect">
                      <a:avLst/>
                    </a:prstGeom>
                    <a:noFill/>
                    <a:ln w="9525">
                      <a:noFill/>
                      <a:headEnd/>
                      <a:tailEnd/>
                    </a:ln>
                  </pic:spPr>
                </pic:pic>
              </a:graphicData>
            </a:graphic>
          </wp:inline>
        </w:drawing>
      </w:r>
    </w:p>
    <w:p>
      <w:pPr>
        <w:pStyle w:val="ImageCaption"/>
      </w:pPr>
      <w:r>
        <w:t xml:space="preserve">Figure 5: Replay size and checkpoint test performance. Analysis-only (non-reportable or unknown source provenance). Source Average rows at matched completed iteration 10; mean over available runs (1: n=1, 3: n=1, 5: n=1, 10: n=1), no imputation. Checkpoint test performance, not unseen pre-acceptance candidate quality. Task-weighted source Dataset=Average values weight individual test tasks, not datasets.</w:t>
      </w:r>
    </w:p>
    <w:bookmarkEnd w:id="33"/>
    <w:bookmarkStart w:id="37" w:name="fig:routing_performance_across_llms_init"/>
    <w:p>
      <w:pPr>
        <w:pStyle w:val="CaptionedFigure"/>
      </w:pPr>
      <w:r>
        <w:drawing>
          <wp:inline>
            <wp:extent cx="5334000" cy="2934449"/>
            <wp:effectExtent b="0" l="0" r="0" t="0"/>
            <wp:docPr descr="" title="" id="35" name="Picture"/>
            <a:graphic>
              <a:graphicData uri="http://schemas.openxmlformats.org/drawingml/2006/picture">
                <pic:pic>
                  <pic:nvPicPr>
                    <pic:cNvPr descr="/workspace/storage/healthcare_workspace/project_skill_selection/RouterBSIPaper/figs/routing_performance_across_llms_init/preview.png" id="36" name="Picture"/>
                    <pic:cNvPicPr>
                      <a:picLocks noChangeArrowheads="1" noChangeAspect="1"/>
                    </pic:cNvPicPr>
                  </pic:nvPicPr>
                  <pic:blipFill>
                    <a:blip r:embed="rId34"/>
                    <a:stretch>
                      <a:fillRect/>
                    </a:stretch>
                  </pic:blipFill>
                  <pic:spPr bwMode="auto">
                    <a:xfrm>
                      <a:off x="0" y="0"/>
                      <a:ext cx="5334000" cy="2934449"/>
                    </a:xfrm>
                    <a:prstGeom prst="rect">
                      <a:avLst/>
                    </a:prstGeom>
                    <a:noFill/>
                    <a:ln w="9525">
                      <a:noFill/>
                      <a:headEnd/>
                      <a:tailEnd/>
                    </a:ln>
                  </pic:spPr>
                </pic:pic>
              </a:graphicData>
            </a:graphic>
          </wp:inline>
        </w:drawing>
      </w:r>
    </w:p>
    <w:p>
      <w:pPr>
        <w:pStyle w:val="ImageCaption"/>
      </w:pPr>
      <w:r>
        <w:t xml:space="preserve">Figure 6: Initial and final routing performance across LLMs. Analysis-only (non-reportable or unknown source provenance). Source Average rows; task-weighted test nDCG@10 across 748 tasks. The first bar is the shared SkillSight reference; each model pair shows RouterBSI_init before RouterBSI. No uncertainty is estimated. Historical candidates are preserved; this is not a controlled common-candidate comparison.</w:t>
      </w:r>
    </w:p>
    <w:bookmarkEnd w:id="37"/>
    <w:bookmarkEnd w:id="38"/>
    <w:bookmarkEnd w:id="39"/>
    <w:sectPr>
      <w:footnotePr>
        <w:numRestart w:val="eachSect"/>
      </w:footnote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hAnsi="Cambria"/>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30" Type="http://schemas.openxmlformats.org/officeDocument/2006/relationships/image" Target="media/rId30.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2026-10-10T14:57:25Z</dcterms:created>
  <dcterms:modified xsi:type="dcterms:W3CDTF">2026-10-10T14:57:25Z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/workspace/storage/healthcare_workspace/project_skill_selection/RouterBSIPaper/references.bib</vt:lpwstr>
  </property>
</Properties>
</file>