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569" w:rsidRDefault="00385569">
      <w:r>
        <w:t>Etherington et al. (2007)</w:t>
      </w:r>
    </w:p>
    <w:p w:rsidR="00385569" w:rsidRDefault="00385569" w:rsidP="00385569">
      <w:pPr>
        <w:pStyle w:val="ListParagraph"/>
        <w:numPr>
          <w:ilvl w:val="0"/>
          <w:numId w:val="1"/>
        </w:numPr>
      </w:pPr>
      <w:r>
        <w:t>Glacier Bay Alaska</w:t>
      </w:r>
    </w:p>
    <w:p w:rsidR="00385569" w:rsidRDefault="00385569" w:rsidP="00385569">
      <w:pPr>
        <w:pStyle w:val="ListParagraph"/>
        <w:numPr>
          <w:ilvl w:val="1"/>
          <w:numId w:val="1"/>
        </w:numPr>
      </w:pPr>
      <w:r>
        <w:t>Upper fjord = strong discharge and stratification, high turbidity</w:t>
      </w:r>
    </w:p>
    <w:p w:rsidR="00385569" w:rsidRDefault="00385569" w:rsidP="00385569">
      <w:pPr>
        <w:pStyle w:val="ListParagraph"/>
        <w:numPr>
          <w:ilvl w:val="1"/>
          <w:numId w:val="1"/>
        </w:numPr>
      </w:pPr>
      <w:r>
        <w:t>Bay entrance sill = strong mixing</w:t>
      </w:r>
    </w:p>
    <w:p w:rsidR="00385569" w:rsidRDefault="00385569" w:rsidP="00385569">
      <w:pPr>
        <w:pStyle w:val="ListParagraph"/>
        <w:numPr>
          <w:ilvl w:val="1"/>
          <w:numId w:val="1"/>
        </w:numPr>
      </w:pPr>
      <w:r>
        <w:t>Central fjord – two forces met = optimal stratification, high light levels and nutrient renewal</w:t>
      </w:r>
    </w:p>
    <w:p w:rsidR="00385569" w:rsidRDefault="00385569" w:rsidP="00385569">
      <w:pPr>
        <w:pStyle w:val="ListParagraph"/>
        <w:numPr>
          <w:ilvl w:val="2"/>
          <w:numId w:val="1"/>
        </w:numPr>
      </w:pPr>
      <w:r>
        <w:t>High and sustained chlorophyll spring through fall.</w:t>
      </w:r>
    </w:p>
    <w:p w:rsidR="00385569" w:rsidRDefault="002C2CE2" w:rsidP="002C2CE2">
      <w:pPr>
        <w:pStyle w:val="ListParagraph"/>
        <w:numPr>
          <w:ilvl w:val="2"/>
          <w:numId w:val="1"/>
        </w:numPr>
      </w:pPr>
      <w:r>
        <w:t xml:space="preserve">Sustained </w:t>
      </w:r>
      <w:proofErr w:type="spellStart"/>
      <w:r>
        <w:t>Chla</w:t>
      </w:r>
      <w:proofErr w:type="spellEnd"/>
      <w:r>
        <w:t xml:space="preserve"> characteristic of shelf break systems and fjord where turbulence at sills replenish nutrients to surface layer.</w:t>
      </w:r>
    </w:p>
    <w:p w:rsidR="002C2CE2" w:rsidRDefault="002C2CE2" w:rsidP="002C2CE2">
      <w:pPr>
        <w:pStyle w:val="ListParagraph"/>
        <w:numPr>
          <w:ilvl w:val="3"/>
          <w:numId w:val="1"/>
        </w:numPr>
      </w:pPr>
      <w:r>
        <w:t>Kachemak Bay, Alaska, May-August (</w:t>
      </w:r>
      <w:proofErr w:type="spellStart"/>
      <w:r>
        <w:t>Larrance</w:t>
      </w:r>
      <w:proofErr w:type="spellEnd"/>
      <w:r>
        <w:t xml:space="preserve"> and Chester 1979)</w:t>
      </w:r>
    </w:p>
    <w:p w:rsidR="002C2CE2" w:rsidRDefault="002C2CE2" w:rsidP="002C2CE2">
      <w:pPr>
        <w:pStyle w:val="ListParagraph"/>
        <w:numPr>
          <w:ilvl w:val="3"/>
          <w:numId w:val="1"/>
        </w:numPr>
      </w:pPr>
      <w:r>
        <w:t>Glacier Bay persistent stratification coupled with renewal of nutrients from localized turbulence, entrainment driven-estuarine circulation, wind mixing and density fronts (</w:t>
      </w:r>
      <w:proofErr w:type="spellStart"/>
      <w:r>
        <w:t>Syvitski</w:t>
      </w:r>
      <w:proofErr w:type="spellEnd"/>
      <w:r>
        <w:t xml:space="preserve"> et al., 1987)</w:t>
      </w:r>
    </w:p>
    <w:p w:rsidR="002C2CE2" w:rsidRDefault="002C2CE2" w:rsidP="002C2CE2">
      <w:pPr>
        <w:pStyle w:val="ListParagraph"/>
        <w:numPr>
          <w:ilvl w:val="3"/>
          <w:numId w:val="1"/>
        </w:numPr>
      </w:pPr>
      <w:r>
        <w:t xml:space="preserve">Arctic Sound system – lowest </w:t>
      </w:r>
      <w:proofErr w:type="spellStart"/>
      <w:r>
        <w:t>Chl</w:t>
      </w:r>
      <w:proofErr w:type="spellEnd"/>
      <w:r>
        <w:t xml:space="preserve"> at extremes of highest and lowest salinities (and stability) and highest at intermediate</w:t>
      </w:r>
    </w:p>
    <w:p w:rsidR="00A52A13" w:rsidRDefault="00A52A13" w:rsidP="00A52A13">
      <w:proofErr w:type="spellStart"/>
      <w:r>
        <w:t>Armitsu</w:t>
      </w:r>
      <w:proofErr w:type="spellEnd"/>
      <w:r>
        <w:t xml:space="preserve"> et al. (2016)</w:t>
      </w:r>
    </w:p>
    <w:p w:rsidR="00A52A13" w:rsidRDefault="0035204A" w:rsidP="0035204A">
      <w:pPr>
        <w:pStyle w:val="ListParagraph"/>
        <w:numPr>
          <w:ilvl w:val="0"/>
          <w:numId w:val="1"/>
        </w:numPr>
      </w:pPr>
      <w:r>
        <w:t xml:space="preserve">Spatial variability may play more important role than interannual variability over short time scales </w:t>
      </w:r>
    </w:p>
    <w:p w:rsidR="0035204A" w:rsidRDefault="0035204A" w:rsidP="0035204A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352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074CD"/>
    <w:multiLevelType w:val="hybridMultilevel"/>
    <w:tmpl w:val="5D3EA606"/>
    <w:lvl w:ilvl="0" w:tplc="2C0AC1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69"/>
    <w:rsid w:val="000E479A"/>
    <w:rsid w:val="00133BD1"/>
    <w:rsid w:val="002C2CE2"/>
    <w:rsid w:val="0035204A"/>
    <w:rsid w:val="00385569"/>
    <w:rsid w:val="00455D86"/>
    <w:rsid w:val="006B7C66"/>
    <w:rsid w:val="008B4661"/>
    <w:rsid w:val="00A405E3"/>
    <w:rsid w:val="00A52A13"/>
    <w:rsid w:val="00B63EC7"/>
    <w:rsid w:val="00DD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5FBD"/>
  <w15:chartTrackingRefBased/>
  <w15:docId w15:val="{BF4A089E-EE43-401F-9A90-740E7778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Del Belluz</dc:creator>
  <cp:keywords/>
  <dc:description/>
  <cp:lastModifiedBy>Justin Del Belluz</cp:lastModifiedBy>
  <cp:revision>3</cp:revision>
  <dcterms:created xsi:type="dcterms:W3CDTF">2025-05-07T17:27:00Z</dcterms:created>
  <dcterms:modified xsi:type="dcterms:W3CDTF">2025-05-07T19:57:00Z</dcterms:modified>
</cp:coreProperties>
</file>