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3160" w:rsidRPr="00133160" w:rsidRDefault="00133160" w:rsidP="00133160">
      <w:pPr>
        <w:spacing w:before="100" w:beforeAutospacing="1" w:after="100" w:afterAutospacing="1" w:line="240" w:lineRule="auto"/>
        <w:outlineLvl w:val="1"/>
        <w:rPr>
          <w:rFonts w:eastAsia="Times New Roman" w:cstheme="minorHAnsi"/>
          <w:b/>
          <w:bCs/>
          <w:sz w:val="36"/>
          <w:szCs w:val="36"/>
        </w:rPr>
      </w:pPr>
      <w:r w:rsidRPr="00133160">
        <w:rPr>
          <w:rFonts w:eastAsia="Times New Roman" w:cstheme="minorHAnsi"/>
          <w:b/>
          <w:bCs/>
          <w:sz w:val="36"/>
          <w:szCs w:val="36"/>
        </w:rPr>
        <w:t>Summary</w:t>
      </w:r>
    </w:p>
    <w:p w:rsidR="00133160" w:rsidRPr="00133160" w:rsidRDefault="00133160" w:rsidP="00133160">
      <w:pPr>
        <w:spacing w:before="100" w:beforeAutospacing="1" w:after="100" w:afterAutospacing="1" w:line="240" w:lineRule="auto"/>
        <w:rPr>
          <w:rFonts w:eastAsia="Times New Roman" w:cstheme="minorHAnsi"/>
          <w:sz w:val="24"/>
          <w:szCs w:val="24"/>
        </w:rPr>
      </w:pPr>
      <w:r w:rsidRPr="00133160">
        <w:rPr>
          <w:rFonts w:eastAsia="Times New Roman" w:cstheme="minorHAnsi"/>
          <w:sz w:val="24"/>
          <w:szCs w:val="24"/>
        </w:rPr>
        <w:t xml:space="preserve">This document reviews three historical data-quality issues affecting the </w:t>
      </w:r>
      <w:proofErr w:type="spellStart"/>
      <w:r w:rsidRPr="00133160">
        <w:rPr>
          <w:rFonts w:eastAsia="Times New Roman" w:cstheme="minorHAnsi"/>
          <w:sz w:val="24"/>
          <w:szCs w:val="24"/>
        </w:rPr>
        <w:t>Hakai</w:t>
      </w:r>
      <w:proofErr w:type="spellEnd"/>
      <w:r w:rsidRPr="00133160">
        <w:rPr>
          <w:rFonts w:eastAsia="Times New Roman" w:cstheme="minorHAnsi"/>
          <w:sz w:val="24"/>
          <w:szCs w:val="24"/>
        </w:rPr>
        <w:t xml:space="preserve"> benchtop fluorometric chlorophyll record, documented here for future users.</w:t>
      </w:r>
      <w:r>
        <w:rPr>
          <w:rFonts w:eastAsia="Times New Roman" w:cstheme="minorHAnsi"/>
          <w:sz w:val="24"/>
          <w:szCs w:val="24"/>
        </w:rPr>
        <w:t xml:space="preserve"> Brief summaries are provided below and more in-depth analysis provided in the following sections.</w:t>
      </w:r>
    </w:p>
    <w:p w:rsidR="00133160" w:rsidRPr="00133160" w:rsidRDefault="00133160" w:rsidP="00133160">
      <w:pPr>
        <w:spacing w:before="100" w:beforeAutospacing="1" w:after="100" w:afterAutospacing="1" w:line="240" w:lineRule="auto"/>
        <w:rPr>
          <w:rFonts w:eastAsia="Times New Roman" w:cstheme="minorHAnsi"/>
          <w:sz w:val="24"/>
          <w:szCs w:val="24"/>
        </w:rPr>
      </w:pPr>
      <w:r w:rsidRPr="00133160">
        <w:rPr>
          <w:rFonts w:eastAsia="Times New Roman" w:cstheme="minorHAnsi"/>
          <w:b/>
          <w:bCs/>
          <w:sz w:val="24"/>
          <w:szCs w:val="24"/>
        </w:rPr>
        <w:t>Issue 1 — Calibration variability.</w:t>
      </w:r>
      <w:r w:rsidRPr="00133160">
        <w:rPr>
          <w:rFonts w:eastAsia="Times New Roman" w:cstheme="minorHAnsi"/>
          <w:sz w:val="24"/>
          <w:szCs w:val="24"/>
        </w:rPr>
        <w:t xml:space="preserve"> Prior to 2018, calibrations of the two fluorometers (#0982 at Calvert, #1154 at Quadra) showed variability that did not follow expected instrument-drift patterns, most notably erratic slopes on #1154 and low, variable acid ratios (</w:t>
      </w:r>
      <w:proofErr w:type="spellStart"/>
      <w:r w:rsidRPr="00133160">
        <w:rPr>
          <w:rFonts w:eastAsia="Times New Roman" w:cstheme="minorHAnsi"/>
          <w:sz w:val="24"/>
          <w:szCs w:val="24"/>
        </w:rPr>
        <w:t>fm</w:t>
      </w:r>
      <w:proofErr w:type="spellEnd"/>
      <w:r w:rsidRPr="00133160">
        <w:rPr>
          <w:rFonts w:eastAsia="Times New Roman" w:cstheme="minorHAnsi"/>
          <w:sz w:val="24"/>
          <w:szCs w:val="24"/>
        </w:rPr>
        <w:t>) on both instruments</w:t>
      </w:r>
      <w:r>
        <w:rPr>
          <w:rFonts w:eastAsia="Times New Roman" w:cstheme="minorHAnsi"/>
          <w:sz w:val="24"/>
          <w:szCs w:val="24"/>
        </w:rPr>
        <w:t xml:space="preserve">. This variability </w:t>
      </w:r>
      <w:r w:rsidRPr="00133160">
        <w:rPr>
          <w:rFonts w:eastAsia="Times New Roman" w:cstheme="minorHAnsi"/>
          <w:sz w:val="24"/>
          <w:szCs w:val="24"/>
        </w:rPr>
        <w:t xml:space="preserve">likely reflecting standard-preparation error and standard degradation rather than true instrument response. Cross-calibrations at DFO-IOS (2018–2019) provided a baseline, and the potential error introduced into pre-2018 field concentrations was </w:t>
      </w:r>
      <w:r>
        <w:rPr>
          <w:rFonts w:eastAsia="Times New Roman" w:cstheme="minorHAnsi"/>
          <w:sz w:val="24"/>
          <w:szCs w:val="24"/>
        </w:rPr>
        <w:t>estimated</w:t>
      </w:r>
      <w:r w:rsidRPr="00133160">
        <w:rPr>
          <w:rFonts w:eastAsia="Times New Roman" w:cstheme="minorHAnsi"/>
          <w:sz w:val="24"/>
          <w:szCs w:val="24"/>
        </w:rPr>
        <w:t xml:space="preserve"> (</w:t>
      </w:r>
      <w:r>
        <w:rPr>
          <w:rFonts w:eastAsia="Times New Roman" w:cstheme="minorHAnsi"/>
          <w:sz w:val="24"/>
          <w:szCs w:val="24"/>
        </w:rPr>
        <w:t>&lt;5% for</w:t>
      </w:r>
      <w:r w:rsidRPr="00133160">
        <w:rPr>
          <w:rFonts w:eastAsia="Times New Roman" w:cstheme="minorHAnsi"/>
          <w:sz w:val="24"/>
          <w:szCs w:val="24"/>
        </w:rPr>
        <w:t xml:space="preserve"> #0982, approximately −12% to +6% for #1154). Subsequent method improvements and consolidation to a single Quadra instrument reduced the variability.</w:t>
      </w:r>
    </w:p>
    <w:p w:rsidR="00133160" w:rsidRPr="00133160" w:rsidRDefault="00133160" w:rsidP="00133160">
      <w:pPr>
        <w:spacing w:before="100" w:beforeAutospacing="1" w:after="100" w:afterAutospacing="1" w:line="240" w:lineRule="auto"/>
        <w:rPr>
          <w:rFonts w:eastAsia="Times New Roman" w:cstheme="minorHAnsi"/>
          <w:sz w:val="24"/>
          <w:szCs w:val="24"/>
        </w:rPr>
      </w:pPr>
      <w:r w:rsidRPr="00133160">
        <w:rPr>
          <w:rFonts w:eastAsia="Times New Roman" w:cstheme="minorHAnsi"/>
          <w:b/>
          <w:bCs/>
          <w:sz w:val="24"/>
          <w:szCs w:val="24"/>
        </w:rPr>
        <w:t>Issue 2 — Samples above the instrument sensitivity range.</w:t>
      </w:r>
      <w:r w:rsidRPr="00133160">
        <w:rPr>
          <w:rFonts w:eastAsia="Times New Roman" w:cstheme="minorHAnsi"/>
          <w:sz w:val="24"/>
          <w:szCs w:val="24"/>
        </w:rPr>
        <w:t xml:space="preserve"> Because the fluorometer's stated range applies to un-concentrated samples, many pre-2018 bloom samples were unknowingly run above the effective range and are flagged as above detection level (ADL). These </w:t>
      </w:r>
      <w:r>
        <w:rPr>
          <w:rFonts w:eastAsia="Times New Roman" w:cstheme="minorHAnsi"/>
          <w:sz w:val="24"/>
          <w:szCs w:val="24"/>
        </w:rPr>
        <w:t xml:space="preserve">samples </w:t>
      </w:r>
      <w:r w:rsidRPr="00133160">
        <w:rPr>
          <w:rFonts w:eastAsia="Times New Roman" w:cstheme="minorHAnsi"/>
          <w:sz w:val="24"/>
          <w:szCs w:val="24"/>
        </w:rPr>
        <w:t xml:space="preserve">were expected to </w:t>
      </w:r>
      <w:r>
        <w:rPr>
          <w:rFonts w:eastAsia="Times New Roman" w:cstheme="minorHAnsi"/>
          <w:sz w:val="24"/>
          <w:szCs w:val="24"/>
        </w:rPr>
        <w:t>show artificially</w:t>
      </w:r>
      <w:r w:rsidRPr="00133160">
        <w:rPr>
          <w:rFonts w:eastAsia="Times New Roman" w:cstheme="minorHAnsi"/>
          <w:sz w:val="24"/>
          <w:szCs w:val="24"/>
        </w:rPr>
        <w:t xml:space="preserve"> suppressed </w:t>
      </w:r>
      <w:r>
        <w:rPr>
          <w:rFonts w:eastAsia="Times New Roman" w:cstheme="minorHAnsi"/>
          <w:sz w:val="24"/>
          <w:szCs w:val="24"/>
        </w:rPr>
        <w:t>chlorophyll concentrations due to</w:t>
      </w:r>
      <w:r w:rsidRPr="00133160">
        <w:rPr>
          <w:rFonts w:eastAsia="Times New Roman" w:cstheme="minorHAnsi"/>
          <w:sz w:val="24"/>
          <w:szCs w:val="24"/>
        </w:rPr>
        <w:t xml:space="preserve"> quenching, but comparison with concurrent HPLC showed the opposite</w:t>
      </w:r>
      <w:r>
        <w:rPr>
          <w:rFonts w:eastAsia="Times New Roman" w:cstheme="minorHAnsi"/>
          <w:sz w:val="24"/>
          <w:szCs w:val="24"/>
        </w:rPr>
        <w:t>: A</w:t>
      </w:r>
      <w:r w:rsidRPr="00133160">
        <w:rPr>
          <w:rFonts w:eastAsia="Times New Roman" w:cstheme="minorHAnsi"/>
          <w:sz w:val="24"/>
          <w:szCs w:val="24"/>
        </w:rPr>
        <w:t xml:space="preserve"> slight high </w:t>
      </w:r>
      <w:r>
        <w:rPr>
          <w:rFonts w:eastAsia="Times New Roman" w:cstheme="minorHAnsi"/>
          <w:sz w:val="24"/>
          <w:szCs w:val="24"/>
        </w:rPr>
        <w:t xml:space="preserve">concentration </w:t>
      </w:r>
      <w:r w:rsidRPr="00133160">
        <w:rPr>
          <w:rFonts w:eastAsia="Times New Roman" w:cstheme="minorHAnsi"/>
          <w:sz w:val="24"/>
          <w:szCs w:val="24"/>
        </w:rPr>
        <w:t>bias</w:t>
      </w:r>
      <w:r>
        <w:rPr>
          <w:rFonts w:eastAsia="Times New Roman" w:cstheme="minorHAnsi"/>
          <w:sz w:val="24"/>
          <w:szCs w:val="24"/>
        </w:rPr>
        <w:t xml:space="preserve"> was observed</w:t>
      </w:r>
      <w:r w:rsidRPr="00133160">
        <w:rPr>
          <w:rFonts w:eastAsia="Times New Roman" w:cstheme="minorHAnsi"/>
          <w:sz w:val="24"/>
          <w:szCs w:val="24"/>
        </w:rPr>
        <w:t xml:space="preserve">. The ADL samples are therefore usable but </w:t>
      </w:r>
      <w:proofErr w:type="gramStart"/>
      <w:r w:rsidRPr="00133160">
        <w:rPr>
          <w:rFonts w:eastAsia="Times New Roman" w:cstheme="minorHAnsi"/>
          <w:sz w:val="24"/>
          <w:szCs w:val="24"/>
        </w:rPr>
        <w:t>carry</w:t>
      </w:r>
      <w:proofErr w:type="gramEnd"/>
      <w:r w:rsidRPr="00133160">
        <w:rPr>
          <w:rFonts w:eastAsia="Times New Roman" w:cstheme="minorHAnsi"/>
          <w:sz w:val="24"/>
          <w:szCs w:val="24"/>
        </w:rPr>
        <w:t xml:space="preserve"> greater uncertainty. Dilution of high-biomass samples was introduced from 2019 onward.</w:t>
      </w:r>
    </w:p>
    <w:p w:rsidR="00133160" w:rsidRPr="00133160" w:rsidRDefault="00133160" w:rsidP="00133160">
      <w:pPr>
        <w:spacing w:before="100" w:beforeAutospacing="1" w:after="100" w:afterAutospacing="1" w:line="240" w:lineRule="auto"/>
        <w:rPr>
          <w:rFonts w:eastAsia="Times New Roman" w:cstheme="minorHAnsi"/>
          <w:sz w:val="24"/>
          <w:szCs w:val="24"/>
        </w:rPr>
      </w:pPr>
      <w:r w:rsidRPr="00133160">
        <w:rPr>
          <w:rFonts w:eastAsia="Times New Roman" w:cstheme="minorHAnsi"/>
          <w:b/>
          <w:bCs/>
          <w:sz w:val="24"/>
          <w:szCs w:val="24"/>
        </w:rPr>
        <w:t>Issue 3 — Acid contamination of Calvert samples.</w:t>
      </w:r>
      <w:r w:rsidRPr="00133160">
        <w:rPr>
          <w:rFonts w:eastAsia="Times New Roman" w:cstheme="minorHAnsi"/>
          <w:sz w:val="24"/>
          <w:szCs w:val="24"/>
        </w:rPr>
        <w:t xml:space="preserve"> A subset of samples analyzed at Calvert between 2015 and 2017 (predominantly 2016) were affected by acid contamination, producing artificially low chlorophyll and low fm. The problem was session-level, clustering on specific analysis days, and was independently corroborated by HPLC. Protocol changes and the move to a single Quadra instrument resolved </w:t>
      </w:r>
      <w:r>
        <w:rPr>
          <w:rFonts w:eastAsia="Times New Roman" w:cstheme="minorHAnsi"/>
          <w:sz w:val="24"/>
          <w:szCs w:val="24"/>
        </w:rPr>
        <w:t>the issue</w:t>
      </w:r>
      <w:r w:rsidRPr="00133160">
        <w:rPr>
          <w:rFonts w:eastAsia="Times New Roman" w:cstheme="minorHAnsi"/>
          <w:sz w:val="24"/>
          <w:szCs w:val="24"/>
        </w:rPr>
        <w:t>, with no further session-level contamination observed since.</w:t>
      </w:r>
    </w:p>
    <w:p w:rsidR="00133160" w:rsidRDefault="00133160" w:rsidP="00133160">
      <w:pPr>
        <w:spacing w:before="100" w:beforeAutospacing="1" w:after="100" w:afterAutospacing="1" w:line="240" w:lineRule="auto"/>
        <w:rPr>
          <w:rFonts w:ascii="Times New Roman" w:eastAsia="Times New Roman" w:hAnsi="Times New Roman" w:cs="Times New Roman"/>
          <w:sz w:val="24"/>
          <w:szCs w:val="24"/>
        </w:rPr>
      </w:pPr>
    </w:p>
    <w:p w:rsidR="00133160" w:rsidRDefault="00133160" w:rsidP="00133160">
      <w:pPr>
        <w:spacing w:before="100" w:beforeAutospacing="1" w:after="100" w:afterAutospacing="1" w:line="240" w:lineRule="auto"/>
        <w:rPr>
          <w:rFonts w:ascii="Times New Roman" w:eastAsia="Times New Roman" w:hAnsi="Times New Roman" w:cs="Times New Roman"/>
          <w:sz w:val="24"/>
          <w:szCs w:val="24"/>
        </w:rPr>
      </w:pPr>
    </w:p>
    <w:p w:rsidR="00133160" w:rsidRDefault="00133160" w:rsidP="00133160">
      <w:pPr>
        <w:spacing w:before="100" w:beforeAutospacing="1" w:after="100" w:afterAutospacing="1" w:line="240" w:lineRule="auto"/>
        <w:rPr>
          <w:rFonts w:ascii="Times New Roman" w:eastAsia="Times New Roman" w:hAnsi="Times New Roman" w:cs="Times New Roman"/>
          <w:sz w:val="24"/>
          <w:szCs w:val="24"/>
        </w:rPr>
      </w:pPr>
    </w:p>
    <w:p w:rsidR="00133160" w:rsidRDefault="00133160" w:rsidP="00133160">
      <w:pPr>
        <w:spacing w:before="100" w:beforeAutospacing="1" w:after="100" w:afterAutospacing="1" w:line="240" w:lineRule="auto"/>
        <w:rPr>
          <w:rFonts w:ascii="Times New Roman" w:eastAsia="Times New Roman" w:hAnsi="Times New Roman" w:cs="Times New Roman"/>
          <w:sz w:val="24"/>
          <w:szCs w:val="24"/>
        </w:rPr>
      </w:pPr>
    </w:p>
    <w:p w:rsidR="00133160" w:rsidRDefault="00133160" w:rsidP="00133160">
      <w:pPr>
        <w:spacing w:before="100" w:beforeAutospacing="1" w:after="100" w:afterAutospacing="1" w:line="240" w:lineRule="auto"/>
        <w:rPr>
          <w:rFonts w:ascii="Times New Roman" w:eastAsia="Times New Roman" w:hAnsi="Times New Roman" w:cs="Times New Roman"/>
          <w:sz w:val="24"/>
          <w:szCs w:val="24"/>
        </w:rPr>
      </w:pPr>
    </w:p>
    <w:p w:rsidR="00133160" w:rsidRDefault="00133160" w:rsidP="00133160">
      <w:pPr>
        <w:spacing w:before="100" w:beforeAutospacing="1" w:after="100" w:afterAutospacing="1" w:line="240" w:lineRule="auto"/>
        <w:rPr>
          <w:rFonts w:ascii="Times New Roman" w:eastAsia="Times New Roman" w:hAnsi="Times New Roman" w:cs="Times New Roman"/>
          <w:sz w:val="24"/>
          <w:szCs w:val="24"/>
        </w:rPr>
      </w:pPr>
    </w:p>
    <w:p w:rsidR="00133160" w:rsidRPr="00133160" w:rsidRDefault="00133160" w:rsidP="00133160">
      <w:pPr>
        <w:spacing w:before="100" w:beforeAutospacing="1" w:after="100" w:afterAutospacing="1" w:line="240" w:lineRule="auto"/>
        <w:rPr>
          <w:rFonts w:ascii="Times New Roman" w:eastAsia="Times New Roman" w:hAnsi="Times New Roman" w:cs="Times New Roman"/>
          <w:sz w:val="24"/>
          <w:szCs w:val="24"/>
        </w:rPr>
      </w:pPr>
    </w:p>
    <w:p w:rsidR="000142C8" w:rsidRPr="000142C8" w:rsidRDefault="000142C8" w:rsidP="000142C8">
      <w:pPr>
        <w:spacing w:before="100" w:beforeAutospacing="1" w:after="100" w:afterAutospacing="1" w:line="240" w:lineRule="auto"/>
        <w:outlineLvl w:val="1"/>
        <w:rPr>
          <w:rFonts w:eastAsia="Times New Roman" w:cstheme="minorHAnsi"/>
          <w:b/>
          <w:bCs/>
          <w:sz w:val="36"/>
          <w:szCs w:val="36"/>
        </w:rPr>
      </w:pPr>
      <w:r w:rsidRPr="000142C8">
        <w:rPr>
          <w:rFonts w:eastAsia="Times New Roman" w:cstheme="minorHAnsi"/>
          <w:b/>
          <w:bCs/>
          <w:sz w:val="36"/>
          <w:szCs w:val="36"/>
        </w:rPr>
        <w:lastRenderedPageBreak/>
        <w:t>Issue 1 — Calibration variability</w:t>
      </w:r>
    </w:p>
    <w:p w:rsidR="000142C8" w:rsidRPr="000142C8" w:rsidRDefault="000142C8" w:rsidP="000142C8">
      <w:pPr>
        <w:spacing w:before="100" w:beforeAutospacing="1" w:after="100" w:afterAutospacing="1" w:line="240" w:lineRule="auto"/>
        <w:outlineLvl w:val="2"/>
        <w:rPr>
          <w:rFonts w:eastAsia="Times New Roman" w:cstheme="minorHAnsi"/>
          <w:b/>
          <w:bCs/>
          <w:sz w:val="27"/>
          <w:szCs w:val="27"/>
        </w:rPr>
      </w:pPr>
      <w:r w:rsidRPr="000142C8">
        <w:rPr>
          <w:rFonts w:eastAsia="Times New Roman" w:cstheme="minorHAnsi"/>
          <w:b/>
          <w:bCs/>
          <w:sz w:val="27"/>
          <w:szCs w:val="27"/>
        </w:rPr>
        <w:t>Summary</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Prior to 2018, benchtop chlorophyll calibrations showed variability that did not follow expected instrument-drift trends, particularly for instrument #1154. At this time a fluorometer was operated at each of two stations, #0982 at Calvert and #1154 at Quadra, and each was calibrated on-site by different teams using different standards. Instrument #1154 showed strongly linear but erratically varying calibration slopes, while both instruments showed low and variable acid ratios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relative to later DFO-IOS cross-calibrations. Because calibration slopes and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are instrument-specific, the variability could not be resolved by direct comparison between instruments. The analysis below attempts to bound the resulting error in field concentrations; although, it relies on unvalidated assumptions and is intended only to indicate the approximate magnitude of error, not to correct it.</w:t>
      </w:r>
    </w:p>
    <w:p w:rsidR="000142C8" w:rsidRPr="000142C8" w:rsidRDefault="000142C8" w:rsidP="000142C8">
      <w:pPr>
        <w:spacing w:before="100" w:beforeAutospacing="1" w:after="100" w:afterAutospacing="1" w:line="240" w:lineRule="auto"/>
        <w:outlineLvl w:val="2"/>
        <w:rPr>
          <w:rFonts w:eastAsia="Times New Roman" w:cstheme="minorHAnsi"/>
          <w:b/>
          <w:bCs/>
          <w:sz w:val="27"/>
          <w:szCs w:val="27"/>
        </w:rPr>
      </w:pPr>
      <w:r w:rsidRPr="000142C8">
        <w:rPr>
          <w:rFonts w:eastAsia="Times New Roman" w:cstheme="minorHAnsi"/>
          <w:b/>
          <w:bCs/>
          <w:sz w:val="27"/>
          <w:szCs w:val="27"/>
        </w:rPr>
        <w:t>Background</w:t>
      </w:r>
    </w:p>
    <w:p w:rsidR="000142C8" w:rsidRPr="000142C8" w:rsidRDefault="000142C8" w:rsidP="000142C8">
      <w:pPr>
        <w:spacing w:before="100" w:beforeAutospacing="1" w:after="100" w:afterAutospacing="1" w:line="240" w:lineRule="auto"/>
        <w:rPr>
          <w:rFonts w:eastAsia="Times New Roman" w:cstheme="minorHAnsi"/>
          <w:sz w:val="24"/>
        </w:rPr>
      </w:pPr>
      <w:r w:rsidRPr="000142C8">
        <w:rPr>
          <w:rFonts w:eastAsia="Times New Roman" w:cstheme="minorHAnsi"/>
          <w:sz w:val="24"/>
        </w:rPr>
        <w:t xml:space="preserve">Two calibration parameters are relevant. The </w:t>
      </w:r>
      <w:r w:rsidRPr="000142C8">
        <w:rPr>
          <w:rFonts w:eastAsia="Times New Roman" w:cstheme="minorHAnsi"/>
          <w:bCs/>
          <w:sz w:val="24"/>
        </w:rPr>
        <w:t>calibration slope</w:t>
      </w:r>
      <w:r w:rsidRPr="000142C8">
        <w:rPr>
          <w:rFonts w:eastAsia="Times New Roman" w:cstheme="minorHAnsi"/>
          <w:sz w:val="24"/>
        </w:rPr>
        <w:t xml:space="preserve"> relates instrument </w:t>
      </w:r>
      <w:r w:rsidRPr="00133160">
        <w:rPr>
          <w:rFonts w:eastAsia="Times New Roman" w:cstheme="minorHAnsi"/>
          <w:sz w:val="24"/>
        </w:rPr>
        <w:t xml:space="preserve">raw </w:t>
      </w:r>
      <w:r w:rsidRPr="000142C8">
        <w:rPr>
          <w:rFonts w:eastAsia="Times New Roman" w:cstheme="minorHAnsi"/>
          <w:sz w:val="24"/>
        </w:rPr>
        <w:t xml:space="preserve">fluorescence </w:t>
      </w:r>
      <w:r w:rsidRPr="00133160">
        <w:rPr>
          <w:rFonts w:eastAsia="Times New Roman" w:cstheme="minorHAnsi"/>
          <w:sz w:val="24"/>
        </w:rPr>
        <w:t xml:space="preserve">units </w:t>
      </w:r>
      <w:r w:rsidRPr="000142C8">
        <w:rPr>
          <w:rFonts w:eastAsia="Times New Roman" w:cstheme="minorHAnsi"/>
          <w:sz w:val="24"/>
        </w:rPr>
        <w:t>to chlorophyll concentration</w:t>
      </w:r>
      <w:r w:rsidRPr="00133160">
        <w:rPr>
          <w:rFonts w:eastAsia="Times New Roman" w:cstheme="minorHAnsi"/>
          <w:sz w:val="24"/>
        </w:rPr>
        <w:t xml:space="preserve"> and</w:t>
      </w:r>
      <w:r w:rsidRPr="000142C8">
        <w:rPr>
          <w:rFonts w:eastAsia="Times New Roman" w:cstheme="minorHAnsi"/>
          <w:sz w:val="24"/>
        </w:rPr>
        <w:t xml:space="preserve"> is expected to drift slightly over time (generally increasing) but otherwise be stable. The </w:t>
      </w:r>
      <w:r w:rsidRPr="000142C8">
        <w:rPr>
          <w:rFonts w:eastAsia="Times New Roman" w:cstheme="minorHAnsi"/>
          <w:bCs/>
          <w:sz w:val="24"/>
        </w:rPr>
        <w:t>acid ratio (</w:t>
      </w:r>
      <w:proofErr w:type="spellStart"/>
      <w:r w:rsidRPr="000142C8">
        <w:rPr>
          <w:rFonts w:eastAsia="Times New Roman" w:cstheme="minorHAnsi"/>
          <w:bCs/>
          <w:sz w:val="24"/>
        </w:rPr>
        <w:t>fm</w:t>
      </w:r>
      <w:proofErr w:type="spellEnd"/>
      <w:r w:rsidRPr="000142C8">
        <w:rPr>
          <w:rFonts w:eastAsia="Times New Roman" w:cstheme="minorHAnsi"/>
          <w:bCs/>
          <w:sz w:val="24"/>
        </w:rPr>
        <w:t>)</w:t>
      </w:r>
      <w:r w:rsidRPr="000142C8">
        <w:rPr>
          <w:rFonts w:eastAsia="Times New Roman" w:cstheme="minorHAnsi"/>
          <w:sz w:val="24"/>
        </w:rPr>
        <w:t xml:space="preserve"> is the ratio of the pre-acidified (intact chlorophyll) to post-acidified (fully degraded) reading, and should be consistently high for a pure chlorophyll standard; lower values indicate a degraded standard. Both parameters are instrument-specific and cannot be compared directly between instruments.</w:t>
      </w:r>
    </w:p>
    <w:p w:rsidR="000142C8" w:rsidRPr="000142C8" w:rsidRDefault="000142C8" w:rsidP="000142C8">
      <w:pPr>
        <w:spacing w:before="100" w:beforeAutospacing="1" w:after="100" w:afterAutospacing="1" w:line="240" w:lineRule="auto"/>
        <w:rPr>
          <w:rFonts w:eastAsia="Times New Roman" w:cstheme="minorHAnsi"/>
          <w:sz w:val="24"/>
        </w:rPr>
      </w:pPr>
      <w:r w:rsidRPr="000142C8">
        <w:rPr>
          <w:rFonts w:eastAsia="Times New Roman" w:cstheme="minorHAnsi"/>
          <w:sz w:val="24"/>
        </w:rPr>
        <w:t xml:space="preserve">Some variability is expected </w:t>
      </w:r>
      <w:r w:rsidRPr="00497C1D">
        <w:rPr>
          <w:rFonts w:eastAsia="Times New Roman" w:cstheme="minorHAnsi"/>
          <w:sz w:val="24"/>
        </w:rPr>
        <w:t xml:space="preserve">as </w:t>
      </w:r>
      <w:r w:rsidRPr="000142C8">
        <w:rPr>
          <w:rFonts w:eastAsia="Times New Roman" w:cstheme="minorHAnsi"/>
          <w:sz w:val="24"/>
        </w:rPr>
        <w:t xml:space="preserve">slopes drift, and </w:t>
      </w:r>
      <w:proofErr w:type="spellStart"/>
      <w:r w:rsidRPr="000142C8">
        <w:rPr>
          <w:rFonts w:eastAsia="Times New Roman" w:cstheme="minorHAnsi"/>
          <w:sz w:val="24"/>
        </w:rPr>
        <w:t>fm</w:t>
      </w:r>
      <w:proofErr w:type="spellEnd"/>
      <w:r w:rsidRPr="000142C8">
        <w:rPr>
          <w:rFonts w:eastAsia="Times New Roman" w:cstheme="minorHAnsi"/>
          <w:sz w:val="24"/>
        </w:rPr>
        <w:t xml:space="preserve"> can vary with standard condition so variability alone is not evidence of error. What was notable for #1154 was that the slope varied </w:t>
      </w:r>
      <w:r w:rsidRPr="000142C8">
        <w:rPr>
          <w:rFonts w:eastAsia="Times New Roman" w:cstheme="minorHAnsi"/>
          <w:iCs/>
          <w:sz w:val="24"/>
        </w:rPr>
        <w:t>erratically</w:t>
      </w:r>
      <w:r w:rsidRPr="000142C8">
        <w:rPr>
          <w:rFonts w:eastAsia="Times New Roman" w:cstheme="minorHAnsi"/>
          <w:sz w:val="24"/>
        </w:rPr>
        <w:t xml:space="preserve">, not in the gradual manner expected of instrument drift, despite strongly linear individual calibrations (r² &gt; 0.999). Because the linear fit was strong, the varying slope more likely reflects a consistent analytical error in standard preparation (e.g. uncalibrated pipettes adding error to standard concentrations) than a genuine instrument response. Low and variable </w:t>
      </w:r>
      <w:proofErr w:type="spellStart"/>
      <w:r w:rsidRPr="000142C8">
        <w:rPr>
          <w:rFonts w:eastAsia="Times New Roman" w:cstheme="minorHAnsi"/>
          <w:sz w:val="24"/>
        </w:rPr>
        <w:t>fm</w:t>
      </w:r>
      <w:proofErr w:type="spellEnd"/>
      <w:r w:rsidRPr="000142C8">
        <w:rPr>
          <w:rFonts w:eastAsia="Times New Roman" w:cstheme="minorHAnsi"/>
          <w:sz w:val="24"/>
        </w:rPr>
        <w:t xml:space="preserve"> on both instruments, meanwhile, is consistent with degradation of the chlorophyll standards, potentially driven by temperature or light exposure.</w:t>
      </w:r>
    </w:p>
    <w:p w:rsidR="000142C8" w:rsidRPr="000142C8" w:rsidRDefault="000142C8" w:rsidP="000142C8">
      <w:pPr>
        <w:spacing w:before="100" w:beforeAutospacing="1" w:after="100" w:afterAutospacing="1" w:line="240" w:lineRule="auto"/>
        <w:outlineLvl w:val="2"/>
        <w:rPr>
          <w:rFonts w:eastAsia="Times New Roman" w:cstheme="minorHAnsi"/>
          <w:b/>
          <w:bCs/>
          <w:sz w:val="27"/>
          <w:szCs w:val="27"/>
        </w:rPr>
      </w:pPr>
      <w:r w:rsidRPr="000142C8">
        <w:rPr>
          <w:rFonts w:eastAsia="Times New Roman" w:cstheme="minorHAnsi"/>
          <w:b/>
          <w:bCs/>
          <w:sz w:val="27"/>
          <w:szCs w:val="27"/>
        </w:rPr>
        <w:t>What we observed</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The two instruments behaved differently:</w:t>
      </w:r>
    </w:p>
    <w:p w:rsidR="000142C8" w:rsidRPr="000142C8" w:rsidRDefault="000142C8" w:rsidP="000142C8">
      <w:pPr>
        <w:numPr>
          <w:ilvl w:val="0"/>
          <w:numId w:val="18"/>
        </w:numPr>
        <w:spacing w:before="100" w:beforeAutospacing="1" w:after="100" w:afterAutospacing="1" w:line="240" w:lineRule="auto"/>
        <w:rPr>
          <w:rFonts w:eastAsia="Times New Roman" w:cstheme="minorHAnsi"/>
          <w:sz w:val="24"/>
          <w:szCs w:val="24"/>
        </w:rPr>
      </w:pPr>
      <w:r w:rsidRPr="000142C8">
        <w:rPr>
          <w:rFonts w:eastAsia="Times New Roman" w:cstheme="minorHAnsi"/>
          <w:b/>
          <w:bCs/>
          <w:sz w:val="24"/>
          <w:szCs w:val="24"/>
        </w:rPr>
        <w:t>#1154</w:t>
      </w:r>
      <w:r w:rsidRPr="000142C8">
        <w:rPr>
          <w:rFonts w:eastAsia="Times New Roman" w:cstheme="minorHAnsi"/>
          <w:sz w:val="24"/>
          <w:szCs w:val="24"/>
        </w:rPr>
        <w:t xml:space="preserve"> (Quadra) showed erratic, inconsistent variability in both slope and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prior to 2018.</w:t>
      </w:r>
    </w:p>
    <w:p w:rsidR="000142C8" w:rsidRPr="000142C8" w:rsidRDefault="000142C8" w:rsidP="000142C8">
      <w:pPr>
        <w:numPr>
          <w:ilvl w:val="0"/>
          <w:numId w:val="18"/>
        </w:numPr>
        <w:spacing w:before="100" w:beforeAutospacing="1" w:after="100" w:afterAutospacing="1" w:line="240" w:lineRule="auto"/>
        <w:rPr>
          <w:rFonts w:eastAsia="Times New Roman" w:cstheme="minorHAnsi"/>
          <w:sz w:val="24"/>
          <w:szCs w:val="24"/>
        </w:rPr>
      </w:pPr>
      <w:r w:rsidRPr="000142C8">
        <w:rPr>
          <w:rFonts w:eastAsia="Times New Roman" w:cstheme="minorHAnsi"/>
          <w:b/>
          <w:bCs/>
          <w:sz w:val="24"/>
          <w:szCs w:val="24"/>
        </w:rPr>
        <w:t>#0982</w:t>
      </w:r>
      <w:r w:rsidRPr="000142C8">
        <w:rPr>
          <w:rFonts w:eastAsia="Times New Roman" w:cstheme="minorHAnsi"/>
          <w:sz w:val="24"/>
          <w:szCs w:val="24"/>
        </w:rPr>
        <w:t xml:space="preserve"> (Calvert) drifted predictably, at a relatively consistent ~1.5% increase in slope per calibration. This predictability is what made it usable as a reference for modelling #1154 (see below).</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lastRenderedPageBreak/>
        <w:t xml:space="preserve">The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variability had two distinct aspects: variability </w:t>
      </w:r>
      <w:r w:rsidRPr="000142C8">
        <w:rPr>
          <w:rFonts w:eastAsia="Times New Roman" w:cstheme="minorHAnsi"/>
          <w:iCs/>
          <w:sz w:val="24"/>
          <w:szCs w:val="24"/>
        </w:rPr>
        <w:t>between our own calibrations</w:t>
      </w:r>
      <w:r w:rsidRPr="000142C8">
        <w:rPr>
          <w:rFonts w:eastAsia="Times New Roman" w:cstheme="minorHAnsi"/>
          <w:sz w:val="24"/>
          <w:szCs w:val="24"/>
        </w:rPr>
        <w:t xml:space="preserve">, and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values that sat </w:t>
      </w:r>
      <w:r w:rsidRPr="000142C8">
        <w:rPr>
          <w:rFonts w:eastAsia="Times New Roman" w:cstheme="minorHAnsi"/>
          <w:iCs/>
          <w:sz w:val="24"/>
          <w:szCs w:val="24"/>
        </w:rPr>
        <w:t>systematically below</w:t>
      </w:r>
      <w:r w:rsidRPr="000142C8">
        <w:rPr>
          <w:rFonts w:eastAsia="Times New Roman" w:cstheme="minorHAnsi"/>
          <w:sz w:val="24"/>
          <w:szCs w:val="24"/>
        </w:rPr>
        <w:t xml:space="preserve"> those obtained during the DFO-IOS cross-calibrations (a gap that persisted in later years, though our values improved).</w:t>
      </w:r>
    </w:p>
    <w:p w:rsidR="000142C8" w:rsidRPr="000142C8" w:rsidRDefault="000142C8" w:rsidP="000142C8">
      <w:pPr>
        <w:spacing w:before="100" w:beforeAutospacing="1" w:after="100" w:afterAutospacing="1" w:line="240" w:lineRule="auto"/>
        <w:outlineLvl w:val="2"/>
        <w:rPr>
          <w:rFonts w:eastAsia="Times New Roman" w:cstheme="minorHAnsi"/>
          <w:b/>
          <w:bCs/>
          <w:sz w:val="27"/>
          <w:szCs w:val="27"/>
        </w:rPr>
      </w:pPr>
      <w:r w:rsidRPr="000142C8">
        <w:rPr>
          <w:rFonts w:eastAsia="Times New Roman" w:cstheme="minorHAnsi"/>
          <w:b/>
          <w:bCs/>
          <w:sz w:val="27"/>
          <w:szCs w:val="27"/>
        </w:rPr>
        <w:t>DFO-IOS cross-calibration (2018)</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Two tests were performed:</w:t>
      </w:r>
    </w:p>
    <w:p w:rsidR="000142C8" w:rsidRPr="000142C8" w:rsidRDefault="000142C8" w:rsidP="000142C8">
      <w:pPr>
        <w:numPr>
          <w:ilvl w:val="0"/>
          <w:numId w:val="19"/>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The Calvert instrument (#0982) was brought to Quadra and cross-calibrated against #1154 using the same standards (Figure 2, 2018-04-17). Both instruments showed considerably lower slopes than their respective prior on-site calibrations.</w:t>
      </w:r>
    </w:p>
    <w:p w:rsidR="000142C8" w:rsidRPr="000142C8" w:rsidRDefault="000142C8" w:rsidP="000142C8">
      <w:pPr>
        <w:numPr>
          <w:ilvl w:val="0"/>
          <w:numId w:val="19"/>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 xml:space="preserve">On 2018-05-04, both instruments were taken to DFO-IOS and cross-calibrated against their Turner 10AU instruments, using DFO standards, with DFO's (considerably tighter) methods taken as a baseline. Both instruments showed increased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relative to </w:t>
      </w:r>
      <w:proofErr w:type="spellStart"/>
      <w:r w:rsidRPr="000142C8">
        <w:rPr>
          <w:rFonts w:eastAsia="Times New Roman" w:cstheme="minorHAnsi"/>
          <w:sz w:val="24"/>
          <w:szCs w:val="24"/>
        </w:rPr>
        <w:t>Hakai</w:t>
      </w:r>
      <w:proofErr w:type="spellEnd"/>
      <w:r w:rsidRPr="000142C8">
        <w:rPr>
          <w:rFonts w:eastAsia="Times New Roman" w:cstheme="minorHAnsi"/>
          <w:sz w:val="24"/>
          <w:szCs w:val="24"/>
        </w:rPr>
        <w:t xml:space="preserve"> calibrations; #0982's slope was in line with prior Calvert calibrations, and #1154's slope fell mid-range of prior Quadra calibrations.</w:t>
      </w:r>
    </w:p>
    <w:p w:rsidR="000142C8" w:rsidRPr="000142C8" w:rsidRDefault="000142C8" w:rsidP="000142C8">
      <w:pPr>
        <w:spacing w:before="100" w:beforeAutospacing="1" w:after="100" w:afterAutospacing="1" w:line="240" w:lineRule="auto"/>
        <w:outlineLvl w:val="2"/>
        <w:rPr>
          <w:rFonts w:eastAsia="Times New Roman" w:cstheme="minorHAnsi"/>
          <w:b/>
          <w:bCs/>
          <w:sz w:val="27"/>
          <w:szCs w:val="27"/>
        </w:rPr>
      </w:pPr>
      <w:r w:rsidRPr="000142C8">
        <w:rPr>
          <w:rFonts w:eastAsia="Times New Roman" w:cstheme="minorHAnsi"/>
          <w:b/>
          <w:bCs/>
          <w:sz w:val="27"/>
          <w:szCs w:val="27"/>
        </w:rPr>
        <w:t>Estimating the potential error</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To bound the error the pre-2018 variability may have introduced into field concentrations (Figure 1):</w:t>
      </w:r>
    </w:p>
    <w:p w:rsidR="000142C8" w:rsidRPr="000142C8" w:rsidRDefault="000142C8" w:rsidP="000142C8">
      <w:pPr>
        <w:numPr>
          <w:ilvl w:val="0"/>
          <w:numId w:val="20"/>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#1154's slope was back-calculated from the DFO value, applying the ~1.5% per-calibration drift observed on the stable #0982.</w:t>
      </w:r>
    </w:p>
    <w:p w:rsidR="000142C8" w:rsidRPr="000142C8" w:rsidRDefault="000142C8" w:rsidP="000142C8">
      <w:pPr>
        <w:numPr>
          <w:ilvl w:val="0"/>
          <w:numId w:val="20"/>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 xml:space="preserve">The DFO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was applied to both instruments.</w:t>
      </w:r>
    </w:p>
    <w:p w:rsidR="000142C8" w:rsidRPr="000142C8" w:rsidRDefault="000142C8" w:rsidP="000142C8">
      <w:pPr>
        <w:numPr>
          <w:ilvl w:val="0"/>
          <w:numId w:val="20"/>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Field concentrations were recalculated with these values and compared to the original concentrations.</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Estimated error:</w:t>
      </w:r>
    </w:p>
    <w:p w:rsidR="000142C8" w:rsidRPr="000142C8" w:rsidRDefault="000142C8" w:rsidP="000142C8">
      <w:pPr>
        <w:numPr>
          <w:ilvl w:val="0"/>
          <w:numId w:val="21"/>
        </w:numPr>
        <w:spacing w:before="100" w:beforeAutospacing="1" w:after="100" w:afterAutospacing="1" w:line="240" w:lineRule="auto"/>
        <w:rPr>
          <w:rFonts w:eastAsia="Times New Roman" w:cstheme="minorHAnsi"/>
          <w:sz w:val="24"/>
          <w:szCs w:val="24"/>
        </w:rPr>
      </w:pPr>
      <w:r w:rsidRPr="000142C8">
        <w:rPr>
          <w:rFonts w:eastAsia="Times New Roman" w:cstheme="minorHAnsi"/>
          <w:b/>
          <w:bCs/>
          <w:sz w:val="24"/>
          <w:szCs w:val="24"/>
        </w:rPr>
        <w:t>#0982</w:t>
      </w:r>
      <w:r w:rsidRPr="000142C8">
        <w:rPr>
          <w:rFonts w:eastAsia="Times New Roman" w:cstheme="minorHAnsi"/>
          <w:sz w:val="24"/>
          <w:szCs w:val="24"/>
        </w:rPr>
        <w:t xml:space="preserve"> — error from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variability alone was marginal (&lt; 5%).</w:t>
      </w:r>
    </w:p>
    <w:p w:rsidR="000142C8" w:rsidRPr="000142C8" w:rsidRDefault="000142C8" w:rsidP="000142C8">
      <w:pPr>
        <w:numPr>
          <w:ilvl w:val="0"/>
          <w:numId w:val="21"/>
        </w:numPr>
        <w:spacing w:before="100" w:beforeAutospacing="1" w:after="100" w:afterAutospacing="1" w:line="240" w:lineRule="auto"/>
        <w:rPr>
          <w:rFonts w:eastAsia="Times New Roman" w:cstheme="minorHAnsi"/>
          <w:sz w:val="24"/>
          <w:szCs w:val="24"/>
        </w:rPr>
      </w:pPr>
      <w:r w:rsidRPr="000142C8">
        <w:rPr>
          <w:rFonts w:eastAsia="Times New Roman" w:cstheme="minorHAnsi"/>
          <w:b/>
          <w:bCs/>
          <w:sz w:val="24"/>
          <w:szCs w:val="24"/>
        </w:rPr>
        <w:t>#1154</w:t>
      </w:r>
      <w:r w:rsidRPr="000142C8">
        <w:rPr>
          <w:rFonts w:eastAsia="Times New Roman" w:cstheme="minorHAnsi"/>
          <w:sz w:val="24"/>
          <w:szCs w:val="24"/>
        </w:rPr>
        <w:t xml:space="preserve"> — larger</w:t>
      </w:r>
      <w:r w:rsidR="00497C1D">
        <w:rPr>
          <w:rFonts w:eastAsia="Times New Roman" w:cstheme="minorHAnsi"/>
          <w:sz w:val="24"/>
          <w:szCs w:val="24"/>
        </w:rPr>
        <w:t xml:space="preserve"> error</w:t>
      </w:r>
      <w:r w:rsidRPr="000142C8">
        <w:rPr>
          <w:rFonts w:eastAsia="Times New Roman" w:cstheme="minorHAnsi"/>
          <w:sz w:val="24"/>
          <w:szCs w:val="24"/>
        </w:rPr>
        <w:t xml:space="preserve">, reflecting combined slope and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effects (approximately −11.55% to +5.57%).</w:t>
      </w:r>
    </w:p>
    <w:p w:rsid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These estimates cannot be validated. They depend on assumptions of instrument stability and a linear backward slope drift carried over from #0982, and are intended only to indicate the approximate magnitude of error potentially present in the pre-2018 record.</w:t>
      </w:r>
    </w:p>
    <w:p w:rsidR="00497C1D" w:rsidRPr="000142C8" w:rsidRDefault="00497C1D" w:rsidP="000142C8">
      <w:pPr>
        <w:spacing w:before="100" w:beforeAutospacing="1" w:after="100" w:afterAutospacing="1" w:line="240" w:lineRule="auto"/>
        <w:rPr>
          <w:rFonts w:eastAsia="Times New Roman" w:cstheme="minorHAnsi"/>
          <w:sz w:val="24"/>
          <w:szCs w:val="24"/>
        </w:rPr>
      </w:pPr>
    </w:p>
    <w:p w:rsidR="000142C8" w:rsidRPr="000142C8" w:rsidRDefault="000142C8" w:rsidP="000142C8">
      <w:pPr>
        <w:spacing w:before="100" w:beforeAutospacing="1" w:after="100" w:afterAutospacing="1" w:line="240" w:lineRule="auto"/>
        <w:outlineLvl w:val="2"/>
        <w:rPr>
          <w:rFonts w:eastAsia="Times New Roman" w:cstheme="minorHAnsi"/>
          <w:b/>
          <w:bCs/>
          <w:sz w:val="27"/>
          <w:szCs w:val="27"/>
        </w:rPr>
      </w:pPr>
      <w:r w:rsidRPr="000142C8">
        <w:rPr>
          <w:rFonts w:eastAsia="Times New Roman" w:cstheme="minorHAnsi"/>
          <w:b/>
          <w:bCs/>
          <w:sz w:val="27"/>
          <w:szCs w:val="27"/>
        </w:rPr>
        <w:t>Likely cause</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The variability appears to have arisen from analytical rather than instrument sources:</w:t>
      </w:r>
    </w:p>
    <w:p w:rsidR="000142C8" w:rsidRPr="000142C8" w:rsidRDefault="000142C8" w:rsidP="000142C8">
      <w:pPr>
        <w:numPr>
          <w:ilvl w:val="0"/>
          <w:numId w:val="22"/>
        </w:numPr>
        <w:spacing w:before="100" w:beforeAutospacing="1" w:after="100" w:afterAutospacing="1" w:line="240" w:lineRule="auto"/>
        <w:rPr>
          <w:rFonts w:eastAsia="Times New Roman" w:cstheme="minorHAnsi"/>
          <w:sz w:val="24"/>
          <w:szCs w:val="24"/>
        </w:rPr>
      </w:pPr>
      <w:r w:rsidRPr="000142C8">
        <w:rPr>
          <w:rFonts w:eastAsia="Times New Roman" w:cstheme="minorHAnsi"/>
          <w:b/>
          <w:bCs/>
          <w:sz w:val="24"/>
          <w:szCs w:val="24"/>
        </w:rPr>
        <w:lastRenderedPageBreak/>
        <w:t>Erratic #1154 slopes:</w:t>
      </w:r>
      <w:r w:rsidRPr="000142C8">
        <w:rPr>
          <w:rFonts w:eastAsia="Times New Roman" w:cstheme="minorHAnsi"/>
          <w:sz w:val="24"/>
          <w:szCs w:val="24"/>
        </w:rPr>
        <w:t xml:space="preserve"> most consistent with standard-preparation error (e.g. uncalibrated pipettes) adding error to standard concentrations, given the strong linearity of individual calibrations.</w:t>
      </w:r>
    </w:p>
    <w:p w:rsidR="000142C8" w:rsidRPr="000142C8" w:rsidRDefault="000142C8" w:rsidP="000142C8">
      <w:pPr>
        <w:numPr>
          <w:ilvl w:val="0"/>
          <w:numId w:val="22"/>
        </w:numPr>
        <w:spacing w:before="100" w:beforeAutospacing="1" w:after="100" w:afterAutospacing="1" w:line="240" w:lineRule="auto"/>
        <w:rPr>
          <w:rFonts w:eastAsia="Times New Roman" w:cstheme="minorHAnsi"/>
          <w:sz w:val="24"/>
          <w:szCs w:val="24"/>
        </w:rPr>
      </w:pPr>
      <w:r w:rsidRPr="000142C8">
        <w:rPr>
          <w:rFonts w:eastAsia="Times New Roman" w:cstheme="minorHAnsi"/>
          <w:b/>
          <w:bCs/>
          <w:sz w:val="24"/>
          <w:szCs w:val="24"/>
        </w:rPr>
        <w:t xml:space="preserve">Low, variable </w:t>
      </w:r>
      <w:proofErr w:type="spellStart"/>
      <w:r w:rsidRPr="000142C8">
        <w:rPr>
          <w:rFonts w:eastAsia="Times New Roman" w:cstheme="minorHAnsi"/>
          <w:b/>
          <w:bCs/>
          <w:sz w:val="24"/>
          <w:szCs w:val="24"/>
        </w:rPr>
        <w:t>fm</w:t>
      </w:r>
      <w:proofErr w:type="spellEnd"/>
      <w:r w:rsidRPr="000142C8">
        <w:rPr>
          <w:rFonts w:eastAsia="Times New Roman" w:cstheme="minorHAnsi"/>
          <w:b/>
          <w:bCs/>
          <w:sz w:val="24"/>
          <w:szCs w:val="24"/>
        </w:rPr>
        <w:t xml:space="preserve"> on both instruments:</w:t>
      </w:r>
      <w:r w:rsidRPr="000142C8">
        <w:rPr>
          <w:rFonts w:eastAsia="Times New Roman" w:cstheme="minorHAnsi"/>
          <w:sz w:val="24"/>
          <w:szCs w:val="24"/>
        </w:rPr>
        <w:t xml:space="preserve"> consistent with degradation of the chlorophyll standards, potentially from temperature or light exposure during storage or handling.</w:t>
      </w:r>
    </w:p>
    <w:p w:rsidR="000142C8" w:rsidRPr="000142C8" w:rsidRDefault="000142C8" w:rsidP="000142C8">
      <w:pPr>
        <w:spacing w:before="100" w:beforeAutospacing="1" w:after="100" w:afterAutospacing="1" w:line="240" w:lineRule="auto"/>
        <w:outlineLvl w:val="2"/>
        <w:rPr>
          <w:rFonts w:eastAsia="Times New Roman" w:cstheme="minorHAnsi"/>
          <w:b/>
          <w:bCs/>
          <w:sz w:val="27"/>
          <w:szCs w:val="27"/>
        </w:rPr>
      </w:pPr>
      <w:r w:rsidRPr="000142C8">
        <w:rPr>
          <w:rFonts w:eastAsia="Times New Roman" w:cstheme="minorHAnsi"/>
          <w:b/>
          <w:bCs/>
          <w:sz w:val="27"/>
          <w:szCs w:val="27"/>
        </w:rPr>
        <w:t>Actions taken and current status</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Several changes were introduced:</w:t>
      </w:r>
    </w:p>
    <w:p w:rsidR="000142C8" w:rsidRPr="000142C8" w:rsidRDefault="000142C8" w:rsidP="000142C8">
      <w:pPr>
        <w:numPr>
          <w:ilvl w:val="0"/>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Began annual cross-calibrations at DFO-IOS (2018 and 2019; discontinued with COVID).</w:t>
      </w:r>
    </w:p>
    <w:p w:rsidR="00497C1D" w:rsidRPr="00497C1D" w:rsidRDefault="000142C8" w:rsidP="000142C8">
      <w:pPr>
        <w:numPr>
          <w:ilvl w:val="0"/>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Moved to a single-instrument model with all samples run at Quadra to</w:t>
      </w:r>
      <w:r w:rsidR="00497C1D" w:rsidRPr="00497C1D">
        <w:rPr>
          <w:rFonts w:eastAsia="Times New Roman" w:cstheme="minorHAnsi"/>
          <w:sz w:val="24"/>
          <w:szCs w:val="24"/>
        </w:rPr>
        <w:t>:</w:t>
      </w:r>
      <w:r w:rsidRPr="000142C8">
        <w:rPr>
          <w:rFonts w:eastAsia="Times New Roman" w:cstheme="minorHAnsi"/>
          <w:sz w:val="24"/>
          <w:szCs w:val="24"/>
        </w:rPr>
        <w:t xml:space="preserve"> </w:t>
      </w:r>
    </w:p>
    <w:p w:rsidR="00497C1D" w:rsidRPr="00497C1D" w:rsidRDefault="000142C8" w:rsidP="00497C1D">
      <w:pPr>
        <w:numPr>
          <w:ilvl w:val="1"/>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reduce cross-comparability issues</w:t>
      </w:r>
      <w:r w:rsidR="00497C1D" w:rsidRPr="00497C1D">
        <w:rPr>
          <w:rFonts w:eastAsia="Times New Roman" w:cstheme="minorHAnsi"/>
          <w:sz w:val="24"/>
          <w:szCs w:val="24"/>
        </w:rPr>
        <w:t>;</w:t>
      </w:r>
      <w:r w:rsidRPr="000142C8">
        <w:rPr>
          <w:rFonts w:eastAsia="Times New Roman" w:cstheme="minorHAnsi"/>
          <w:sz w:val="24"/>
          <w:szCs w:val="24"/>
        </w:rPr>
        <w:t xml:space="preserve"> </w:t>
      </w:r>
    </w:p>
    <w:p w:rsidR="00497C1D" w:rsidRPr="00497C1D" w:rsidRDefault="000142C8" w:rsidP="00497C1D">
      <w:pPr>
        <w:numPr>
          <w:ilvl w:val="1"/>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run all samples in a controlled dark-room lab setting, and</w:t>
      </w:r>
      <w:r w:rsidR="00497C1D" w:rsidRPr="00497C1D">
        <w:rPr>
          <w:rFonts w:eastAsia="Times New Roman" w:cstheme="minorHAnsi"/>
          <w:sz w:val="24"/>
          <w:szCs w:val="24"/>
        </w:rPr>
        <w:t>;</w:t>
      </w:r>
    </w:p>
    <w:p w:rsidR="000142C8" w:rsidRPr="000142C8" w:rsidRDefault="000142C8" w:rsidP="00497C1D">
      <w:pPr>
        <w:numPr>
          <w:ilvl w:val="1"/>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maintain an operational plus reserve instrument.</w:t>
      </w:r>
    </w:p>
    <w:p w:rsidR="000142C8" w:rsidRPr="000142C8" w:rsidRDefault="000142C8" w:rsidP="000142C8">
      <w:pPr>
        <w:numPr>
          <w:ilvl w:val="0"/>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 xml:space="preserve">Post-COVID (2022), adopted DFO-IOS methods and improved analytical controls for Quadra calibrations, including: </w:t>
      </w:r>
    </w:p>
    <w:p w:rsidR="000142C8" w:rsidRPr="000142C8" w:rsidRDefault="000142C8" w:rsidP="000142C8">
      <w:pPr>
        <w:numPr>
          <w:ilvl w:val="1"/>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switching from Turner pre-made standards (which may degrade in transport) to Sigma-Aldrich HPLC-grade standards made on site with concentrations determined immediately before calibration;</w:t>
      </w:r>
    </w:p>
    <w:p w:rsidR="000142C8" w:rsidRPr="000142C8" w:rsidRDefault="000142C8" w:rsidP="000142C8">
      <w:pPr>
        <w:numPr>
          <w:ilvl w:val="1"/>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calibrating across the full instrument sensitivity range (0–300 mg m⁻³);</w:t>
      </w:r>
    </w:p>
    <w:p w:rsidR="000142C8" w:rsidRPr="000142C8" w:rsidRDefault="000142C8" w:rsidP="000142C8">
      <w:pPr>
        <w:numPr>
          <w:ilvl w:val="1"/>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improved equipment (Class A glassware, gas-tight syringes) and controls on light exposure;</w:t>
      </w:r>
    </w:p>
    <w:p w:rsidR="000142C8" w:rsidRPr="000142C8" w:rsidRDefault="000142C8" w:rsidP="000142C8">
      <w:pPr>
        <w:numPr>
          <w:ilvl w:val="1"/>
          <w:numId w:val="23"/>
        </w:num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improved tracking of solid standards between calibrations and analysis runs, with worksheet flagging when a reading falls &gt; ±5% of the calibration value.</w:t>
      </w:r>
    </w:p>
    <w:p w:rsidR="000142C8" w:rsidRPr="000142C8" w:rsidRDefault="000142C8" w:rsidP="000142C8">
      <w:pPr>
        <w:spacing w:before="100" w:beforeAutospacing="1" w:after="100" w:afterAutospacing="1" w:line="240" w:lineRule="auto"/>
        <w:rPr>
          <w:rFonts w:eastAsia="Times New Roman" w:cstheme="minorHAnsi"/>
          <w:sz w:val="24"/>
          <w:szCs w:val="24"/>
        </w:rPr>
      </w:pPr>
      <w:r w:rsidRPr="000142C8">
        <w:rPr>
          <w:rFonts w:eastAsia="Times New Roman" w:cstheme="minorHAnsi"/>
          <w:sz w:val="24"/>
          <w:szCs w:val="24"/>
        </w:rPr>
        <w:t xml:space="preserve">Assessment of the outcome: the 2018 and 2019 DFO-IOS cross-calibrations showed good consistency and expected trends (Figure 2). A 2022 Quadra calibration under the improved methods was possible only for #1154 (#0982 had malfunctioned); its slope and </w:t>
      </w:r>
      <w:proofErr w:type="spellStart"/>
      <w:r w:rsidRPr="000142C8">
        <w:rPr>
          <w:rFonts w:eastAsia="Times New Roman" w:cstheme="minorHAnsi"/>
          <w:sz w:val="24"/>
          <w:szCs w:val="24"/>
        </w:rPr>
        <w:t>fm</w:t>
      </w:r>
      <w:proofErr w:type="spellEnd"/>
      <w:r w:rsidRPr="000142C8">
        <w:rPr>
          <w:rFonts w:eastAsia="Times New Roman" w:cstheme="minorHAnsi"/>
          <w:sz w:val="24"/>
          <w:szCs w:val="24"/>
        </w:rPr>
        <w:t xml:space="preserve"> decreased slightly relative to 2019 but remained within a tighter band than the pre-2018 variability</w:t>
      </w:r>
      <w:r w:rsidR="00497C1D">
        <w:rPr>
          <w:rFonts w:eastAsia="Times New Roman" w:cstheme="minorHAnsi"/>
          <w:sz w:val="24"/>
          <w:szCs w:val="24"/>
        </w:rPr>
        <w:t>. T</w:t>
      </w:r>
      <w:r w:rsidRPr="000142C8">
        <w:rPr>
          <w:rFonts w:eastAsia="Times New Roman" w:cstheme="minorHAnsi"/>
          <w:sz w:val="24"/>
          <w:szCs w:val="24"/>
        </w:rPr>
        <w:t>he improved methods reduced, but did not fully eliminate, the offset, for reasons that could not be determined despite careful analysis. New optical modules were subsequently installed on both instruments to address the #0982 malfunction and establish a fresh baseline</w:t>
      </w:r>
      <w:r w:rsidR="00497C1D">
        <w:rPr>
          <w:rFonts w:eastAsia="Times New Roman" w:cstheme="minorHAnsi"/>
          <w:sz w:val="24"/>
          <w:szCs w:val="24"/>
        </w:rPr>
        <w:t>.</w:t>
      </w:r>
      <w:r w:rsidRPr="000142C8">
        <w:rPr>
          <w:rFonts w:eastAsia="Times New Roman" w:cstheme="minorHAnsi"/>
          <w:sz w:val="24"/>
          <w:szCs w:val="24"/>
        </w:rPr>
        <w:t xml:space="preserve"> </w:t>
      </w:r>
      <w:r w:rsidR="00497C1D">
        <w:rPr>
          <w:rFonts w:eastAsia="Times New Roman" w:cstheme="minorHAnsi"/>
          <w:sz w:val="24"/>
          <w:szCs w:val="24"/>
        </w:rPr>
        <w:t>T</w:t>
      </w:r>
      <w:r w:rsidRPr="000142C8">
        <w:rPr>
          <w:rFonts w:eastAsia="Times New Roman" w:cstheme="minorHAnsi"/>
          <w:sz w:val="24"/>
          <w:szCs w:val="24"/>
        </w:rPr>
        <w:t>his changed the calibration values, so the pre-existing trends could no longer be tracked forward.</w:t>
      </w:r>
    </w:p>
    <w:p w:rsidR="00D65B64" w:rsidRPr="00D65B64" w:rsidRDefault="00D65B64">
      <w:pPr>
        <w:rPr>
          <w:b/>
          <w:noProof/>
          <w:u w:val="single"/>
        </w:rPr>
      </w:pPr>
    </w:p>
    <w:p w:rsidR="005D3CD9" w:rsidRDefault="00D65B64" w:rsidP="005D3CD9">
      <w:pPr>
        <w:keepNext/>
      </w:pPr>
      <w:r>
        <w:rPr>
          <w:noProof/>
        </w:rPr>
        <w:lastRenderedPageBreak/>
        <w:drawing>
          <wp:inline distT="0" distB="0" distL="0" distR="0">
            <wp:extent cx="5400000" cy="573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cali_perc_diff_panel_tes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00" cy="5737500"/>
                    </a:xfrm>
                    <a:prstGeom prst="rect">
                      <a:avLst/>
                    </a:prstGeom>
                  </pic:spPr>
                </pic:pic>
              </a:graphicData>
            </a:graphic>
          </wp:inline>
        </w:drawing>
      </w:r>
    </w:p>
    <w:p w:rsidR="00E359E7" w:rsidRPr="00E359E7" w:rsidRDefault="005D3CD9" w:rsidP="00E359E7">
      <w:pPr>
        <w:pStyle w:val="Caption"/>
        <w:rPr>
          <w:i w:val="0"/>
          <w:color w:val="auto"/>
        </w:rPr>
      </w:pPr>
      <w:r w:rsidRPr="00E359E7">
        <w:rPr>
          <w:i w:val="0"/>
          <w:color w:val="auto"/>
        </w:rPr>
        <w:t xml:space="preserve">Figure </w:t>
      </w:r>
      <w:r w:rsidRPr="00E359E7">
        <w:rPr>
          <w:i w:val="0"/>
          <w:color w:val="auto"/>
        </w:rPr>
        <w:fldChar w:fldCharType="begin"/>
      </w:r>
      <w:r w:rsidRPr="00E359E7">
        <w:rPr>
          <w:i w:val="0"/>
          <w:color w:val="auto"/>
        </w:rPr>
        <w:instrText xml:space="preserve"> SEQ Figure \* ARABIC </w:instrText>
      </w:r>
      <w:r w:rsidRPr="00E359E7">
        <w:rPr>
          <w:i w:val="0"/>
          <w:color w:val="auto"/>
        </w:rPr>
        <w:fldChar w:fldCharType="separate"/>
      </w:r>
      <w:r w:rsidR="00962E4D">
        <w:rPr>
          <w:i w:val="0"/>
          <w:noProof/>
          <w:color w:val="auto"/>
        </w:rPr>
        <w:t>1</w:t>
      </w:r>
      <w:r w:rsidRPr="00E359E7">
        <w:rPr>
          <w:i w:val="0"/>
          <w:color w:val="auto"/>
        </w:rPr>
        <w:fldChar w:fldCharType="end"/>
      </w:r>
      <w:r w:rsidRPr="00E359E7">
        <w:rPr>
          <w:i w:val="0"/>
          <w:color w:val="auto"/>
        </w:rPr>
        <w:t xml:space="preserve"> </w:t>
      </w:r>
      <w:r w:rsidR="00497C1D">
        <w:rPr>
          <w:i w:val="0"/>
          <w:color w:val="auto"/>
        </w:rPr>
        <w:t>-</w:t>
      </w:r>
      <w:r w:rsidR="0052178A" w:rsidRPr="00E359E7">
        <w:rPr>
          <w:i w:val="0"/>
          <w:color w:val="auto"/>
        </w:rPr>
        <w:t xml:space="preserve"> </w:t>
      </w:r>
      <w:r w:rsidR="00E359E7" w:rsidRPr="00E359E7">
        <w:rPr>
          <w:i w:val="0"/>
          <w:color w:val="auto"/>
        </w:rPr>
        <w:t>Estimated effect of pre-2018 calibration variability on field chlorophyll concentrations for benchtop</w:t>
      </w:r>
      <w:r w:rsidR="00E359E7">
        <w:rPr>
          <w:i w:val="0"/>
          <w:color w:val="auto"/>
        </w:rPr>
        <w:t xml:space="preserve"> Turner Trilogy</w:t>
      </w:r>
      <w:r w:rsidR="00E359E7" w:rsidRPr="00E359E7">
        <w:rPr>
          <w:i w:val="0"/>
          <w:color w:val="auto"/>
        </w:rPr>
        <w:t xml:space="preserve"> fluorometers #0982 (left, A/C/E) and #1154 (right, B/D/F), by calibration date. (A, B) Calibration slope (×10⁴)</w:t>
      </w:r>
      <w:r w:rsidR="00E359E7">
        <w:rPr>
          <w:i w:val="0"/>
          <w:color w:val="auto"/>
        </w:rPr>
        <w:t xml:space="preserve"> where</w:t>
      </w:r>
      <w:r w:rsidR="00E359E7" w:rsidRPr="00E359E7">
        <w:rPr>
          <w:i w:val="0"/>
          <w:color w:val="auto"/>
        </w:rPr>
        <w:t xml:space="preserve"> Red points are the original </w:t>
      </w:r>
      <w:proofErr w:type="spellStart"/>
      <w:r w:rsidR="00E359E7" w:rsidRPr="00E359E7">
        <w:rPr>
          <w:i w:val="0"/>
          <w:color w:val="auto"/>
        </w:rPr>
        <w:t>Hakai</w:t>
      </w:r>
      <w:proofErr w:type="spellEnd"/>
      <w:r w:rsidR="00E359E7" w:rsidRPr="00E359E7">
        <w:rPr>
          <w:i w:val="0"/>
          <w:color w:val="auto"/>
        </w:rPr>
        <w:t xml:space="preserve"> calibration slopes</w:t>
      </w:r>
      <w:r w:rsidR="00E359E7">
        <w:rPr>
          <w:i w:val="0"/>
          <w:color w:val="auto"/>
        </w:rPr>
        <w:t xml:space="preserve"> and</w:t>
      </w:r>
      <w:r w:rsidR="00E359E7" w:rsidRPr="00E359E7">
        <w:rPr>
          <w:i w:val="0"/>
          <w:color w:val="auto"/>
        </w:rPr>
        <w:t xml:space="preserve"> blue points show the DFO 2018 benchmark</w:t>
      </w:r>
      <w:r w:rsidR="00E359E7">
        <w:rPr>
          <w:i w:val="0"/>
          <w:color w:val="auto"/>
        </w:rPr>
        <w:t>. F</w:t>
      </w:r>
      <w:r w:rsidR="00E359E7" w:rsidRPr="00E359E7">
        <w:rPr>
          <w:i w:val="0"/>
          <w:color w:val="auto"/>
        </w:rPr>
        <w:t xml:space="preserve">or #0982 the stable slope means no correction </w:t>
      </w:r>
      <w:r w:rsidR="00E359E7">
        <w:rPr>
          <w:i w:val="0"/>
          <w:color w:val="auto"/>
        </w:rPr>
        <w:t>was</w:t>
      </w:r>
      <w:r w:rsidR="00E359E7" w:rsidRPr="00E359E7">
        <w:rPr>
          <w:i w:val="0"/>
          <w:color w:val="auto"/>
        </w:rPr>
        <w:t xml:space="preserve"> applied, whereas for #1154 the blue points are the DFO 2018 slope adjusted for a modelled backward drift of 1.5% per calibration, derived from the predictable drift of #0982. (C, D) Mean acid ratio (</w:t>
      </w:r>
      <w:proofErr w:type="spellStart"/>
      <w:r w:rsidR="00E359E7" w:rsidRPr="00E359E7">
        <w:rPr>
          <w:i w:val="0"/>
          <w:color w:val="auto"/>
        </w:rPr>
        <w:t>fm</w:t>
      </w:r>
      <w:proofErr w:type="spellEnd"/>
      <w:r w:rsidR="00E359E7" w:rsidRPr="00E359E7">
        <w:rPr>
          <w:i w:val="0"/>
          <w:color w:val="auto"/>
        </w:rPr>
        <w:t xml:space="preserve">) for each calibration: original </w:t>
      </w:r>
      <w:proofErr w:type="spellStart"/>
      <w:r w:rsidR="00E359E7" w:rsidRPr="00E359E7">
        <w:rPr>
          <w:i w:val="0"/>
          <w:color w:val="auto"/>
        </w:rPr>
        <w:t>Hakai</w:t>
      </w:r>
      <w:proofErr w:type="spellEnd"/>
      <w:r w:rsidR="00E359E7" w:rsidRPr="00E359E7">
        <w:rPr>
          <w:i w:val="0"/>
          <w:color w:val="auto"/>
        </w:rPr>
        <w:t xml:space="preserve"> values (red) against the DFO 2018 benchmark </w:t>
      </w:r>
      <w:proofErr w:type="spellStart"/>
      <w:r w:rsidR="00E359E7" w:rsidRPr="00E359E7">
        <w:rPr>
          <w:i w:val="0"/>
          <w:color w:val="auto"/>
        </w:rPr>
        <w:t>fm</w:t>
      </w:r>
      <w:proofErr w:type="spellEnd"/>
      <w:r w:rsidR="00E359E7" w:rsidRPr="00E359E7">
        <w:rPr>
          <w:i w:val="0"/>
          <w:color w:val="auto"/>
        </w:rPr>
        <w:t xml:space="preserve"> (blue). (E, F) Percent difference in field chlorophyll when concentrations are recalculated using the back-corrected slope and DFO </w:t>
      </w:r>
      <w:proofErr w:type="spellStart"/>
      <w:r w:rsidR="00E359E7" w:rsidRPr="00E359E7">
        <w:rPr>
          <w:i w:val="0"/>
          <w:color w:val="auto"/>
        </w:rPr>
        <w:t>fm</w:t>
      </w:r>
      <w:proofErr w:type="spellEnd"/>
      <w:r w:rsidR="00E359E7" w:rsidRPr="00E359E7">
        <w:rPr>
          <w:i w:val="0"/>
          <w:color w:val="auto"/>
        </w:rPr>
        <w:t>, relative to the original concentrations</w:t>
      </w:r>
      <w:r w:rsidR="00E359E7">
        <w:rPr>
          <w:i w:val="0"/>
          <w:color w:val="auto"/>
        </w:rPr>
        <w:t>.</w:t>
      </w:r>
    </w:p>
    <w:p w:rsidR="00E359E7" w:rsidRDefault="00E359E7" w:rsidP="00E359E7">
      <w:pPr>
        <w:pStyle w:val="Caption"/>
      </w:pPr>
    </w:p>
    <w:p w:rsidR="00B27369" w:rsidRDefault="00B353AA" w:rsidP="00B27369">
      <w:pPr>
        <w:pStyle w:val="Caption"/>
        <w:keepNext/>
      </w:pPr>
      <w:r>
        <w:rPr>
          <w:noProof/>
        </w:rPr>
        <w:lastRenderedPageBreak/>
        <w:drawing>
          <wp:inline distT="0" distB="0" distL="0" distR="0">
            <wp:extent cx="5400000" cy="50625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ope_fm_compare_summary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00" cy="5062500"/>
                    </a:xfrm>
                    <a:prstGeom prst="rect">
                      <a:avLst/>
                    </a:prstGeom>
                  </pic:spPr>
                </pic:pic>
              </a:graphicData>
            </a:graphic>
          </wp:inline>
        </w:drawing>
      </w:r>
    </w:p>
    <w:p w:rsidR="00B353AA" w:rsidRPr="00497C1D" w:rsidRDefault="00B27369" w:rsidP="00B27369">
      <w:pPr>
        <w:pStyle w:val="Caption"/>
        <w:rPr>
          <w:i w:val="0"/>
          <w:color w:val="auto"/>
        </w:rPr>
      </w:pPr>
      <w:r w:rsidRPr="00497C1D">
        <w:rPr>
          <w:i w:val="0"/>
          <w:color w:val="auto"/>
        </w:rPr>
        <w:t xml:space="preserve">Figure </w:t>
      </w:r>
      <w:r w:rsidR="00293CC3" w:rsidRPr="00497C1D">
        <w:rPr>
          <w:i w:val="0"/>
          <w:color w:val="auto"/>
        </w:rPr>
        <w:fldChar w:fldCharType="begin"/>
      </w:r>
      <w:r w:rsidR="00293CC3" w:rsidRPr="00497C1D">
        <w:rPr>
          <w:i w:val="0"/>
          <w:color w:val="auto"/>
        </w:rPr>
        <w:instrText xml:space="preserve"> SEQ Figure \* ARABIC </w:instrText>
      </w:r>
      <w:r w:rsidR="00293CC3" w:rsidRPr="00497C1D">
        <w:rPr>
          <w:i w:val="0"/>
          <w:color w:val="auto"/>
        </w:rPr>
        <w:fldChar w:fldCharType="separate"/>
      </w:r>
      <w:r w:rsidR="00962E4D" w:rsidRPr="00497C1D">
        <w:rPr>
          <w:i w:val="0"/>
          <w:noProof/>
          <w:color w:val="auto"/>
        </w:rPr>
        <w:t>2</w:t>
      </w:r>
      <w:r w:rsidR="00293CC3" w:rsidRPr="00497C1D">
        <w:rPr>
          <w:i w:val="0"/>
          <w:noProof/>
          <w:color w:val="auto"/>
        </w:rPr>
        <w:fldChar w:fldCharType="end"/>
      </w:r>
      <w:r w:rsidR="00497C1D" w:rsidRPr="00497C1D">
        <w:rPr>
          <w:i w:val="0"/>
          <w:noProof/>
          <w:color w:val="auto"/>
        </w:rPr>
        <w:t xml:space="preserve"> - </w:t>
      </w:r>
      <w:r w:rsidR="00497C1D" w:rsidRPr="00497C1D">
        <w:rPr>
          <w:i w:val="0"/>
          <w:color w:val="auto"/>
        </w:rPr>
        <w:t>Calibration slope and acid ratio (</w:t>
      </w:r>
      <w:proofErr w:type="spellStart"/>
      <w:r w:rsidR="00497C1D" w:rsidRPr="00497C1D">
        <w:rPr>
          <w:i w:val="0"/>
          <w:color w:val="auto"/>
        </w:rPr>
        <w:t>fm</w:t>
      </w:r>
      <w:proofErr w:type="spellEnd"/>
      <w:r w:rsidR="00497C1D" w:rsidRPr="00497C1D">
        <w:rPr>
          <w:i w:val="0"/>
          <w:color w:val="auto"/>
        </w:rPr>
        <w:t xml:space="preserve">) by calibration date for benchtop fluorometers #0982 (left, A/C) and #1154 (right, B/D), </w:t>
      </w:r>
      <w:proofErr w:type="spellStart"/>
      <w:r w:rsidR="00497C1D" w:rsidRPr="00497C1D">
        <w:rPr>
          <w:i w:val="0"/>
          <w:color w:val="auto"/>
        </w:rPr>
        <w:t>coloured</w:t>
      </w:r>
      <w:proofErr w:type="spellEnd"/>
      <w:r w:rsidR="00497C1D" w:rsidRPr="00497C1D">
        <w:rPr>
          <w:i w:val="0"/>
          <w:color w:val="auto"/>
        </w:rPr>
        <w:t xml:space="preserve"> by calibrating lab: </w:t>
      </w:r>
      <w:proofErr w:type="spellStart"/>
      <w:r w:rsidR="00497C1D" w:rsidRPr="00497C1D">
        <w:rPr>
          <w:i w:val="0"/>
          <w:color w:val="auto"/>
        </w:rPr>
        <w:t>Hakai</w:t>
      </w:r>
      <w:proofErr w:type="spellEnd"/>
      <w:r w:rsidR="00497C1D" w:rsidRPr="00497C1D">
        <w:rPr>
          <w:i w:val="0"/>
          <w:color w:val="auto"/>
        </w:rPr>
        <w:t xml:space="preserve">-Calvert (blue), </w:t>
      </w:r>
      <w:proofErr w:type="spellStart"/>
      <w:r w:rsidR="00497C1D" w:rsidRPr="00497C1D">
        <w:rPr>
          <w:i w:val="0"/>
          <w:color w:val="auto"/>
        </w:rPr>
        <w:t>Hakai</w:t>
      </w:r>
      <w:proofErr w:type="spellEnd"/>
      <w:r w:rsidR="00497C1D" w:rsidRPr="00497C1D">
        <w:rPr>
          <w:i w:val="0"/>
          <w:color w:val="auto"/>
        </w:rPr>
        <w:t xml:space="preserve">-Quadra (green), and DFO-IOS (red). </w:t>
      </w:r>
      <w:r w:rsidR="00497C1D" w:rsidRPr="00497C1D">
        <w:rPr>
          <w:rStyle w:val="Strong"/>
          <w:i w:val="0"/>
          <w:color w:val="auto"/>
        </w:rPr>
        <w:t>(A, B)</w:t>
      </w:r>
      <w:r w:rsidR="00497C1D" w:rsidRPr="00497C1D">
        <w:rPr>
          <w:i w:val="0"/>
          <w:color w:val="auto"/>
        </w:rPr>
        <w:t xml:space="preserve"> Calibration slope (× 10⁴); the number above each point is the regression r². </w:t>
      </w:r>
      <w:r w:rsidR="00497C1D" w:rsidRPr="00497C1D">
        <w:rPr>
          <w:rStyle w:val="Strong"/>
          <w:i w:val="0"/>
          <w:color w:val="auto"/>
        </w:rPr>
        <w:t>(C, D)</w:t>
      </w:r>
      <w:r w:rsidR="00497C1D" w:rsidRPr="00497C1D">
        <w:rPr>
          <w:i w:val="0"/>
          <w:color w:val="auto"/>
        </w:rPr>
        <w:t xml:space="preserve"> Mean acid ratio (</w:t>
      </w:r>
      <w:proofErr w:type="spellStart"/>
      <w:r w:rsidR="00497C1D" w:rsidRPr="00497C1D">
        <w:rPr>
          <w:i w:val="0"/>
          <w:color w:val="auto"/>
        </w:rPr>
        <w:t>fm</w:t>
      </w:r>
      <w:proofErr w:type="spellEnd"/>
      <w:r w:rsidR="00497C1D" w:rsidRPr="00497C1D">
        <w:rPr>
          <w:i w:val="0"/>
          <w:color w:val="auto"/>
        </w:rPr>
        <w:t xml:space="preserve">) for each calibration. The pink band marks the 2018-04-17 pre-DFO cross-calibration, in which #0982 was brought to Quadra and both instruments were calibrated against the same standards (shown in olive, where the Calvert and Quadra </w:t>
      </w:r>
      <w:proofErr w:type="spellStart"/>
      <w:r w:rsidR="00497C1D" w:rsidRPr="00497C1D">
        <w:rPr>
          <w:i w:val="0"/>
          <w:color w:val="auto"/>
        </w:rPr>
        <w:t>colours</w:t>
      </w:r>
      <w:proofErr w:type="spellEnd"/>
      <w:r w:rsidR="00497C1D" w:rsidRPr="00497C1D">
        <w:rPr>
          <w:i w:val="0"/>
          <w:color w:val="auto"/>
        </w:rPr>
        <w:t xml:space="preserve"> overlap). The blue band (D) marks the 2022-04-01 Quadra calibration performed under the improved DFO-derived </w:t>
      </w:r>
      <w:proofErr w:type="spellStart"/>
      <w:r w:rsidR="00497C1D" w:rsidRPr="00497C1D">
        <w:rPr>
          <w:i w:val="0"/>
          <w:color w:val="auto"/>
        </w:rPr>
        <w:t>Hakai</w:t>
      </w:r>
      <w:proofErr w:type="spellEnd"/>
      <w:r w:rsidR="00497C1D" w:rsidRPr="00497C1D">
        <w:rPr>
          <w:i w:val="0"/>
          <w:color w:val="auto"/>
        </w:rPr>
        <w:t xml:space="preserve"> methods. Note that #0982 was historically operated at Calvert and #1154 at Quadra, so their pre-2018 calibrations (blue vs green) were performed by different teams; slope and </w:t>
      </w:r>
      <w:proofErr w:type="spellStart"/>
      <w:r w:rsidR="00497C1D" w:rsidRPr="00497C1D">
        <w:rPr>
          <w:i w:val="0"/>
          <w:color w:val="auto"/>
        </w:rPr>
        <w:t>fm</w:t>
      </w:r>
      <w:proofErr w:type="spellEnd"/>
      <w:r w:rsidR="00497C1D" w:rsidRPr="00497C1D">
        <w:rPr>
          <w:i w:val="0"/>
          <w:color w:val="auto"/>
        </w:rPr>
        <w:t xml:space="preserve"> are instrument-specific and are not directly comparable between the two instruments.</w:t>
      </w:r>
    </w:p>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Pr="00AD749E" w:rsidRDefault="00AD749E" w:rsidP="00AD749E"/>
    <w:p w:rsidR="00CE68D5" w:rsidRPr="00CE68D5" w:rsidRDefault="00CE68D5" w:rsidP="00CE68D5">
      <w:pPr>
        <w:spacing w:before="100" w:beforeAutospacing="1" w:after="100" w:afterAutospacing="1" w:line="240" w:lineRule="auto"/>
        <w:outlineLvl w:val="1"/>
        <w:rPr>
          <w:rFonts w:eastAsia="Times New Roman" w:cstheme="minorHAnsi"/>
          <w:b/>
          <w:bCs/>
          <w:sz w:val="36"/>
          <w:szCs w:val="36"/>
        </w:rPr>
      </w:pPr>
      <w:r w:rsidRPr="00CE68D5">
        <w:rPr>
          <w:rFonts w:eastAsia="Times New Roman" w:cstheme="minorHAnsi"/>
          <w:b/>
          <w:bCs/>
          <w:sz w:val="36"/>
          <w:szCs w:val="36"/>
        </w:rPr>
        <w:lastRenderedPageBreak/>
        <w:t>Issue 2 — Samples above instrument sensitivity range not diluted</w:t>
      </w:r>
    </w:p>
    <w:p w:rsidR="00CE68D5" w:rsidRPr="00CE68D5" w:rsidRDefault="00CE68D5" w:rsidP="00CE68D5">
      <w:pPr>
        <w:spacing w:before="100" w:beforeAutospacing="1" w:after="100" w:afterAutospacing="1" w:line="240" w:lineRule="auto"/>
        <w:outlineLvl w:val="2"/>
        <w:rPr>
          <w:rFonts w:eastAsia="Times New Roman" w:cstheme="minorHAnsi"/>
          <w:b/>
          <w:bCs/>
          <w:sz w:val="27"/>
          <w:szCs w:val="27"/>
        </w:rPr>
      </w:pPr>
      <w:r w:rsidRPr="00CE68D5">
        <w:rPr>
          <w:rFonts w:eastAsia="Times New Roman" w:cstheme="minorHAnsi"/>
          <w:b/>
          <w:bCs/>
          <w:sz w:val="27"/>
          <w:szCs w:val="27"/>
        </w:rPr>
        <w:t>Summary</w:t>
      </w:r>
    </w:p>
    <w:p w:rsidR="00CE68D5" w:rsidRPr="00CE68D5" w:rsidRDefault="00CE68D5" w:rsidP="00CE68D5">
      <w:pPr>
        <w:spacing w:before="100" w:beforeAutospacing="1" w:after="100" w:afterAutospacing="1" w:line="240" w:lineRule="auto"/>
        <w:rPr>
          <w:rFonts w:eastAsia="Times New Roman" w:cstheme="minorHAnsi"/>
          <w:sz w:val="24"/>
          <w:szCs w:val="24"/>
        </w:rPr>
      </w:pPr>
      <w:r w:rsidRPr="00CE68D5">
        <w:rPr>
          <w:rFonts w:eastAsia="Times New Roman" w:cstheme="minorHAnsi"/>
          <w:sz w:val="24"/>
          <w:szCs w:val="24"/>
        </w:rPr>
        <w:t>Many pre-2018 bloom samples were run above the fluorometer's effective sensitivity range and are flagged as above detection level (ADL) on the portal. This occurred because the instrument's stated range applies to un-concentrated samples, whereas field samples are concentrated during extraction. Over-range samples were expected to show artificially suppressed chlorophyll (</w:t>
      </w:r>
      <w:proofErr w:type="spellStart"/>
      <w:r w:rsidRPr="00CE68D5">
        <w:rPr>
          <w:rFonts w:eastAsia="Times New Roman" w:cstheme="minorHAnsi"/>
          <w:sz w:val="24"/>
          <w:szCs w:val="24"/>
        </w:rPr>
        <w:t>Chl</w:t>
      </w:r>
      <w:proofErr w:type="spellEnd"/>
      <w:r w:rsidRPr="00CE68D5">
        <w:rPr>
          <w:rFonts w:eastAsia="Times New Roman" w:cstheme="minorHAnsi"/>
          <w:sz w:val="24"/>
          <w:szCs w:val="24"/>
        </w:rPr>
        <w:t xml:space="preserve">) due to quenching, but comparison against concurrent HPLC total chlorophyll </w:t>
      </w:r>
      <w:r w:rsidRPr="00186058">
        <w:rPr>
          <w:rFonts w:eastAsia="Times New Roman" w:cstheme="minorHAnsi"/>
          <w:i/>
          <w:iCs/>
          <w:sz w:val="24"/>
          <w:szCs w:val="24"/>
        </w:rPr>
        <w:t>a</w:t>
      </w:r>
      <w:r w:rsidRPr="00CE68D5">
        <w:rPr>
          <w:rFonts w:eastAsia="Times New Roman" w:cstheme="minorHAnsi"/>
          <w:sz w:val="24"/>
          <w:szCs w:val="24"/>
        </w:rPr>
        <w:t xml:space="preserve"> (</w:t>
      </w:r>
      <w:proofErr w:type="spellStart"/>
      <w:r w:rsidRPr="00CE68D5">
        <w:rPr>
          <w:rFonts w:eastAsia="Times New Roman" w:cstheme="minorHAnsi"/>
          <w:sz w:val="24"/>
          <w:szCs w:val="24"/>
        </w:rPr>
        <w:t>TChl</w:t>
      </w:r>
      <w:proofErr w:type="spellEnd"/>
      <w:r w:rsidRPr="00CE68D5">
        <w:rPr>
          <w:rFonts w:eastAsia="Times New Roman" w:cstheme="minorHAnsi"/>
          <w:sz w:val="24"/>
          <w:szCs w:val="24"/>
        </w:rPr>
        <w:t xml:space="preserve"> </w:t>
      </w:r>
      <w:r w:rsidRPr="00186058">
        <w:rPr>
          <w:rFonts w:eastAsia="Times New Roman" w:cstheme="minorHAnsi"/>
          <w:i/>
          <w:iCs/>
          <w:sz w:val="24"/>
          <w:szCs w:val="24"/>
        </w:rPr>
        <w:t>a</w:t>
      </w:r>
      <w:r w:rsidRPr="00CE68D5">
        <w:rPr>
          <w:rFonts w:eastAsia="Times New Roman" w:cstheme="minorHAnsi"/>
          <w:sz w:val="24"/>
          <w:szCs w:val="24"/>
        </w:rPr>
        <w:t>) does not support this</w:t>
      </w:r>
      <w:r w:rsidR="00186058" w:rsidRPr="00186058">
        <w:rPr>
          <w:rFonts w:eastAsia="Times New Roman" w:cstheme="minorHAnsi"/>
          <w:sz w:val="24"/>
          <w:szCs w:val="24"/>
        </w:rPr>
        <w:t>.</w:t>
      </w:r>
      <w:r w:rsidRPr="00CE68D5">
        <w:rPr>
          <w:rFonts w:eastAsia="Times New Roman" w:cstheme="minorHAnsi"/>
          <w:sz w:val="24"/>
          <w:szCs w:val="24"/>
        </w:rPr>
        <w:t xml:space="preserve"> </w:t>
      </w:r>
      <w:r w:rsidR="00186058" w:rsidRPr="00186058">
        <w:rPr>
          <w:rFonts w:eastAsia="Times New Roman" w:cstheme="minorHAnsi"/>
          <w:sz w:val="24"/>
          <w:szCs w:val="24"/>
        </w:rPr>
        <w:t>I</w:t>
      </w:r>
      <w:r w:rsidRPr="00CE68D5">
        <w:rPr>
          <w:rFonts w:eastAsia="Times New Roman" w:cstheme="minorHAnsi"/>
          <w:sz w:val="24"/>
          <w:szCs w:val="24"/>
        </w:rPr>
        <w:t>f anything</w:t>
      </w:r>
      <w:r w:rsidR="00186058" w:rsidRPr="00186058">
        <w:rPr>
          <w:rFonts w:eastAsia="Times New Roman" w:cstheme="minorHAnsi"/>
          <w:sz w:val="24"/>
          <w:szCs w:val="24"/>
        </w:rPr>
        <w:t>,</w:t>
      </w:r>
      <w:r w:rsidRPr="00CE68D5">
        <w:rPr>
          <w:rFonts w:eastAsia="Times New Roman" w:cstheme="minorHAnsi"/>
          <w:sz w:val="24"/>
          <w:szCs w:val="24"/>
        </w:rPr>
        <w:t xml:space="preserve"> the ADL samples read slightly high, not low. The samples therefore appear usable but carry greater uncertainty, and remain flagged as ADL.</w:t>
      </w:r>
    </w:p>
    <w:p w:rsidR="00CE68D5" w:rsidRPr="00CE68D5" w:rsidRDefault="00CE68D5" w:rsidP="00CE68D5">
      <w:pPr>
        <w:spacing w:before="100" w:beforeAutospacing="1" w:after="100" w:afterAutospacing="1" w:line="240" w:lineRule="auto"/>
        <w:outlineLvl w:val="2"/>
        <w:rPr>
          <w:rFonts w:eastAsia="Times New Roman" w:cstheme="minorHAnsi"/>
          <w:b/>
          <w:bCs/>
          <w:sz w:val="27"/>
          <w:szCs w:val="27"/>
        </w:rPr>
      </w:pPr>
      <w:r w:rsidRPr="00CE68D5">
        <w:rPr>
          <w:rFonts w:eastAsia="Times New Roman" w:cstheme="minorHAnsi"/>
          <w:b/>
          <w:bCs/>
          <w:sz w:val="27"/>
          <w:szCs w:val="27"/>
        </w:rPr>
        <w:t>Background</w:t>
      </w:r>
    </w:p>
    <w:p w:rsidR="00CE68D5" w:rsidRPr="00CE68D5" w:rsidRDefault="00CE68D5" w:rsidP="00CE68D5">
      <w:pPr>
        <w:spacing w:before="100" w:beforeAutospacing="1" w:after="100" w:afterAutospacing="1" w:line="240" w:lineRule="auto"/>
        <w:rPr>
          <w:rFonts w:eastAsia="Times New Roman" w:cstheme="minorHAnsi"/>
          <w:sz w:val="24"/>
          <w:szCs w:val="24"/>
        </w:rPr>
      </w:pPr>
      <w:r w:rsidRPr="00CE68D5">
        <w:rPr>
          <w:rFonts w:eastAsia="Times New Roman" w:cstheme="minorHAnsi"/>
          <w:sz w:val="24"/>
          <w:szCs w:val="24"/>
        </w:rPr>
        <w:t>The Turner Trilogy benchtop chlorophyll fluorometer has a stated sensitivity range of 0–300 mg m⁻³. This range was assumed to cover the concentrations seen in the field, so samples were not diluted. However, the stated range applies to un-concentrated samples, and field samples are concentrated during extraction; for concentrated samples the effective range corresponds to roughly 0–10 mg m⁻³ of ambient chlorophyll. As a result, many pre-2018 bloom samples were run above the instrument range and are flagged as above detection level (ADL) on the portal.</w:t>
      </w:r>
    </w:p>
    <w:p w:rsidR="00CE68D5" w:rsidRPr="00CE68D5" w:rsidRDefault="00CE68D5" w:rsidP="00CE68D5">
      <w:pPr>
        <w:spacing w:before="100" w:beforeAutospacing="1" w:after="100" w:afterAutospacing="1" w:line="240" w:lineRule="auto"/>
        <w:rPr>
          <w:rFonts w:eastAsia="Times New Roman" w:cstheme="minorHAnsi"/>
          <w:sz w:val="24"/>
          <w:szCs w:val="24"/>
        </w:rPr>
      </w:pPr>
      <w:r w:rsidRPr="00CE68D5">
        <w:rPr>
          <w:rFonts w:eastAsia="Times New Roman" w:cstheme="minorHAnsi"/>
          <w:sz w:val="24"/>
          <w:szCs w:val="24"/>
        </w:rPr>
        <w:t xml:space="preserve">Samples run over the sensitivity range are expected to show a quenching effect, with artificially diminished fluorescence, because both the excitation and emitted light are attenuated travelling through the highly concentrated sample back to the sensor. No literature was found </w:t>
      </w:r>
      <w:r w:rsidR="00186058" w:rsidRPr="00186058">
        <w:rPr>
          <w:rFonts w:eastAsia="Times New Roman" w:cstheme="minorHAnsi"/>
          <w:sz w:val="24"/>
          <w:szCs w:val="24"/>
        </w:rPr>
        <w:t>characterizing</w:t>
      </w:r>
      <w:r w:rsidRPr="00CE68D5">
        <w:rPr>
          <w:rFonts w:eastAsia="Times New Roman" w:cstheme="minorHAnsi"/>
          <w:sz w:val="24"/>
          <w:szCs w:val="24"/>
        </w:rPr>
        <w:t xml:space="preserve"> the strength of this effect or the magnitude of error it might introduce, so the effect was assessed empirically against HPLC.</w:t>
      </w:r>
    </w:p>
    <w:p w:rsidR="00CE68D5" w:rsidRPr="00CE68D5" w:rsidRDefault="00CE68D5" w:rsidP="00CE68D5">
      <w:pPr>
        <w:spacing w:before="100" w:beforeAutospacing="1" w:after="100" w:afterAutospacing="1" w:line="240" w:lineRule="auto"/>
        <w:outlineLvl w:val="2"/>
        <w:rPr>
          <w:rFonts w:eastAsia="Times New Roman" w:cstheme="minorHAnsi"/>
          <w:b/>
          <w:bCs/>
          <w:sz w:val="27"/>
          <w:szCs w:val="27"/>
        </w:rPr>
      </w:pPr>
      <w:r w:rsidRPr="00CE68D5">
        <w:rPr>
          <w:rFonts w:eastAsia="Times New Roman" w:cstheme="minorHAnsi"/>
          <w:b/>
          <w:bCs/>
          <w:sz w:val="27"/>
          <w:szCs w:val="27"/>
        </w:rPr>
        <w:t>Comparison with HPLC</w:t>
      </w:r>
    </w:p>
    <w:p w:rsidR="00CE68D5" w:rsidRPr="00CE68D5" w:rsidRDefault="00CE68D5" w:rsidP="00CE68D5">
      <w:pPr>
        <w:spacing w:before="100" w:beforeAutospacing="1" w:after="100" w:afterAutospacing="1" w:line="240" w:lineRule="auto"/>
        <w:rPr>
          <w:rFonts w:eastAsia="Times New Roman" w:cstheme="minorHAnsi"/>
          <w:sz w:val="24"/>
          <w:szCs w:val="24"/>
        </w:rPr>
      </w:pPr>
      <w:r w:rsidRPr="00CE68D5">
        <w:rPr>
          <w:rFonts w:eastAsia="Times New Roman" w:cstheme="minorHAnsi"/>
          <w:sz w:val="24"/>
          <w:szCs w:val="24"/>
        </w:rPr>
        <w:t xml:space="preserve">Using QU39 samples, fluorometric </w:t>
      </w:r>
      <w:proofErr w:type="spellStart"/>
      <w:r w:rsidRPr="00CE68D5">
        <w:rPr>
          <w:rFonts w:eastAsia="Times New Roman" w:cstheme="minorHAnsi"/>
          <w:sz w:val="24"/>
          <w:szCs w:val="24"/>
        </w:rPr>
        <w:t>Chl</w:t>
      </w:r>
      <w:proofErr w:type="spellEnd"/>
      <w:r w:rsidRPr="00CE68D5">
        <w:rPr>
          <w:rFonts w:eastAsia="Times New Roman" w:cstheme="minorHAnsi"/>
          <w:sz w:val="24"/>
          <w:szCs w:val="24"/>
        </w:rPr>
        <w:t xml:space="preserve"> was compared against concurrently collected HPLC </w:t>
      </w:r>
      <w:proofErr w:type="spellStart"/>
      <w:r w:rsidRPr="00CE68D5">
        <w:rPr>
          <w:rFonts w:eastAsia="Times New Roman" w:cstheme="minorHAnsi"/>
          <w:sz w:val="24"/>
          <w:szCs w:val="24"/>
        </w:rPr>
        <w:t>TChl</w:t>
      </w:r>
      <w:proofErr w:type="spellEnd"/>
      <w:r w:rsidRPr="00CE68D5">
        <w:rPr>
          <w:rFonts w:eastAsia="Times New Roman" w:cstheme="minorHAnsi"/>
          <w:sz w:val="24"/>
          <w:szCs w:val="24"/>
        </w:rPr>
        <w:t xml:space="preserve"> </w:t>
      </w:r>
      <w:r w:rsidRPr="00186058">
        <w:rPr>
          <w:rFonts w:eastAsia="Times New Roman" w:cstheme="minorHAnsi"/>
          <w:i/>
          <w:iCs/>
          <w:sz w:val="24"/>
          <w:szCs w:val="24"/>
        </w:rPr>
        <w:t>a</w:t>
      </w:r>
      <w:r w:rsidRPr="00CE68D5">
        <w:rPr>
          <w:rFonts w:eastAsia="Times New Roman" w:cstheme="minorHAnsi"/>
          <w:sz w:val="24"/>
          <w:szCs w:val="24"/>
        </w:rPr>
        <w:t xml:space="preserve"> (Figure </w:t>
      </w:r>
      <w:r w:rsidR="00186058">
        <w:rPr>
          <w:rFonts w:eastAsia="Times New Roman" w:cstheme="minorHAnsi"/>
          <w:sz w:val="24"/>
          <w:szCs w:val="24"/>
        </w:rPr>
        <w:t>3</w:t>
      </w:r>
      <w:r w:rsidRPr="00CE68D5">
        <w:rPr>
          <w:rFonts w:eastAsia="Times New Roman" w:cstheme="minorHAnsi"/>
          <w:sz w:val="24"/>
          <w:szCs w:val="24"/>
        </w:rPr>
        <w:t>). Samples were split into three groups:</w:t>
      </w:r>
    </w:p>
    <w:p w:rsidR="00CE68D5" w:rsidRPr="00CE68D5" w:rsidRDefault="00CE68D5" w:rsidP="00CE68D5">
      <w:pPr>
        <w:numPr>
          <w:ilvl w:val="0"/>
          <w:numId w:val="24"/>
        </w:numPr>
        <w:spacing w:before="100" w:beforeAutospacing="1" w:after="100" w:afterAutospacing="1" w:line="240" w:lineRule="auto"/>
        <w:rPr>
          <w:rFonts w:eastAsia="Times New Roman" w:cstheme="minorHAnsi"/>
          <w:sz w:val="24"/>
          <w:szCs w:val="24"/>
        </w:rPr>
      </w:pPr>
      <w:r w:rsidRPr="00186058">
        <w:rPr>
          <w:rFonts w:eastAsia="Times New Roman" w:cstheme="minorHAnsi"/>
          <w:b/>
          <w:bCs/>
          <w:sz w:val="24"/>
          <w:szCs w:val="24"/>
        </w:rPr>
        <w:t>in-range</w:t>
      </w:r>
      <w:r w:rsidRPr="00CE68D5">
        <w:rPr>
          <w:rFonts w:eastAsia="Times New Roman" w:cstheme="minorHAnsi"/>
          <w:sz w:val="24"/>
          <w:szCs w:val="24"/>
        </w:rPr>
        <w:t xml:space="preserve"> samples;</w:t>
      </w:r>
    </w:p>
    <w:p w:rsidR="00CE68D5" w:rsidRPr="00CE68D5" w:rsidRDefault="00CE68D5" w:rsidP="00CE68D5">
      <w:pPr>
        <w:numPr>
          <w:ilvl w:val="0"/>
          <w:numId w:val="24"/>
        </w:numPr>
        <w:spacing w:before="100" w:beforeAutospacing="1" w:after="100" w:afterAutospacing="1" w:line="240" w:lineRule="auto"/>
        <w:rPr>
          <w:rFonts w:eastAsia="Times New Roman" w:cstheme="minorHAnsi"/>
          <w:sz w:val="24"/>
          <w:szCs w:val="24"/>
        </w:rPr>
      </w:pPr>
      <w:r w:rsidRPr="00186058">
        <w:rPr>
          <w:rFonts w:eastAsia="Times New Roman" w:cstheme="minorHAnsi"/>
          <w:b/>
          <w:bCs/>
          <w:sz w:val="24"/>
          <w:szCs w:val="24"/>
        </w:rPr>
        <w:t>in-range high-biomass</w:t>
      </w:r>
      <w:r w:rsidRPr="00CE68D5">
        <w:rPr>
          <w:rFonts w:eastAsia="Times New Roman" w:cstheme="minorHAnsi"/>
          <w:sz w:val="24"/>
          <w:szCs w:val="24"/>
        </w:rPr>
        <w:t xml:space="preserve"> samples (post-2018 diluted samples with HPLC </w:t>
      </w:r>
      <w:proofErr w:type="spellStart"/>
      <w:r w:rsidRPr="00CE68D5">
        <w:rPr>
          <w:rFonts w:eastAsia="Times New Roman" w:cstheme="minorHAnsi"/>
          <w:sz w:val="24"/>
          <w:szCs w:val="24"/>
        </w:rPr>
        <w:t>TChl</w:t>
      </w:r>
      <w:proofErr w:type="spellEnd"/>
      <w:r w:rsidRPr="00CE68D5">
        <w:rPr>
          <w:rFonts w:eastAsia="Times New Roman" w:cstheme="minorHAnsi"/>
          <w:sz w:val="24"/>
          <w:szCs w:val="24"/>
        </w:rPr>
        <w:t xml:space="preserve"> </w:t>
      </w:r>
      <w:r w:rsidRPr="00186058">
        <w:rPr>
          <w:rFonts w:eastAsia="Times New Roman" w:cstheme="minorHAnsi"/>
          <w:i/>
          <w:iCs/>
          <w:sz w:val="24"/>
          <w:szCs w:val="24"/>
        </w:rPr>
        <w:t>a</w:t>
      </w:r>
      <w:r w:rsidRPr="00CE68D5">
        <w:rPr>
          <w:rFonts w:eastAsia="Times New Roman" w:cstheme="minorHAnsi"/>
          <w:sz w:val="24"/>
          <w:szCs w:val="24"/>
        </w:rPr>
        <w:t xml:space="preserve"> &gt; 5 µg/L); and</w:t>
      </w:r>
    </w:p>
    <w:p w:rsidR="00CE68D5" w:rsidRPr="00CE68D5" w:rsidRDefault="00CE68D5" w:rsidP="00CE68D5">
      <w:pPr>
        <w:numPr>
          <w:ilvl w:val="0"/>
          <w:numId w:val="24"/>
        </w:numPr>
        <w:spacing w:before="100" w:beforeAutospacing="1" w:after="100" w:afterAutospacing="1" w:line="240" w:lineRule="auto"/>
        <w:rPr>
          <w:rFonts w:eastAsia="Times New Roman" w:cstheme="minorHAnsi"/>
          <w:sz w:val="24"/>
          <w:szCs w:val="24"/>
        </w:rPr>
      </w:pPr>
      <w:r w:rsidRPr="00186058">
        <w:rPr>
          <w:rFonts w:eastAsia="Times New Roman" w:cstheme="minorHAnsi"/>
          <w:b/>
          <w:bCs/>
          <w:sz w:val="24"/>
          <w:szCs w:val="24"/>
        </w:rPr>
        <w:t>ADL</w:t>
      </w:r>
      <w:r w:rsidRPr="00CE68D5">
        <w:rPr>
          <w:rFonts w:eastAsia="Times New Roman" w:cstheme="minorHAnsi"/>
          <w:sz w:val="24"/>
          <w:szCs w:val="24"/>
        </w:rPr>
        <w:t xml:space="preserve"> samples (pre-2018 undiluted samples run above the detection level).</w:t>
      </w:r>
    </w:p>
    <w:p w:rsidR="00CE68D5" w:rsidRPr="00CE68D5" w:rsidRDefault="00CE68D5" w:rsidP="00CE68D5">
      <w:pPr>
        <w:spacing w:before="100" w:beforeAutospacing="1" w:after="100" w:afterAutospacing="1" w:line="240" w:lineRule="auto"/>
        <w:rPr>
          <w:rFonts w:eastAsia="Times New Roman" w:cstheme="minorHAnsi"/>
          <w:sz w:val="24"/>
          <w:szCs w:val="24"/>
        </w:rPr>
      </w:pPr>
      <w:r w:rsidRPr="00CE68D5">
        <w:rPr>
          <w:rFonts w:eastAsia="Times New Roman" w:cstheme="minorHAnsi"/>
          <w:sz w:val="24"/>
          <w:szCs w:val="24"/>
        </w:rPr>
        <w:t>The high-biomass in-range group serve</w:t>
      </w:r>
      <w:r w:rsidR="00186058">
        <w:rPr>
          <w:rFonts w:eastAsia="Times New Roman" w:cstheme="minorHAnsi"/>
          <w:sz w:val="24"/>
          <w:szCs w:val="24"/>
        </w:rPr>
        <w:t>d</w:t>
      </w:r>
      <w:r w:rsidRPr="00CE68D5">
        <w:rPr>
          <w:rFonts w:eastAsia="Times New Roman" w:cstheme="minorHAnsi"/>
          <w:sz w:val="24"/>
          <w:szCs w:val="24"/>
        </w:rPr>
        <w:t xml:space="preserve"> as a control: it isolates any bias associated with high biomass from any bias associated specifically with running over-range, so that the two can be distinguished.</w:t>
      </w:r>
    </w:p>
    <w:p w:rsidR="00CE68D5" w:rsidRPr="00CE68D5" w:rsidRDefault="00CE68D5" w:rsidP="00CE68D5">
      <w:pPr>
        <w:spacing w:before="100" w:beforeAutospacing="1" w:after="100" w:afterAutospacing="1" w:line="240" w:lineRule="auto"/>
        <w:rPr>
          <w:rFonts w:eastAsia="Times New Roman" w:cstheme="minorHAnsi"/>
          <w:sz w:val="24"/>
          <w:szCs w:val="24"/>
        </w:rPr>
      </w:pPr>
      <w:r w:rsidRPr="00CE68D5">
        <w:rPr>
          <w:rFonts w:eastAsia="Times New Roman" w:cstheme="minorHAnsi"/>
          <w:sz w:val="24"/>
          <w:szCs w:val="24"/>
        </w:rPr>
        <w:lastRenderedPageBreak/>
        <w:t xml:space="preserve">Over-range (ADL) samples were expected to show suppressed </w:t>
      </w:r>
      <w:proofErr w:type="spellStart"/>
      <w:r w:rsidRPr="00CE68D5">
        <w:rPr>
          <w:rFonts w:eastAsia="Times New Roman" w:cstheme="minorHAnsi"/>
          <w:sz w:val="24"/>
          <w:szCs w:val="24"/>
        </w:rPr>
        <w:t>Chl</w:t>
      </w:r>
      <w:proofErr w:type="spellEnd"/>
      <w:r w:rsidRPr="00CE68D5">
        <w:rPr>
          <w:rFonts w:eastAsia="Times New Roman" w:cstheme="minorHAnsi"/>
          <w:sz w:val="24"/>
          <w:szCs w:val="24"/>
        </w:rPr>
        <w:t xml:space="preserve"> relative to HPLC due to quenching, but this was not observed. The ADL samples did not bend toward lower </w:t>
      </w:r>
      <w:proofErr w:type="spellStart"/>
      <w:r w:rsidRPr="00CE68D5">
        <w:rPr>
          <w:rFonts w:eastAsia="Times New Roman" w:cstheme="minorHAnsi"/>
          <w:sz w:val="24"/>
          <w:szCs w:val="24"/>
        </w:rPr>
        <w:t>Chl</w:t>
      </w:r>
      <w:proofErr w:type="spellEnd"/>
      <w:r w:rsidRPr="00CE68D5">
        <w:rPr>
          <w:rFonts w:eastAsia="Times New Roman" w:cstheme="minorHAnsi"/>
          <w:sz w:val="24"/>
          <w:szCs w:val="24"/>
        </w:rPr>
        <w:t xml:space="preserve"> at high </w:t>
      </w:r>
      <w:proofErr w:type="spellStart"/>
      <w:r w:rsidRPr="00CE68D5">
        <w:rPr>
          <w:rFonts w:eastAsia="Times New Roman" w:cstheme="minorHAnsi"/>
          <w:sz w:val="24"/>
          <w:szCs w:val="24"/>
        </w:rPr>
        <w:t>TChl</w:t>
      </w:r>
      <w:proofErr w:type="spellEnd"/>
      <w:r w:rsidRPr="00CE68D5">
        <w:rPr>
          <w:rFonts w:eastAsia="Times New Roman" w:cstheme="minorHAnsi"/>
          <w:sz w:val="24"/>
          <w:szCs w:val="24"/>
        </w:rPr>
        <w:t xml:space="preserve"> </w:t>
      </w:r>
      <w:r w:rsidRPr="00186058">
        <w:rPr>
          <w:rFonts w:eastAsia="Times New Roman" w:cstheme="minorHAnsi"/>
          <w:i/>
          <w:iCs/>
          <w:sz w:val="24"/>
          <w:szCs w:val="24"/>
        </w:rPr>
        <w:t>a</w:t>
      </w:r>
      <w:r w:rsidRPr="00CE68D5">
        <w:rPr>
          <w:rFonts w:eastAsia="Times New Roman" w:cstheme="minorHAnsi"/>
          <w:sz w:val="24"/>
          <w:szCs w:val="24"/>
        </w:rPr>
        <w:t xml:space="preserve"> as quenching would predict</w:t>
      </w:r>
      <w:r w:rsidR="00186058" w:rsidRPr="00186058">
        <w:rPr>
          <w:rFonts w:eastAsia="Times New Roman" w:cstheme="minorHAnsi"/>
          <w:sz w:val="24"/>
          <w:szCs w:val="24"/>
        </w:rPr>
        <w:t>. Rather, they</w:t>
      </w:r>
      <w:r w:rsidRPr="00CE68D5">
        <w:rPr>
          <w:rFonts w:eastAsia="Times New Roman" w:cstheme="minorHAnsi"/>
          <w:sz w:val="24"/>
          <w:szCs w:val="24"/>
        </w:rPr>
        <w:t xml:space="preserve"> sat above the 1:1 line. Examining the </w:t>
      </w:r>
      <w:proofErr w:type="spellStart"/>
      <w:r w:rsidRPr="00CE68D5">
        <w:rPr>
          <w:rFonts w:eastAsia="Times New Roman" w:cstheme="minorHAnsi"/>
          <w:sz w:val="24"/>
          <w:szCs w:val="24"/>
        </w:rPr>
        <w:t>Chl</w:t>
      </w:r>
      <w:proofErr w:type="spellEnd"/>
      <w:r w:rsidRPr="00CE68D5">
        <w:rPr>
          <w:rFonts w:eastAsia="Times New Roman" w:cstheme="minorHAnsi"/>
          <w:sz w:val="24"/>
          <w:szCs w:val="24"/>
        </w:rPr>
        <w:t>/</w:t>
      </w:r>
      <w:proofErr w:type="spellStart"/>
      <w:r w:rsidRPr="00CE68D5">
        <w:rPr>
          <w:rFonts w:eastAsia="Times New Roman" w:cstheme="minorHAnsi"/>
          <w:sz w:val="24"/>
          <w:szCs w:val="24"/>
        </w:rPr>
        <w:t>TChl</w:t>
      </w:r>
      <w:proofErr w:type="spellEnd"/>
      <w:r w:rsidRPr="00CE68D5">
        <w:rPr>
          <w:rFonts w:eastAsia="Times New Roman" w:cstheme="minorHAnsi"/>
          <w:sz w:val="24"/>
          <w:szCs w:val="24"/>
        </w:rPr>
        <w:t xml:space="preserve"> </w:t>
      </w:r>
      <w:r w:rsidRPr="00186058">
        <w:rPr>
          <w:rFonts w:eastAsia="Times New Roman" w:cstheme="minorHAnsi"/>
          <w:i/>
          <w:iCs/>
          <w:sz w:val="24"/>
          <w:szCs w:val="24"/>
        </w:rPr>
        <w:t>a</w:t>
      </w:r>
      <w:r w:rsidRPr="00CE68D5">
        <w:rPr>
          <w:rFonts w:eastAsia="Times New Roman" w:cstheme="minorHAnsi"/>
          <w:sz w:val="24"/>
          <w:szCs w:val="24"/>
        </w:rPr>
        <w:t xml:space="preserve"> ratio by group</w:t>
      </w:r>
      <w:r w:rsidR="00186058">
        <w:rPr>
          <w:rFonts w:eastAsia="Times New Roman" w:cstheme="minorHAnsi"/>
          <w:sz w:val="24"/>
          <w:szCs w:val="24"/>
        </w:rPr>
        <w:t xml:space="preserve"> (Figure 3B)</w:t>
      </w:r>
      <w:r w:rsidRPr="00CE68D5">
        <w:rPr>
          <w:rFonts w:eastAsia="Times New Roman" w:cstheme="minorHAnsi"/>
          <w:sz w:val="24"/>
          <w:szCs w:val="24"/>
        </w:rPr>
        <w:t xml:space="preserve">: the in-range group </w:t>
      </w:r>
      <w:r w:rsidR="00186058" w:rsidRPr="00186058">
        <w:rPr>
          <w:rFonts w:eastAsia="Times New Roman" w:cstheme="minorHAnsi"/>
          <w:sz w:val="24"/>
          <w:szCs w:val="24"/>
        </w:rPr>
        <w:t>centered</w:t>
      </w:r>
      <w:r w:rsidRPr="00CE68D5">
        <w:rPr>
          <w:rFonts w:eastAsia="Times New Roman" w:cstheme="minorHAnsi"/>
          <w:sz w:val="24"/>
          <w:szCs w:val="24"/>
        </w:rPr>
        <w:t xml:space="preserve"> on 1.0, the in-range high-biomass group sat modestly above 1.0, and the ADL group </w:t>
      </w:r>
      <w:r w:rsidR="00186058">
        <w:rPr>
          <w:rFonts w:eastAsia="Times New Roman" w:cstheme="minorHAnsi"/>
          <w:sz w:val="24"/>
          <w:szCs w:val="24"/>
        </w:rPr>
        <w:t>showed the highest value</w:t>
      </w:r>
      <w:r w:rsidRPr="00CE68D5">
        <w:rPr>
          <w:rFonts w:eastAsia="Times New Roman" w:cstheme="minorHAnsi"/>
          <w:sz w:val="24"/>
          <w:szCs w:val="24"/>
        </w:rPr>
        <w:t>.</w:t>
      </w:r>
    </w:p>
    <w:p w:rsidR="00CE68D5" w:rsidRPr="00CE68D5" w:rsidRDefault="00CE68D5" w:rsidP="00CE68D5">
      <w:pPr>
        <w:spacing w:before="100" w:beforeAutospacing="1" w:after="100" w:afterAutospacing="1" w:line="240" w:lineRule="auto"/>
        <w:outlineLvl w:val="2"/>
        <w:rPr>
          <w:rFonts w:eastAsia="Times New Roman" w:cstheme="minorHAnsi"/>
          <w:b/>
          <w:bCs/>
          <w:sz w:val="27"/>
          <w:szCs w:val="27"/>
        </w:rPr>
      </w:pPr>
      <w:r w:rsidRPr="00CE68D5">
        <w:rPr>
          <w:rFonts w:eastAsia="Times New Roman" w:cstheme="minorHAnsi"/>
          <w:b/>
          <w:bCs/>
          <w:sz w:val="27"/>
          <w:szCs w:val="27"/>
        </w:rPr>
        <w:t>Interpretation</w:t>
      </w:r>
    </w:p>
    <w:p w:rsidR="00CE68D5" w:rsidRPr="00CE68D5" w:rsidRDefault="00186058" w:rsidP="00CE68D5">
      <w:pPr>
        <w:spacing w:before="100" w:beforeAutospacing="1" w:after="100" w:afterAutospacing="1" w:line="240" w:lineRule="auto"/>
        <w:rPr>
          <w:rFonts w:eastAsia="Times New Roman" w:cstheme="minorHAnsi"/>
          <w:sz w:val="24"/>
          <w:szCs w:val="24"/>
        </w:rPr>
      </w:pPr>
      <w:r w:rsidRPr="00186058">
        <w:rPr>
          <w:rFonts w:eastAsia="Times New Roman" w:cstheme="minorHAnsi"/>
          <w:sz w:val="24"/>
          <w:szCs w:val="24"/>
        </w:rPr>
        <w:t>T</w:t>
      </w:r>
      <w:r w:rsidR="00CE68D5" w:rsidRPr="00CE68D5">
        <w:rPr>
          <w:rFonts w:eastAsia="Times New Roman" w:cstheme="minorHAnsi"/>
          <w:sz w:val="24"/>
          <w:szCs w:val="24"/>
        </w:rPr>
        <w:t>he high-biomass in-range samples also read</w:t>
      </w:r>
      <w:r w:rsidRPr="00186058">
        <w:rPr>
          <w:rFonts w:eastAsia="Times New Roman" w:cstheme="minorHAnsi"/>
          <w:sz w:val="24"/>
          <w:szCs w:val="24"/>
        </w:rPr>
        <w:t>ing</w:t>
      </w:r>
      <w:r w:rsidR="00CE68D5" w:rsidRPr="00CE68D5">
        <w:rPr>
          <w:rFonts w:eastAsia="Times New Roman" w:cstheme="minorHAnsi"/>
          <w:sz w:val="24"/>
          <w:szCs w:val="24"/>
        </w:rPr>
        <w:t xml:space="preserve"> high relative to HPLC indicates a positive bias associated with high biomass</w:t>
      </w:r>
      <w:r w:rsidRPr="00186058">
        <w:rPr>
          <w:rFonts w:eastAsia="Times New Roman" w:cstheme="minorHAnsi"/>
          <w:sz w:val="24"/>
          <w:szCs w:val="24"/>
        </w:rPr>
        <w:t xml:space="preserve">. This effect was </w:t>
      </w:r>
      <w:r w:rsidR="00CE68D5" w:rsidRPr="00CE68D5">
        <w:rPr>
          <w:rFonts w:eastAsia="Times New Roman" w:cstheme="minorHAnsi"/>
          <w:sz w:val="24"/>
          <w:szCs w:val="24"/>
        </w:rPr>
        <w:t xml:space="preserve">likely </w:t>
      </w:r>
      <w:r w:rsidRPr="00186058">
        <w:rPr>
          <w:rFonts w:eastAsia="Times New Roman" w:cstheme="minorHAnsi"/>
          <w:sz w:val="24"/>
          <w:szCs w:val="24"/>
        </w:rPr>
        <w:t xml:space="preserve">due to </w:t>
      </w:r>
      <w:r w:rsidR="00CE68D5" w:rsidRPr="00CE68D5">
        <w:rPr>
          <w:rFonts w:eastAsia="Times New Roman" w:cstheme="minorHAnsi"/>
          <w:sz w:val="24"/>
          <w:szCs w:val="24"/>
        </w:rPr>
        <w:t xml:space="preserve">the influence of accessory pigments on the less specific fluorometric determination of </w:t>
      </w:r>
      <w:proofErr w:type="spellStart"/>
      <w:r w:rsidR="00CE68D5" w:rsidRPr="00CE68D5">
        <w:rPr>
          <w:rFonts w:eastAsia="Times New Roman" w:cstheme="minorHAnsi"/>
          <w:sz w:val="24"/>
          <w:szCs w:val="24"/>
        </w:rPr>
        <w:t>Chl</w:t>
      </w:r>
      <w:proofErr w:type="spellEnd"/>
      <w:r w:rsidRPr="00186058">
        <w:rPr>
          <w:rFonts w:eastAsia="Times New Roman" w:cstheme="minorHAnsi"/>
          <w:sz w:val="24"/>
          <w:szCs w:val="24"/>
        </w:rPr>
        <w:t xml:space="preserve"> </w:t>
      </w:r>
      <w:r w:rsidR="00CE68D5" w:rsidRPr="00CE68D5">
        <w:rPr>
          <w:rFonts w:eastAsia="Times New Roman" w:cstheme="minorHAnsi"/>
          <w:sz w:val="24"/>
          <w:szCs w:val="24"/>
        </w:rPr>
        <w:t>that is independent of the detection range. The ADL group showed a further elevation above this high-biomass baseline, together with greater scatter, which may reflect residual effects of running over-range and/or the limited number and narrow concentration range of the ADL samples.</w:t>
      </w:r>
    </w:p>
    <w:p w:rsidR="00CE68D5" w:rsidRPr="00CE68D5" w:rsidRDefault="00CE68D5" w:rsidP="00CE68D5">
      <w:pPr>
        <w:spacing w:before="100" w:beforeAutospacing="1" w:after="100" w:afterAutospacing="1" w:line="240" w:lineRule="auto"/>
        <w:rPr>
          <w:rFonts w:eastAsia="Times New Roman" w:cstheme="minorHAnsi"/>
          <w:sz w:val="24"/>
          <w:szCs w:val="24"/>
        </w:rPr>
      </w:pPr>
      <w:r w:rsidRPr="00CE68D5">
        <w:rPr>
          <w:rFonts w:eastAsia="Times New Roman" w:cstheme="minorHAnsi"/>
          <w:sz w:val="24"/>
          <w:szCs w:val="24"/>
        </w:rPr>
        <w:t xml:space="preserve">Critically, the over-range samples were biased </w:t>
      </w:r>
      <w:r w:rsidRPr="00186058">
        <w:rPr>
          <w:rFonts w:eastAsia="Times New Roman" w:cstheme="minorHAnsi"/>
          <w:iCs/>
          <w:sz w:val="24"/>
          <w:szCs w:val="24"/>
        </w:rPr>
        <w:t>high</w:t>
      </w:r>
      <w:r w:rsidRPr="00CE68D5">
        <w:rPr>
          <w:rFonts w:eastAsia="Times New Roman" w:cstheme="minorHAnsi"/>
          <w:sz w:val="24"/>
          <w:szCs w:val="24"/>
        </w:rPr>
        <w:t xml:space="preserve"> rather than low</w:t>
      </w:r>
      <w:r w:rsidR="00186058" w:rsidRPr="00186058">
        <w:rPr>
          <w:rFonts w:eastAsia="Times New Roman" w:cstheme="minorHAnsi"/>
          <w:sz w:val="24"/>
          <w:szCs w:val="24"/>
        </w:rPr>
        <w:t xml:space="preserve">, which was </w:t>
      </w:r>
      <w:r w:rsidRPr="00CE68D5">
        <w:rPr>
          <w:rFonts w:eastAsia="Times New Roman" w:cstheme="minorHAnsi"/>
          <w:sz w:val="24"/>
          <w:szCs w:val="24"/>
        </w:rPr>
        <w:t>the opposite of what quenching would produce</w:t>
      </w:r>
      <w:r w:rsidR="00186058" w:rsidRPr="00186058">
        <w:rPr>
          <w:rFonts w:eastAsia="Times New Roman" w:cstheme="minorHAnsi"/>
          <w:sz w:val="24"/>
          <w:szCs w:val="24"/>
        </w:rPr>
        <w:t>.</w:t>
      </w:r>
      <w:r w:rsidRPr="00CE68D5">
        <w:rPr>
          <w:rFonts w:eastAsia="Times New Roman" w:cstheme="minorHAnsi"/>
          <w:sz w:val="24"/>
          <w:szCs w:val="24"/>
        </w:rPr>
        <w:t xml:space="preserve"> </w:t>
      </w:r>
      <w:r w:rsidR="00186058" w:rsidRPr="00186058">
        <w:rPr>
          <w:rFonts w:eastAsia="Times New Roman" w:cstheme="minorHAnsi"/>
          <w:sz w:val="24"/>
          <w:szCs w:val="24"/>
        </w:rPr>
        <w:t xml:space="preserve">Therefore, </w:t>
      </w:r>
      <w:r w:rsidRPr="00CE68D5">
        <w:rPr>
          <w:rFonts w:eastAsia="Times New Roman" w:cstheme="minorHAnsi"/>
          <w:sz w:val="24"/>
          <w:szCs w:val="24"/>
        </w:rPr>
        <w:t>the original concern of artificially diminished fluorescence is not supported. These samples appear usable, but they carry greater uncertainty and remain flagged as ADL on the portal; they should not be treated as quantitatively equivalent to in-range samples.</w:t>
      </w:r>
    </w:p>
    <w:p w:rsidR="00CE68D5" w:rsidRPr="00CE68D5" w:rsidRDefault="00CE68D5" w:rsidP="00CE68D5">
      <w:pPr>
        <w:spacing w:before="100" w:beforeAutospacing="1" w:after="100" w:afterAutospacing="1" w:line="240" w:lineRule="auto"/>
        <w:outlineLvl w:val="2"/>
        <w:rPr>
          <w:rFonts w:eastAsia="Times New Roman" w:cstheme="minorHAnsi"/>
          <w:b/>
          <w:bCs/>
          <w:sz w:val="27"/>
          <w:szCs w:val="27"/>
        </w:rPr>
      </w:pPr>
      <w:r w:rsidRPr="00CE68D5">
        <w:rPr>
          <w:rFonts w:eastAsia="Times New Roman" w:cstheme="minorHAnsi"/>
          <w:b/>
          <w:bCs/>
          <w:sz w:val="27"/>
          <w:szCs w:val="27"/>
        </w:rPr>
        <w:t>Actions taken and current status</w:t>
      </w:r>
    </w:p>
    <w:p w:rsidR="00CE68D5" w:rsidRPr="00CE68D5" w:rsidRDefault="00CE68D5" w:rsidP="00CE68D5">
      <w:pPr>
        <w:spacing w:before="100" w:beforeAutospacing="1" w:after="100" w:afterAutospacing="1" w:line="240" w:lineRule="auto"/>
        <w:rPr>
          <w:rFonts w:eastAsia="Times New Roman" w:cstheme="minorHAnsi"/>
          <w:sz w:val="24"/>
          <w:szCs w:val="24"/>
        </w:rPr>
      </w:pPr>
      <w:r w:rsidRPr="00CE68D5">
        <w:rPr>
          <w:rFonts w:eastAsia="Times New Roman" w:cstheme="minorHAnsi"/>
          <w:sz w:val="24"/>
          <w:szCs w:val="24"/>
        </w:rPr>
        <w:t>From 2019-01-01 onward, all above-detection-level (ADL) samples were diluted to fall within the instrument's range prior to analysis. Pre-2018 ADL samples remain flagged on the portal and are usable with the caveats above.</w:t>
      </w:r>
    </w:p>
    <w:p w:rsidR="00CE68D5" w:rsidRDefault="00CE68D5" w:rsidP="009F47FF">
      <w:pPr>
        <w:spacing w:before="100" w:beforeAutospacing="1" w:after="100" w:afterAutospacing="1" w:line="240" w:lineRule="auto"/>
        <w:outlineLvl w:val="1"/>
        <w:rPr>
          <w:rFonts w:eastAsia="Times New Roman" w:cstheme="minorHAnsi"/>
          <w:b/>
          <w:bCs/>
          <w:sz w:val="36"/>
          <w:szCs w:val="36"/>
        </w:rPr>
      </w:pPr>
    </w:p>
    <w:p w:rsidR="00CE68D5" w:rsidRDefault="00CE68D5" w:rsidP="009F47FF">
      <w:pPr>
        <w:spacing w:before="100" w:beforeAutospacing="1" w:after="100" w:afterAutospacing="1" w:line="240" w:lineRule="auto"/>
        <w:outlineLvl w:val="1"/>
        <w:rPr>
          <w:rFonts w:eastAsia="Times New Roman" w:cstheme="minorHAnsi"/>
          <w:b/>
          <w:bCs/>
          <w:sz w:val="36"/>
          <w:szCs w:val="36"/>
        </w:rPr>
      </w:pPr>
    </w:p>
    <w:p w:rsidR="00CE68D5" w:rsidRDefault="00CE68D5" w:rsidP="009F47FF">
      <w:pPr>
        <w:spacing w:before="100" w:beforeAutospacing="1" w:after="100" w:afterAutospacing="1" w:line="240" w:lineRule="auto"/>
        <w:outlineLvl w:val="1"/>
        <w:rPr>
          <w:rFonts w:eastAsia="Times New Roman" w:cstheme="minorHAnsi"/>
          <w:b/>
          <w:bCs/>
          <w:sz w:val="36"/>
          <w:szCs w:val="36"/>
        </w:rPr>
      </w:pPr>
    </w:p>
    <w:p w:rsidR="00D31489" w:rsidRDefault="00D31489" w:rsidP="00912BC1">
      <w:pPr>
        <w:pStyle w:val="NoSpacing"/>
        <w:rPr>
          <w:sz w:val="24"/>
        </w:rPr>
      </w:pPr>
    </w:p>
    <w:p w:rsidR="00D31489" w:rsidRDefault="00AD749E" w:rsidP="00D31489">
      <w:pPr>
        <w:pStyle w:val="NoSpacing"/>
        <w:keepNext/>
      </w:pPr>
      <w:r>
        <w:rPr>
          <w:noProof/>
        </w:rPr>
        <w:lastRenderedPageBreak/>
        <w:drawing>
          <wp:inline distT="0" distB="0" distL="0" distR="0">
            <wp:extent cx="59436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plc_adl_comparis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E61229" w:rsidRPr="00186058" w:rsidRDefault="00D31489" w:rsidP="00D31489">
      <w:pPr>
        <w:pStyle w:val="Caption"/>
        <w:rPr>
          <w:i w:val="0"/>
          <w:color w:val="auto"/>
          <w:sz w:val="24"/>
        </w:rPr>
      </w:pPr>
      <w:r w:rsidRPr="00186058">
        <w:rPr>
          <w:i w:val="0"/>
          <w:color w:val="auto"/>
        </w:rPr>
        <w:t xml:space="preserve">Figure </w:t>
      </w:r>
      <w:r w:rsidR="00293CC3" w:rsidRPr="00186058">
        <w:rPr>
          <w:i w:val="0"/>
          <w:color w:val="auto"/>
        </w:rPr>
        <w:fldChar w:fldCharType="begin"/>
      </w:r>
      <w:r w:rsidR="00293CC3" w:rsidRPr="00186058">
        <w:rPr>
          <w:i w:val="0"/>
          <w:color w:val="auto"/>
        </w:rPr>
        <w:instrText xml:space="preserve"> SEQ Figure \* ARABIC </w:instrText>
      </w:r>
      <w:r w:rsidR="00293CC3" w:rsidRPr="00186058">
        <w:rPr>
          <w:i w:val="0"/>
          <w:color w:val="auto"/>
        </w:rPr>
        <w:fldChar w:fldCharType="separate"/>
      </w:r>
      <w:r w:rsidR="00962E4D" w:rsidRPr="00186058">
        <w:rPr>
          <w:i w:val="0"/>
          <w:noProof/>
          <w:color w:val="auto"/>
        </w:rPr>
        <w:t>3</w:t>
      </w:r>
      <w:r w:rsidR="00293CC3" w:rsidRPr="00186058">
        <w:rPr>
          <w:i w:val="0"/>
          <w:noProof/>
          <w:color w:val="auto"/>
        </w:rPr>
        <w:fldChar w:fldCharType="end"/>
      </w:r>
      <w:r w:rsidRPr="00186058">
        <w:rPr>
          <w:i w:val="0"/>
          <w:color w:val="auto"/>
        </w:rPr>
        <w:t xml:space="preserve"> - Comparison of fluorometric chlorophyll (</w:t>
      </w:r>
      <w:proofErr w:type="spellStart"/>
      <w:r w:rsidRPr="00186058">
        <w:rPr>
          <w:i w:val="0"/>
          <w:color w:val="auto"/>
        </w:rPr>
        <w:t>Chl</w:t>
      </w:r>
      <w:proofErr w:type="spellEnd"/>
      <w:r w:rsidRPr="00186058">
        <w:rPr>
          <w:i w:val="0"/>
          <w:color w:val="auto"/>
        </w:rPr>
        <w:t xml:space="preserve">) against concurrently collected HPLC total chlorophyll </w:t>
      </w:r>
      <w:r w:rsidRPr="00186058">
        <w:rPr>
          <w:rStyle w:val="Emphasis"/>
          <w:i/>
          <w:color w:val="auto"/>
        </w:rPr>
        <w:t>a</w:t>
      </w:r>
      <w:r w:rsidRPr="00186058">
        <w:rPr>
          <w:i w:val="0"/>
          <w:color w:val="auto"/>
        </w:rPr>
        <w:t xml:space="preserve"> (</w:t>
      </w:r>
      <w:proofErr w:type="spellStart"/>
      <w:r w:rsidRPr="00186058">
        <w:rPr>
          <w:i w:val="0"/>
          <w:color w:val="auto"/>
        </w:rPr>
        <w:t>TChl</w:t>
      </w:r>
      <w:proofErr w:type="spellEnd"/>
      <w:r w:rsidRPr="00186058">
        <w:rPr>
          <w:i w:val="0"/>
          <w:color w:val="auto"/>
        </w:rPr>
        <w:t xml:space="preserve"> </w:t>
      </w:r>
      <w:r w:rsidRPr="00186058">
        <w:rPr>
          <w:rStyle w:val="Emphasis"/>
          <w:i/>
          <w:color w:val="auto"/>
        </w:rPr>
        <w:t>a</w:t>
      </w:r>
      <w:r w:rsidRPr="00186058">
        <w:rPr>
          <w:i w:val="0"/>
          <w:color w:val="auto"/>
        </w:rPr>
        <w:t xml:space="preserve">) for QU39 samples. Samples are grouped as in-range, in-range high-biomass (HPLC </w:t>
      </w:r>
      <w:proofErr w:type="spellStart"/>
      <w:r w:rsidRPr="00186058">
        <w:rPr>
          <w:i w:val="0"/>
          <w:color w:val="auto"/>
        </w:rPr>
        <w:t>TChl</w:t>
      </w:r>
      <w:proofErr w:type="spellEnd"/>
      <w:r w:rsidRPr="00186058">
        <w:rPr>
          <w:i w:val="0"/>
          <w:color w:val="auto"/>
        </w:rPr>
        <w:t xml:space="preserve"> </w:t>
      </w:r>
      <w:r w:rsidRPr="00186058">
        <w:rPr>
          <w:rStyle w:val="Emphasis"/>
          <w:i/>
          <w:color w:val="auto"/>
        </w:rPr>
        <w:t>a</w:t>
      </w:r>
      <w:r w:rsidRPr="00186058">
        <w:rPr>
          <w:i w:val="0"/>
          <w:color w:val="auto"/>
        </w:rPr>
        <w:t xml:space="preserve"> &gt; 5 µg/L), and above the instrument sensitivity range (ADL). </w:t>
      </w:r>
      <w:r w:rsidRPr="00186058">
        <w:rPr>
          <w:rStyle w:val="Strong"/>
          <w:i w:val="0"/>
          <w:color w:val="auto"/>
        </w:rPr>
        <w:t>(A)</w:t>
      </w:r>
      <w:r w:rsidRPr="00186058">
        <w:rPr>
          <w:i w:val="0"/>
          <w:color w:val="auto"/>
        </w:rPr>
        <w:t xml:space="preserve"> Fluorometric </w:t>
      </w:r>
      <w:proofErr w:type="spellStart"/>
      <w:r w:rsidRPr="00186058">
        <w:rPr>
          <w:i w:val="0"/>
          <w:color w:val="auto"/>
        </w:rPr>
        <w:t>Chl</w:t>
      </w:r>
      <w:proofErr w:type="spellEnd"/>
      <w:r w:rsidRPr="00186058">
        <w:rPr>
          <w:i w:val="0"/>
          <w:color w:val="auto"/>
        </w:rPr>
        <w:t xml:space="preserve"> versus HPLC </w:t>
      </w:r>
      <w:proofErr w:type="spellStart"/>
      <w:r w:rsidRPr="00186058">
        <w:rPr>
          <w:i w:val="0"/>
          <w:color w:val="auto"/>
        </w:rPr>
        <w:t>TChl</w:t>
      </w:r>
      <w:proofErr w:type="spellEnd"/>
      <w:r w:rsidRPr="00186058">
        <w:rPr>
          <w:i w:val="0"/>
          <w:color w:val="auto"/>
        </w:rPr>
        <w:t xml:space="preserve"> </w:t>
      </w:r>
      <w:r w:rsidRPr="00186058">
        <w:rPr>
          <w:rStyle w:val="Emphasis"/>
          <w:i/>
          <w:color w:val="auto"/>
        </w:rPr>
        <w:t>a</w:t>
      </w:r>
      <w:r w:rsidRPr="00186058">
        <w:rPr>
          <w:i w:val="0"/>
          <w:color w:val="auto"/>
        </w:rPr>
        <w:t xml:space="preserve">; the solid line is the 1:1 relationship. </w:t>
      </w:r>
      <w:r w:rsidRPr="00186058">
        <w:rPr>
          <w:rStyle w:val="Strong"/>
          <w:i w:val="0"/>
          <w:color w:val="auto"/>
        </w:rPr>
        <w:t>(B)</w:t>
      </w:r>
      <w:r w:rsidRPr="00186058">
        <w:rPr>
          <w:i w:val="0"/>
          <w:color w:val="auto"/>
        </w:rPr>
        <w:t xml:space="preserve"> Ratio of fluorometric </w:t>
      </w:r>
      <w:proofErr w:type="spellStart"/>
      <w:r w:rsidRPr="00186058">
        <w:rPr>
          <w:i w:val="0"/>
          <w:color w:val="auto"/>
        </w:rPr>
        <w:t>Chl</w:t>
      </w:r>
      <w:proofErr w:type="spellEnd"/>
      <w:r w:rsidRPr="00186058">
        <w:rPr>
          <w:i w:val="0"/>
          <w:color w:val="auto"/>
        </w:rPr>
        <w:t xml:space="preserve"> to HPLC </w:t>
      </w:r>
      <w:proofErr w:type="spellStart"/>
      <w:r w:rsidRPr="00186058">
        <w:rPr>
          <w:i w:val="0"/>
          <w:color w:val="auto"/>
        </w:rPr>
        <w:t>TChl</w:t>
      </w:r>
      <w:proofErr w:type="spellEnd"/>
      <w:r w:rsidRPr="00186058">
        <w:rPr>
          <w:i w:val="0"/>
          <w:color w:val="auto"/>
        </w:rPr>
        <w:t xml:space="preserve"> </w:t>
      </w:r>
      <w:r w:rsidRPr="00186058">
        <w:rPr>
          <w:rStyle w:val="Emphasis"/>
          <w:i/>
          <w:color w:val="auto"/>
        </w:rPr>
        <w:t>a</w:t>
      </w:r>
      <w:r w:rsidRPr="00186058">
        <w:rPr>
          <w:i w:val="0"/>
          <w:color w:val="auto"/>
        </w:rPr>
        <w:t xml:space="preserve"> by group (boxplots; points are individual samples); the dashed line marks a ratio of 1.0 (agreement). Values above 1.0 indicate fluorometric </w:t>
      </w:r>
      <w:proofErr w:type="spellStart"/>
      <w:r w:rsidRPr="00186058">
        <w:rPr>
          <w:i w:val="0"/>
          <w:color w:val="auto"/>
        </w:rPr>
        <w:t>Chl</w:t>
      </w:r>
      <w:proofErr w:type="spellEnd"/>
      <w:r w:rsidRPr="00186058">
        <w:rPr>
          <w:i w:val="0"/>
          <w:color w:val="auto"/>
        </w:rPr>
        <w:t xml:space="preserve"> exceeds HPLC </w:t>
      </w:r>
      <w:proofErr w:type="spellStart"/>
      <w:r w:rsidRPr="00186058">
        <w:rPr>
          <w:i w:val="0"/>
          <w:color w:val="auto"/>
        </w:rPr>
        <w:t>TChl</w:t>
      </w:r>
      <w:proofErr w:type="spellEnd"/>
      <w:r w:rsidRPr="00186058">
        <w:rPr>
          <w:i w:val="0"/>
          <w:color w:val="auto"/>
        </w:rPr>
        <w:t xml:space="preserve"> </w:t>
      </w:r>
      <w:r w:rsidRPr="00186058">
        <w:rPr>
          <w:rStyle w:val="Emphasis"/>
          <w:i/>
          <w:color w:val="auto"/>
        </w:rPr>
        <w:t>a</w:t>
      </w:r>
      <w:r w:rsidRPr="00186058">
        <w:rPr>
          <w:i w:val="0"/>
          <w:color w:val="auto"/>
        </w:rPr>
        <w:t xml:space="preserve">. </w:t>
      </w:r>
    </w:p>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186058" w:rsidRDefault="00186058" w:rsidP="00AD749E"/>
    <w:p w:rsidR="00186058" w:rsidRDefault="00186058" w:rsidP="00AD749E"/>
    <w:p w:rsidR="00186058" w:rsidRDefault="00186058" w:rsidP="00AD749E"/>
    <w:p w:rsidR="00AD749E" w:rsidRPr="00B27369" w:rsidRDefault="00EA018C" w:rsidP="00EA018C">
      <w:pPr>
        <w:spacing w:before="100" w:beforeAutospacing="1" w:after="100" w:afterAutospacing="1" w:line="240" w:lineRule="auto"/>
        <w:outlineLvl w:val="1"/>
        <w:rPr>
          <w:rFonts w:eastAsia="Times New Roman" w:cstheme="minorHAnsi"/>
          <w:b/>
          <w:bCs/>
          <w:sz w:val="36"/>
          <w:szCs w:val="36"/>
        </w:rPr>
      </w:pPr>
      <w:r w:rsidRPr="00B27369">
        <w:rPr>
          <w:rFonts w:eastAsia="Times New Roman" w:cstheme="minorHAnsi"/>
          <w:b/>
          <w:bCs/>
          <w:sz w:val="36"/>
          <w:szCs w:val="36"/>
        </w:rPr>
        <w:lastRenderedPageBreak/>
        <w:t xml:space="preserve">Issue </w:t>
      </w:r>
      <w:r w:rsidR="00AD749E" w:rsidRPr="00B27369">
        <w:rPr>
          <w:rFonts w:eastAsia="Times New Roman" w:cstheme="minorHAnsi"/>
          <w:b/>
          <w:bCs/>
          <w:sz w:val="36"/>
          <w:szCs w:val="36"/>
        </w:rPr>
        <w:t>3</w:t>
      </w:r>
      <w:r w:rsidRPr="00B27369">
        <w:rPr>
          <w:rFonts w:eastAsia="Times New Roman" w:cstheme="minorHAnsi"/>
          <w:b/>
          <w:bCs/>
          <w:sz w:val="36"/>
          <w:szCs w:val="36"/>
        </w:rPr>
        <w:t xml:space="preserve"> </w:t>
      </w:r>
      <w:r w:rsidR="00AD749E" w:rsidRPr="00B27369">
        <w:rPr>
          <w:rFonts w:eastAsia="Times New Roman" w:cstheme="minorHAnsi"/>
          <w:b/>
          <w:bCs/>
          <w:sz w:val="36"/>
          <w:szCs w:val="36"/>
        </w:rPr>
        <w:t xml:space="preserve">- </w:t>
      </w:r>
      <w:r w:rsidRPr="00B27369">
        <w:rPr>
          <w:rFonts w:eastAsia="Times New Roman" w:cstheme="minorHAnsi"/>
          <w:b/>
          <w:bCs/>
          <w:sz w:val="36"/>
          <w:szCs w:val="36"/>
        </w:rPr>
        <w:t>Acid contamination of Calvert samples</w:t>
      </w:r>
    </w:p>
    <w:p w:rsidR="00EA018C" w:rsidRPr="00B27369" w:rsidRDefault="00EA018C" w:rsidP="00EA018C">
      <w:pPr>
        <w:spacing w:before="100" w:beforeAutospacing="1" w:after="100" w:afterAutospacing="1" w:line="240" w:lineRule="auto"/>
        <w:outlineLvl w:val="2"/>
        <w:rPr>
          <w:rFonts w:eastAsia="Times New Roman" w:cstheme="minorHAnsi"/>
          <w:b/>
          <w:bCs/>
          <w:sz w:val="27"/>
          <w:szCs w:val="27"/>
        </w:rPr>
      </w:pPr>
      <w:r w:rsidRPr="00B27369">
        <w:rPr>
          <w:rFonts w:eastAsia="Times New Roman" w:cstheme="minorHAnsi"/>
          <w:b/>
          <w:bCs/>
          <w:sz w:val="27"/>
          <w:szCs w:val="27"/>
        </w:rPr>
        <w:t>Summary</w:t>
      </w:r>
    </w:p>
    <w:p w:rsidR="00EA018C"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A subset of chlorophyll samples analyzed at the Calvert Island research station between 2015 and 2017 (predominantly 2016) were affected by acid contamination. Affected samples returned anomalously low chlorophyll and high phaeopigment concentrations, driven by low acid ratios (</w:t>
      </w:r>
      <w:proofErr w:type="spellStart"/>
      <w:r w:rsidRPr="00B27369">
        <w:rPr>
          <w:rFonts w:eastAsia="Times New Roman" w:cstheme="minorHAnsi"/>
          <w:sz w:val="24"/>
          <w:szCs w:val="24"/>
        </w:rPr>
        <w:t>fm</w:t>
      </w:r>
      <w:proofErr w:type="spellEnd"/>
      <w:r w:rsidRPr="00B27369">
        <w:rPr>
          <w:rFonts w:eastAsia="Times New Roman" w:cstheme="minorHAnsi"/>
          <w:sz w:val="24"/>
          <w:szCs w:val="24"/>
        </w:rPr>
        <w:t>). The contamination was confined to specific analysis days on which nearly all samples were affected, indicating an analysis-session source</w:t>
      </w:r>
      <w:r w:rsidR="00962E4D">
        <w:rPr>
          <w:rFonts w:eastAsia="Times New Roman" w:cstheme="minorHAnsi"/>
          <w:sz w:val="24"/>
          <w:szCs w:val="24"/>
        </w:rPr>
        <w:t xml:space="preserve">. </w:t>
      </w:r>
      <w:r w:rsidRPr="00B27369">
        <w:rPr>
          <w:rFonts w:eastAsia="Times New Roman" w:cstheme="minorHAnsi"/>
          <w:sz w:val="24"/>
          <w:szCs w:val="24"/>
        </w:rPr>
        <w:t xml:space="preserve">Protocols were subsequently introduced to prevent and detect the problem, and no further </w:t>
      </w:r>
      <w:r w:rsidR="00B27369">
        <w:rPr>
          <w:rFonts w:eastAsia="Times New Roman" w:cstheme="minorHAnsi"/>
          <w:sz w:val="24"/>
          <w:szCs w:val="24"/>
        </w:rPr>
        <w:t xml:space="preserve">analysis day wide </w:t>
      </w:r>
      <w:r w:rsidRPr="00B27369">
        <w:rPr>
          <w:rFonts w:eastAsia="Times New Roman" w:cstheme="minorHAnsi"/>
          <w:sz w:val="24"/>
          <w:szCs w:val="24"/>
        </w:rPr>
        <w:t>contamination has been observed since.</w:t>
      </w:r>
    </w:p>
    <w:p w:rsidR="00EA018C" w:rsidRPr="00B27369" w:rsidRDefault="00EA018C" w:rsidP="00EA018C">
      <w:pPr>
        <w:spacing w:before="100" w:beforeAutospacing="1" w:after="100" w:afterAutospacing="1" w:line="240" w:lineRule="auto"/>
        <w:outlineLvl w:val="2"/>
        <w:rPr>
          <w:rFonts w:eastAsia="Times New Roman" w:cstheme="minorHAnsi"/>
          <w:b/>
          <w:bCs/>
          <w:sz w:val="27"/>
          <w:szCs w:val="27"/>
        </w:rPr>
      </w:pPr>
      <w:r w:rsidRPr="00B27369">
        <w:rPr>
          <w:rFonts w:eastAsia="Times New Roman" w:cstheme="minorHAnsi"/>
          <w:b/>
          <w:bCs/>
          <w:sz w:val="27"/>
          <w:szCs w:val="27"/>
        </w:rPr>
        <w:t>Background</w:t>
      </w:r>
    </w:p>
    <w:p w:rsidR="00BD3EA3" w:rsidRPr="00BD3EA3" w:rsidRDefault="00BD3EA3" w:rsidP="00BD3EA3">
      <w:pPr>
        <w:spacing w:before="100" w:beforeAutospacing="1" w:after="100" w:afterAutospacing="1" w:line="240" w:lineRule="auto"/>
        <w:rPr>
          <w:rFonts w:eastAsia="Times New Roman" w:cstheme="minorHAnsi"/>
          <w:sz w:val="24"/>
          <w:szCs w:val="24"/>
        </w:rPr>
      </w:pPr>
      <w:r w:rsidRPr="00BD3EA3">
        <w:rPr>
          <w:rFonts w:eastAsia="Times New Roman" w:cstheme="minorHAnsi"/>
          <w:sz w:val="24"/>
          <w:szCs w:val="24"/>
        </w:rPr>
        <w:t>The acid ratio (</w:t>
      </w:r>
      <w:proofErr w:type="spellStart"/>
      <w:r w:rsidRPr="00BD3EA3">
        <w:rPr>
          <w:rFonts w:eastAsia="Times New Roman" w:cstheme="minorHAnsi"/>
          <w:sz w:val="24"/>
          <w:szCs w:val="24"/>
        </w:rPr>
        <w:t>fm</w:t>
      </w:r>
      <w:proofErr w:type="spellEnd"/>
      <w:r w:rsidRPr="00BD3EA3">
        <w:rPr>
          <w:rFonts w:eastAsia="Times New Roman" w:cstheme="minorHAnsi"/>
          <w:sz w:val="24"/>
          <w:szCs w:val="24"/>
        </w:rPr>
        <w:t xml:space="preserve">) is a diagnostic of sample quality and the degree of chlorophyll degradation. In normal analysis, a reading is taken before and after acidifying the sample; the before-acid reading reflects total </w:t>
      </w:r>
      <w:r>
        <w:rPr>
          <w:rFonts w:eastAsia="Times New Roman" w:cstheme="minorHAnsi"/>
          <w:sz w:val="24"/>
          <w:szCs w:val="24"/>
        </w:rPr>
        <w:t xml:space="preserve">chlorophyll </w:t>
      </w:r>
      <w:r w:rsidRPr="00BD3EA3">
        <w:rPr>
          <w:rFonts w:eastAsia="Times New Roman" w:cstheme="minorHAnsi"/>
          <w:sz w:val="24"/>
          <w:szCs w:val="24"/>
        </w:rPr>
        <w:t>fluorescence and the after-acid reading the fully-degraded (phaeopigment) state</w:t>
      </w:r>
      <w:r>
        <w:rPr>
          <w:rFonts w:eastAsia="Times New Roman" w:cstheme="minorHAnsi"/>
          <w:sz w:val="24"/>
          <w:szCs w:val="24"/>
        </w:rPr>
        <w:t>.</w:t>
      </w:r>
      <w:r w:rsidRPr="00BD3EA3">
        <w:rPr>
          <w:rFonts w:eastAsia="Times New Roman" w:cstheme="minorHAnsi"/>
          <w:sz w:val="24"/>
          <w:szCs w:val="24"/>
        </w:rPr>
        <w:t xml:space="preserve"> </w:t>
      </w:r>
      <w:r>
        <w:rPr>
          <w:rFonts w:eastAsia="Times New Roman" w:cstheme="minorHAnsi"/>
          <w:sz w:val="24"/>
          <w:szCs w:val="24"/>
        </w:rPr>
        <w:t>T</w:t>
      </w:r>
      <w:r w:rsidRPr="00BD3EA3">
        <w:rPr>
          <w:rFonts w:eastAsia="Times New Roman" w:cstheme="minorHAnsi"/>
          <w:sz w:val="24"/>
          <w:szCs w:val="24"/>
        </w:rPr>
        <w:t>he difference between the</w:t>
      </w:r>
      <w:r>
        <w:rPr>
          <w:rFonts w:eastAsia="Times New Roman" w:cstheme="minorHAnsi"/>
          <w:sz w:val="24"/>
          <w:szCs w:val="24"/>
        </w:rPr>
        <w:t>se readings</w:t>
      </w:r>
      <w:r w:rsidRPr="00BD3EA3">
        <w:rPr>
          <w:rFonts w:eastAsia="Times New Roman" w:cstheme="minorHAnsi"/>
          <w:sz w:val="24"/>
          <w:szCs w:val="24"/>
        </w:rPr>
        <w:t xml:space="preserve"> allows calculation of the chlorophyll and phaeopigment concentrations of the sample. Low </w:t>
      </w:r>
      <w:proofErr w:type="spellStart"/>
      <w:r w:rsidRPr="00BD3EA3">
        <w:rPr>
          <w:rFonts w:eastAsia="Times New Roman" w:cstheme="minorHAnsi"/>
          <w:sz w:val="24"/>
          <w:szCs w:val="24"/>
        </w:rPr>
        <w:t>fm</w:t>
      </w:r>
      <w:proofErr w:type="spellEnd"/>
      <w:r w:rsidRPr="00BD3EA3">
        <w:rPr>
          <w:rFonts w:eastAsia="Times New Roman" w:cstheme="minorHAnsi"/>
          <w:sz w:val="24"/>
          <w:szCs w:val="24"/>
        </w:rPr>
        <w:t xml:space="preserve"> (high phaeopigment concentrations) does occur naturally</w:t>
      </w:r>
      <w:r w:rsidR="0032135B">
        <w:rPr>
          <w:rFonts w:eastAsia="Times New Roman" w:cstheme="minorHAnsi"/>
          <w:sz w:val="24"/>
          <w:szCs w:val="24"/>
        </w:rPr>
        <w:t xml:space="preserve"> </w:t>
      </w:r>
      <w:r w:rsidR="00715C28" w:rsidRPr="00715C28">
        <w:rPr>
          <w:rFonts w:eastAsia="Times New Roman" w:cstheme="minorHAnsi"/>
          <w:sz w:val="24"/>
          <w:szCs w:val="24"/>
        </w:rPr>
        <w:t>consistently in deep samples (&gt;100 m) and periodically during senescent surface-assemblage conditions</w:t>
      </w:r>
      <w:r w:rsidRPr="00BD3EA3">
        <w:rPr>
          <w:rFonts w:eastAsia="Times New Roman" w:cstheme="minorHAnsi"/>
          <w:sz w:val="24"/>
          <w:szCs w:val="24"/>
        </w:rPr>
        <w:t xml:space="preserve">. Low </w:t>
      </w:r>
      <w:proofErr w:type="spellStart"/>
      <w:r w:rsidRPr="00BD3EA3">
        <w:rPr>
          <w:rFonts w:eastAsia="Times New Roman" w:cstheme="minorHAnsi"/>
          <w:sz w:val="24"/>
          <w:szCs w:val="24"/>
        </w:rPr>
        <w:t>fm</w:t>
      </w:r>
      <w:proofErr w:type="spellEnd"/>
      <w:r w:rsidRPr="00BD3EA3">
        <w:rPr>
          <w:rFonts w:eastAsia="Times New Roman" w:cstheme="minorHAnsi"/>
          <w:sz w:val="24"/>
          <w:szCs w:val="24"/>
        </w:rPr>
        <w:t xml:space="preserve"> is therefore not in itself evidence of contamination.</w:t>
      </w:r>
    </w:p>
    <w:p w:rsidR="009454FE" w:rsidRPr="009454FE" w:rsidRDefault="009454FE" w:rsidP="009454FE">
      <w:pPr>
        <w:spacing w:before="100" w:beforeAutospacing="1" w:after="100" w:afterAutospacing="1" w:line="240" w:lineRule="auto"/>
        <w:rPr>
          <w:rFonts w:eastAsia="Times New Roman" w:cstheme="minorHAnsi"/>
          <w:sz w:val="24"/>
          <w:szCs w:val="24"/>
        </w:rPr>
      </w:pPr>
      <w:r w:rsidRPr="009454FE">
        <w:rPr>
          <w:rFonts w:eastAsia="Times New Roman" w:cstheme="minorHAnsi"/>
          <w:sz w:val="24"/>
          <w:szCs w:val="24"/>
        </w:rPr>
        <w:t xml:space="preserve">Acid contamination acidifies the sample before the before-acid reading is taken, suppressing that reading relative to the after-acid value. This drives </w:t>
      </w:r>
      <w:proofErr w:type="spellStart"/>
      <w:r w:rsidRPr="009454FE">
        <w:rPr>
          <w:rFonts w:eastAsia="Times New Roman" w:cstheme="minorHAnsi"/>
          <w:sz w:val="24"/>
          <w:szCs w:val="24"/>
        </w:rPr>
        <w:t>fm</w:t>
      </w:r>
      <w:proofErr w:type="spellEnd"/>
      <w:r w:rsidRPr="009454FE">
        <w:rPr>
          <w:rFonts w:eastAsia="Times New Roman" w:cstheme="minorHAnsi"/>
          <w:sz w:val="24"/>
          <w:szCs w:val="24"/>
        </w:rPr>
        <w:t xml:space="preserve"> toward 1 and produces artificially low chlorophyll and high phaeopigment (degradation product) concentrations</w:t>
      </w:r>
      <w:r w:rsidR="0032135B">
        <w:rPr>
          <w:rFonts w:eastAsia="Times New Roman" w:cstheme="minorHAnsi"/>
          <w:sz w:val="24"/>
          <w:szCs w:val="24"/>
        </w:rPr>
        <w:t xml:space="preserve">. </w:t>
      </w:r>
      <w:r w:rsidRPr="009454FE">
        <w:rPr>
          <w:rFonts w:eastAsia="Times New Roman" w:cstheme="minorHAnsi"/>
          <w:sz w:val="24"/>
          <w:szCs w:val="24"/>
        </w:rPr>
        <w:t xml:space="preserve">Low </w:t>
      </w:r>
      <w:proofErr w:type="spellStart"/>
      <w:r w:rsidRPr="009454FE">
        <w:rPr>
          <w:rFonts w:eastAsia="Times New Roman" w:cstheme="minorHAnsi"/>
          <w:sz w:val="24"/>
          <w:szCs w:val="24"/>
        </w:rPr>
        <w:t>fm</w:t>
      </w:r>
      <w:proofErr w:type="spellEnd"/>
      <w:r w:rsidRPr="009454FE">
        <w:rPr>
          <w:rFonts w:eastAsia="Times New Roman" w:cstheme="minorHAnsi"/>
          <w:sz w:val="24"/>
          <w:szCs w:val="24"/>
        </w:rPr>
        <w:t xml:space="preserve"> across an entire analysis day, where samples from different collection days and </w:t>
      </w:r>
      <w:r w:rsidR="00715C28">
        <w:rPr>
          <w:rFonts w:eastAsia="Times New Roman" w:cstheme="minorHAnsi"/>
          <w:sz w:val="24"/>
          <w:szCs w:val="24"/>
        </w:rPr>
        <w:t xml:space="preserve">biological </w:t>
      </w:r>
      <w:r w:rsidRPr="009454FE">
        <w:rPr>
          <w:rFonts w:eastAsia="Times New Roman" w:cstheme="minorHAnsi"/>
          <w:sz w:val="24"/>
          <w:szCs w:val="24"/>
        </w:rPr>
        <w:t>conditions are run together, is highly suggestive of contamination.</w:t>
      </w:r>
    </w:p>
    <w:p w:rsidR="009454FE" w:rsidRDefault="009454FE" w:rsidP="009454FE">
      <w:pPr>
        <w:spacing w:before="100" w:beforeAutospacing="1" w:after="100" w:afterAutospacing="1" w:line="240" w:lineRule="auto"/>
        <w:rPr>
          <w:rFonts w:eastAsia="Times New Roman" w:cstheme="minorHAnsi"/>
          <w:sz w:val="24"/>
          <w:szCs w:val="24"/>
        </w:rPr>
      </w:pPr>
      <w:r w:rsidRPr="009454FE">
        <w:rPr>
          <w:rFonts w:eastAsia="Times New Roman" w:cstheme="minorHAnsi"/>
          <w:sz w:val="24"/>
          <w:szCs w:val="24"/>
        </w:rPr>
        <w:t>The</w:t>
      </w:r>
      <w:r w:rsidR="0032135B">
        <w:rPr>
          <w:rFonts w:eastAsia="Times New Roman" w:cstheme="minorHAnsi"/>
          <w:sz w:val="24"/>
          <w:szCs w:val="24"/>
        </w:rPr>
        <w:t xml:space="preserve"> contamination</w:t>
      </w:r>
      <w:r w:rsidRPr="009454FE">
        <w:rPr>
          <w:rFonts w:eastAsia="Times New Roman" w:cstheme="minorHAnsi"/>
          <w:sz w:val="24"/>
          <w:szCs w:val="24"/>
        </w:rPr>
        <w:t xml:space="preserve"> problem was originally noticed as abnormally low </w:t>
      </w:r>
      <w:r w:rsidR="0032135B">
        <w:rPr>
          <w:rFonts w:eastAsia="Times New Roman" w:cstheme="minorHAnsi"/>
          <w:sz w:val="24"/>
          <w:szCs w:val="24"/>
        </w:rPr>
        <w:t xml:space="preserve">growing season </w:t>
      </w:r>
      <w:r w:rsidRPr="009454FE">
        <w:rPr>
          <w:rFonts w:eastAsia="Times New Roman" w:cstheme="minorHAnsi"/>
          <w:sz w:val="24"/>
          <w:szCs w:val="24"/>
        </w:rPr>
        <w:t xml:space="preserve">values in the chlorophyll concentration time-series. </w:t>
      </w:r>
      <w:r w:rsidR="0032135B">
        <w:rPr>
          <w:rFonts w:eastAsia="Times New Roman" w:cstheme="minorHAnsi"/>
          <w:sz w:val="24"/>
          <w:szCs w:val="24"/>
        </w:rPr>
        <w:t xml:space="preserve">These samples were then compared to CTD fluorescence measurements confirming that they were abnormally low. </w:t>
      </w:r>
      <w:r w:rsidRPr="009454FE">
        <w:rPr>
          <w:rFonts w:eastAsia="Times New Roman" w:cstheme="minorHAnsi"/>
          <w:sz w:val="24"/>
          <w:szCs w:val="24"/>
        </w:rPr>
        <w:t>Tracing these anomalous samples back to their analysis dates revealed that they clustered on specific analysis days, on which nearly all samples showed low fm</w:t>
      </w:r>
      <w:r w:rsidR="0032135B">
        <w:rPr>
          <w:rFonts w:eastAsia="Times New Roman" w:cstheme="minorHAnsi"/>
          <w:sz w:val="24"/>
          <w:szCs w:val="24"/>
        </w:rPr>
        <w:t xml:space="preserve">. This </w:t>
      </w:r>
      <w:r w:rsidRPr="009454FE">
        <w:rPr>
          <w:rFonts w:eastAsia="Times New Roman" w:cstheme="minorHAnsi"/>
          <w:sz w:val="24"/>
          <w:szCs w:val="24"/>
        </w:rPr>
        <w:t>point</w:t>
      </w:r>
      <w:r w:rsidR="0032135B">
        <w:rPr>
          <w:rFonts w:eastAsia="Times New Roman" w:cstheme="minorHAnsi"/>
          <w:sz w:val="24"/>
          <w:szCs w:val="24"/>
        </w:rPr>
        <w:t>ed</w:t>
      </w:r>
      <w:r w:rsidRPr="009454FE">
        <w:rPr>
          <w:rFonts w:eastAsia="Times New Roman" w:cstheme="minorHAnsi"/>
          <w:sz w:val="24"/>
          <w:szCs w:val="24"/>
        </w:rPr>
        <w:t xml:space="preserve"> to an analysis-session source rather than a property of the individual samples.</w:t>
      </w:r>
    </w:p>
    <w:p w:rsidR="00EA018C" w:rsidRPr="00962E4D" w:rsidRDefault="00EA018C" w:rsidP="009454FE">
      <w:pPr>
        <w:spacing w:before="100" w:beforeAutospacing="1" w:after="100" w:afterAutospacing="1" w:line="240" w:lineRule="auto"/>
        <w:rPr>
          <w:rFonts w:eastAsia="Times New Roman" w:cstheme="minorHAnsi"/>
          <w:sz w:val="24"/>
          <w:szCs w:val="24"/>
        </w:rPr>
      </w:pPr>
      <w:r w:rsidRPr="00B27369">
        <w:rPr>
          <w:rFonts w:eastAsia="Times New Roman" w:cstheme="minorHAnsi"/>
          <w:b/>
          <w:bCs/>
          <w:sz w:val="27"/>
          <w:szCs w:val="27"/>
        </w:rPr>
        <w:t>Identifying contaminated analysis days</w:t>
      </w:r>
    </w:p>
    <w:p w:rsidR="00962E4D"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 xml:space="preserve">Each analysis day was classified by the proportion of its samples with </w:t>
      </w:r>
      <w:proofErr w:type="spellStart"/>
      <w:r w:rsidRPr="00B27369">
        <w:rPr>
          <w:rFonts w:eastAsia="Times New Roman" w:cstheme="minorHAnsi"/>
          <w:sz w:val="24"/>
          <w:szCs w:val="24"/>
        </w:rPr>
        <w:t>fm</w:t>
      </w:r>
      <w:proofErr w:type="spellEnd"/>
      <w:r w:rsidRPr="00B27369">
        <w:rPr>
          <w:rFonts w:eastAsia="Times New Roman" w:cstheme="minorHAnsi"/>
          <w:sz w:val="24"/>
          <w:szCs w:val="24"/>
        </w:rPr>
        <w:t xml:space="preserve"> </w:t>
      </w:r>
      <w:r w:rsidR="00B27369">
        <w:rPr>
          <w:rFonts w:eastAsia="Times New Roman" w:cstheme="minorHAnsi"/>
          <w:sz w:val="24"/>
          <w:szCs w:val="24"/>
        </w:rPr>
        <w:t>&lt;</w:t>
      </w:r>
      <w:r w:rsidRPr="00B27369">
        <w:rPr>
          <w:rFonts w:eastAsia="Times New Roman" w:cstheme="minorHAnsi"/>
          <w:sz w:val="24"/>
          <w:szCs w:val="24"/>
        </w:rPr>
        <w:t xml:space="preserve"> 1.2</w:t>
      </w:r>
      <w:r w:rsidR="0032135B">
        <w:rPr>
          <w:rFonts w:eastAsia="Times New Roman" w:cstheme="minorHAnsi"/>
          <w:sz w:val="24"/>
          <w:szCs w:val="24"/>
        </w:rPr>
        <w:t>.</w:t>
      </w:r>
      <w:r w:rsidRPr="00B27369">
        <w:rPr>
          <w:rFonts w:eastAsia="Times New Roman" w:cstheme="minorHAnsi"/>
          <w:sz w:val="24"/>
          <w:szCs w:val="24"/>
        </w:rPr>
        <w:t xml:space="preserve"> </w:t>
      </w:r>
      <w:r w:rsidR="0032135B">
        <w:rPr>
          <w:rFonts w:eastAsia="Times New Roman" w:cstheme="minorHAnsi"/>
          <w:sz w:val="24"/>
          <w:szCs w:val="24"/>
        </w:rPr>
        <w:t>D</w:t>
      </w:r>
      <w:r w:rsidRPr="00B27369">
        <w:rPr>
          <w:rFonts w:eastAsia="Times New Roman" w:cstheme="minorHAnsi"/>
          <w:sz w:val="24"/>
          <w:szCs w:val="24"/>
        </w:rPr>
        <w:t xml:space="preserve">ays on which ≥ 80% of samples fell below this threshold were flagged as </w:t>
      </w:r>
      <w:r w:rsidR="00962E4D">
        <w:rPr>
          <w:rFonts w:eastAsia="Times New Roman" w:cstheme="minorHAnsi"/>
          <w:sz w:val="24"/>
          <w:szCs w:val="24"/>
        </w:rPr>
        <w:t xml:space="preserve">being potentially </w:t>
      </w:r>
      <w:r w:rsidRPr="00B27369">
        <w:rPr>
          <w:rFonts w:eastAsia="Times New Roman" w:cstheme="minorHAnsi"/>
          <w:sz w:val="24"/>
          <w:szCs w:val="24"/>
        </w:rPr>
        <w:t xml:space="preserve">contaminated. All filter types and depths were included </w:t>
      </w:r>
      <w:r w:rsidR="00962E4D">
        <w:rPr>
          <w:rFonts w:eastAsia="Times New Roman" w:cstheme="minorHAnsi"/>
          <w:sz w:val="24"/>
          <w:szCs w:val="24"/>
        </w:rPr>
        <w:t>in the analysis, but smaller filter sizes from size-fractionated samples (</w:t>
      </w:r>
      <w:r w:rsidR="00715C28">
        <w:rPr>
          <w:rFonts w:eastAsia="Times New Roman" w:cstheme="minorHAnsi"/>
          <w:sz w:val="24"/>
          <w:szCs w:val="24"/>
        </w:rPr>
        <w:t>&lt; 3μm</w:t>
      </w:r>
      <w:r w:rsidR="00962E4D">
        <w:rPr>
          <w:rFonts w:eastAsia="Times New Roman" w:cstheme="minorHAnsi"/>
          <w:sz w:val="24"/>
          <w:szCs w:val="24"/>
        </w:rPr>
        <w:t xml:space="preserve">) tend to show greater proportions of naturally low </w:t>
      </w:r>
      <w:proofErr w:type="spellStart"/>
      <w:r w:rsidR="00962E4D">
        <w:rPr>
          <w:rFonts w:eastAsia="Times New Roman" w:cstheme="minorHAnsi"/>
          <w:sz w:val="24"/>
          <w:szCs w:val="24"/>
        </w:rPr>
        <w:t>fm</w:t>
      </w:r>
      <w:proofErr w:type="spellEnd"/>
      <w:r w:rsidR="00962E4D">
        <w:rPr>
          <w:rFonts w:eastAsia="Times New Roman" w:cstheme="minorHAnsi"/>
          <w:sz w:val="24"/>
          <w:szCs w:val="24"/>
        </w:rPr>
        <w:t xml:space="preserve"> and nearly all samples from &gt; 100m depth show low fm.</w:t>
      </w:r>
    </w:p>
    <w:p w:rsidR="00193140" w:rsidRDefault="00962E4D" w:rsidP="00EA018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Over the entire time-series, m</w:t>
      </w:r>
      <w:r w:rsidR="00EA018C" w:rsidRPr="00B27369">
        <w:rPr>
          <w:rFonts w:eastAsia="Times New Roman" w:cstheme="minorHAnsi"/>
          <w:sz w:val="24"/>
          <w:szCs w:val="24"/>
        </w:rPr>
        <w:t xml:space="preserve">ost analysis days </w:t>
      </w:r>
      <w:r>
        <w:rPr>
          <w:rFonts w:eastAsia="Times New Roman" w:cstheme="minorHAnsi"/>
          <w:sz w:val="24"/>
          <w:szCs w:val="24"/>
        </w:rPr>
        <w:t>show</w:t>
      </w:r>
      <w:r w:rsidR="001425E4">
        <w:rPr>
          <w:rFonts w:eastAsia="Times New Roman" w:cstheme="minorHAnsi"/>
          <w:sz w:val="24"/>
          <w:szCs w:val="24"/>
        </w:rPr>
        <w:t>ed</w:t>
      </w:r>
      <w:r>
        <w:rPr>
          <w:rFonts w:eastAsia="Times New Roman" w:cstheme="minorHAnsi"/>
          <w:sz w:val="24"/>
          <w:szCs w:val="24"/>
        </w:rPr>
        <w:t xml:space="preserve"> no or relatively few </w:t>
      </w:r>
      <w:r w:rsidR="00EA018C" w:rsidRPr="00B27369">
        <w:rPr>
          <w:rFonts w:eastAsia="Times New Roman" w:cstheme="minorHAnsi"/>
          <w:sz w:val="24"/>
          <w:szCs w:val="24"/>
        </w:rPr>
        <w:t>low-</w:t>
      </w:r>
      <w:proofErr w:type="spellStart"/>
      <w:r w:rsidR="00EA018C" w:rsidRPr="00B27369">
        <w:rPr>
          <w:rFonts w:eastAsia="Times New Roman" w:cstheme="minorHAnsi"/>
          <w:sz w:val="24"/>
          <w:szCs w:val="24"/>
        </w:rPr>
        <w:t>fm</w:t>
      </w:r>
      <w:proofErr w:type="spellEnd"/>
      <w:r w:rsidR="00EA018C" w:rsidRPr="00B27369">
        <w:rPr>
          <w:rFonts w:eastAsia="Times New Roman" w:cstheme="minorHAnsi"/>
          <w:sz w:val="24"/>
          <w:szCs w:val="24"/>
        </w:rPr>
        <w:t xml:space="preserve"> samples</w:t>
      </w:r>
      <w:r w:rsidR="00193140">
        <w:rPr>
          <w:rFonts w:eastAsia="Times New Roman" w:cstheme="minorHAnsi"/>
          <w:sz w:val="24"/>
          <w:szCs w:val="24"/>
        </w:rPr>
        <w:t xml:space="preserve"> (&lt;20%, Figure 4A). Relatively few analysis days showed &gt;80% of samples with low-</w:t>
      </w:r>
      <w:proofErr w:type="spellStart"/>
      <w:r w:rsidR="00193140">
        <w:rPr>
          <w:rFonts w:eastAsia="Times New Roman" w:cstheme="minorHAnsi"/>
          <w:sz w:val="24"/>
          <w:szCs w:val="24"/>
        </w:rPr>
        <w:t>fm</w:t>
      </w:r>
      <w:proofErr w:type="spellEnd"/>
      <w:r w:rsidR="00193140">
        <w:rPr>
          <w:rFonts w:eastAsia="Times New Roman" w:cstheme="minorHAnsi"/>
          <w:sz w:val="24"/>
          <w:szCs w:val="24"/>
        </w:rPr>
        <w:t>, but the majority of these were from 2016. While there was overlap due to naturally low-</w:t>
      </w:r>
      <w:proofErr w:type="spellStart"/>
      <w:r w:rsidR="00193140">
        <w:rPr>
          <w:rFonts w:eastAsia="Times New Roman" w:cstheme="minorHAnsi"/>
          <w:sz w:val="24"/>
          <w:szCs w:val="24"/>
        </w:rPr>
        <w:t>fm</w:t>
      </w:r>
      <w:proofErr w:type="spellEnd"/>
      <w:r w:rsidR="00193140">
        <w:rPr>
          <w:rFonts w:eastAsia="Times New Roman" w:cstheme="minorHAnsi"/>
          <w:sz w:val="24"/>
          <w:szCs w:val="24"/>
        </w:rPr>
        <w:t xml:space="preserve"> and also, higher </w:t>
      </w:r>
      <w:proofErr w:type="spellStart"/>
      <w:r w:rsidR="00193140">
        <w:rPr>
          <w:rFonts w:eastAsia="Times New Roman" w:cstheme="minorHAnsi"/>
          <w:sz w:val="24"/>
          <w:szCs w:val="24"/>
        </w:rPr>
        <w:t>fm</w:t>
      </w:r>
      <w:proofErr w:type="spellEnd"/>
      <w:r w:rsidR="00193140">
        <w:rPr>
          <w:rFonts w:eastAsia="Times New Roman" w:cstheme="minorHAnsi"/>
          <w:sz w:val="24"/>
          <w:szCs w:val="24"/>
        </w:rPr>
        <w:t xml:space="preserve"> samples within contamination days, the median </w:t>
      </w:r>
      <w:proofErr w:type="spellStart"/>
      <w:r w:rsidR="00193140">
        <w:rPr>
          <w:rFonts w:eastAsia="Times New Roman" w:cstheme="minorHAnsi"/>
          <w:sz w:val="24"/>
          <w:szCs w:val="24"/>
        </w:rPr>
        <w:t>fm</w:t>
      </w:r>
      <w:proofErr w:type="spellEnd"/>
      <w:r w:rsidR="00193140">
        <w:rPr>
          <w:rFonts w:eastAsia="Times New Roman" w:cstheme="minorHAnsi"/>
          <w:sz w:val="24"/>
          <w:szCs w:val="24"/>
        </w:rPr>
        <w:t xml:space="preserve"> of the contaminated days was notably lower when compared to more characteristic analysis days (Figure 4B).</w:t>
      </w:r>
      <w:r w:rsidR="001425E4">
        <w:rPr>
          <w:rFonts w:eastAsia="Times New Roman" w:cstheme="minorHAnsi"/>
          <w:sz w:val="24"/>
          <w:szCs w:val="24"/>
        </w:rPr>
        <w:t xml:space="preserve"> Generally, deep samples were interspersed across analysis days, but there was a single analysis day in 2024 that was comprised entirely of deep samples and showed a high proportion of low </w:t>
      </w:r>
      <w:proofErr w:type="spellStart"/>
      <w:r w:rsidR="001425E4">
        <w:rPr>
          <w:rFonts w:eastAsia="Times New Roman" w:cstheme="minorHAnsi"/>
          <w:sz w:val="24"/>
          <w:szCs w:val="24"/>
        </w:rPr>
        <w:t>fm</w:t>
      </w:r>
      <w:proofErr w:type="spellEnd"/>
      <w:r w:rsidR="001425E4">
        <w:rPr>
          <w:rFonts w:eastAsia="Times New Roman" w:cstheme="minorHAnsi"/>
          <w:sz w:val="24"/>
          <w:szCs w:val="24"/>
        </w:rPr>
        <w:t xml:space="preserve"> samples.</w:t>
      </w:r>
    </w:p>
    <w:p w:rsidR="00EA018C" w:rsidRPr="00193140" w:rsidRDefault="00EA018C" w:rsidP="00193140">
      <w:pPr>
        <w:spacing w:before="100" w:beforeAutospacing="1" w:after="100" w:afterAutospacing="1" w:line="240" w:lineRule="auto"/>
        <w:rPr>
          <w:rFonts w:eastAsia="Times New Roman" w:cstheme="minorHAnsi"/>
          <w:sz w:val="24"/>
          <w:szCs w:val="24"/>
        </w:rPr>
      </w:pPr>
      <w:r w:rsidRPr="00B27369">
        <w:rPr>
          <w:rFonts w:eastAsia="Times New Roman" w:cstheme="minorHAnsi"/>
          <w:b/>
          <w:bCs/>
          <w:sz w:val="27"/>
          <w:szCs w:val="27"/>
        </w:rPr>
        <w:t>Corroboration with HPLC</w:t>
      </w:r>
    </w:p>
    <w:p w:rsidR="00193140" w:rsidRDefault="00193140" w:rsidP="00EA018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Simultaneously collected HPLC-</w:t>
      </w:r>
      <w:proofErr w:type="spellStart"/>
      <w:r>
        <w:rPr>
          <w:rFonts w:eastAsia="Times New Roman" w:cstheme="minorHAnsi"/>
          <w:sz w:val="24"/>
          <w:szCs w:val="24"/>
        </w:rPr>
        <w:t>TChla</w:t>
      </w:r>
      <w:proofErr w:type="spellEnd"/>
      <w:r>
        <w:rPr>
          <w:rFonts w:eastAsia="Times New Roman" w:cstheme="minorHAnsi"/>
          <w:sz w:val="24"/>
          <w:szCs w:val="24"/>
        </w:rPr>
        <w:t xml:space="preserve"> samples were available for comparison with a subset of the bulk</w:t>
      </w:r>
      <w:r w:rsidR="00C3562E">
        <w:rPr>
          <w:rFonts w:eastAsia="Times New Roman" w:cstheme="minorHAnsi"/>
          <w:sz w:val="24"/>
          <w:szCs w:val="24"/>
        </w:rPr>
        <w:t xml:space="preserve"> (bulk GF/F, not size fractionated)</w:t>
      </w:r>
      <w:r>
        <w:rPr>
          <w:rFonts w:eastAsia="Times New Roman" w:cstheme="minorHAnsi"/>
          <w:sz w:val="24"/>
          <w:szCs w:val="24"/>
        </w:rPr>
        <w:t xml:space="preserve"> fluorometric chlorophyll samples that were run both within and outside of suspected contamination days</w:t>
      </w:r>
      <w:r w:rsidR="00C3562E">
        <w:rPr>
          <w:rFonts w:eastAsia="Times New Roman" w:cstheme="minorHAnsi"/>
          <w:sz w:val="24"/>
          <w:szCs w:val="24"/>
        </w:rPr>
        <w:t xml:space="preserve"> </w:t>
      </w:r>
      <w:r>
        <w:rPr>
          <w:rFonts w:eastAsia="Times New Roman" w:cstheme="minorHAnsi"/>
          <w:sz w:val="24"/>
          <w:szCs w:val="24"/>
        </w:rPr>
        <w:t>(Figure 5)</w:t>
      </w:r>
      <w:r w:rsidR="00C3562E">
        <w:rPr>
          <w:rFonts w:eastAsia="Times New Roman" w:cstheme="minorHAnsi"/>
          <w:sz w:val="24"/>
          <w:szCs w:val="24"/>
        </w:rPr>
        <w:t>. The HPLC-</w:t>
      </w:r>
      <w:proofErr w:type="spellStart"/>
      <w:r w:rsidR="00C3562E">
        <w:rPr>
          <w:rFonts w:eastAsia="Times New Roman" w:cstheme="minorHAnsi"/>
          <w:sz w:val="24"/>
          <w:szCs w:val="24"/>
        </w:rPr>
        <w:t>TChla</w:t>
      </w:r>
      <w:proofErr w:type="spellEnd"/>
      <w:r w:rsidR="00C3562E">
        <w:rPr>
          <w:rFonts w:eastAsia="Times New Roman" w:cstheme="minorHAnsi"/>
          <w:sz w:val="24"/>
          <w:szCs w:val="24"/>
        </w:rPr>
        <w:t xml:space="preserve"> samples do not have an acidification step in the analysis and are free from the suspected contamination making them an independent control to compare against.</w:t>
      </w:r>
    </w:p>
    <w:p w:rsidR="00193140" w:rsidRDefault="00C3562E" w:rsidP="00EA018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Available comparison samples with </w:t>
      </w:r>
      <w:proofErr w:type="spellStart"/>
      <w:r>
        <w:rPr>
          <w:rFonts w:eastAsia="Times New Roman" w:cstheme="minorHAnsi"/>
          <w:sz w:val="24"/>
          <w:szCs w:val="24"/>
        </w:rPr>
        <w:t>fm</w:t>
      </w:r>
      <w:proofErr w:type="spellEnd"/>
      <w:r>
        <w:rPr>
          <w:rFonts w:eastAsia="Times New Roman" w:cstheme="minorHAnsi"/>
          <w:sz w:val="24"/>
          <w:szCs w:val="24"/>
        </w:rPr>
        <w:t xml:space="preserve"> &lt; 1.2 generally showed considerably lower fluorometric chlorophyll than HPLC-</w:t>
      </w:r>
      <w:proofErr w:type="spellStart"/>
      <w:r>
        <w:rPr>
          <w:rFonts w:eastAsia="Times New Roman" w:cstheme="minorHAnsi"/>
          <w:sz w:val="24"/>
          <w:szCs w:val="24"/>
        </w:rPr>
        <w:t>TChla</w:t>
      </w:r>
      <w:proofErr w:type="spellEnd"/>
      <w:r>
        <w:rPr>
          <w:rFonts w:eastAsia="Times New Roman" w:cstheme="minorHAnsi"/>
          <w:sz w:val="24"/>
          <w:szCs w:val="24"/>
        </w:rPr>
        <w:t xml:space="preserve"> with </w:t>
      </w:r>
      <w:proofErr w:type="spellStart"/>
      <w:r>
        <w:rPr>
          <w:rFonts w:eastAsia="Times New Roman" w:cstheme="minorHAnsi"/>
          <w:sz w:val="24"/>
          <w:szCs w:val="24"/>
        </w:rPr>
        <w:t>fm</w:t>
      </w:r>
      <w:proofErr w:type="spellEnd"/>
      <w:r>
        <w:rPr>
          <w:rFonts w:eastAsia="Times New Roman" w:cstheme="minorHAnsi"/>
          <w:sz w:val="24"/>
          <w:szCs w:val="24"/>
        </w:rPr>
        <w:t xml:space="preserve"> &gt;1.2; although some low </w:t>
      </w:r>
      <w:proofErr w:type="spellStart"/>
      <w:r>
        <w:rPr>
          <w:rFonts w:eastAsia="Times New Roman" w:cstheme="minorHAnsi"/>
          <w:sz w:val="24"/>
          <w:szCs w:val="24"/>
        </w:rPr>
        <w:t>fm</w:t>
      </w:r>
      <w:proofErr w:type="spellEnd"/>
      <w:r>
        <w:rPr>
          <w:rFonts w:eastAsia="Times New Roman" w:cstheme="minorHAnsi"/>
          <w:sz w:val="24"/>
          <w:szCs w:val="24"/>
        </w:rPr>
        <w:t xml:space="preserve"> samples fell within the expected relationship (Figure 5A). All of the low </w:t>
      </w:r>
      <w:proofErr w:type="spellStart"/>
      <w:r>
        <w:rPr>
          <w:rFonts w:eastAsia="Times New Roman" w:cstheme="minorHAnsi"/>
          <w:sz w:val="24"/>
          <w:szCs w:val="24"/>
        </w:rPr>
        <w:t>fm</w:t>
      </w:r>
      <w:proofErr w:type="spellEnd"/>
      <w:r>
        <w:rPr>
          <w:rFonts w:eastAsia="Times New Roman" w:cstheme="minorHAnsi"/>
          <w:sz w:val="24"/>
          <w:szCs w:val="24"/>
        </w:rPr>
        <w:t xml:space="preserve"> outlier samples were analyzed on days with high proportions of low </w:t>
      </w:r>
      <w:proofErr w:type="spellStart"/>
      <w:r>
        <w:rPr>
          <w:rFonts w:eastAsia="Times New Roman" w:cstheme="minorHAnsi"/>
          <w:sz w:val="24"/>
          <w:szCs w:val="24"/>
        </w:rPr>
        <w:t>fm</w:t>
      </w:r>
      <w:proofErr w:type="spellEnd"/>
      <w:r>
        <w:rPr>
          <w:rFonts w:eastAsia="Times New Roman" w:cstheme="minorHAnsi"/>
          <w:sz w:val="24"/>
          <w:szCs w:val="24"/>
        </w:rPr>
        <w:t xml:space="preserve"> samples (Figure 5B) and were nearly exclusively from 2016, prior to the implementation of methods to eliminate acid contamination. </w:t>
      </w:r>
    </w:p>
    <w:p w:rsidR="00EA018C" w:rsidRPr="00B27369" w:rsidRDefault="00EA018C" w:rsidP="00EA018C">
      <w:pPr>
        <w:spacing w:before="100" w:beforeAutospacing="1" w:after="100" w:afterAutospacing="1" w:line="240" w:lineRule="auto"/>
        <w:outlineLvl w:val="2"/>
        <w:rPr>
          <w:rFonts w:eastAsia="Times New Roman" w:cstheme="minorHAnsi"/>
          <w:b/>
          <w:bCs/>
          <w:sz w:val="27"/>
          <w:szCs w:val="27"/>
        </w:rPr>
      </w:pPr>
      <w:r w:rsidRPr="00B27369">
        <w:rPr>
          <w:rFonts w:eastAsia="Times New Roman" w:cstheme="minorHAnsi"/>
          <w:b/>
          <w:bCs/>
          <w:sz w:val="27"/>
          <w:szCs w:val="27"/>
        </w:rPr>
        <w:t>Likely cause</w:t>
      </w:r>
    </w:p>
    <w:p w:rsidR="00EA018C"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The source of contamination could not be definitively identified, but two mechanisms are plausible:</w:t>
      </w:r>
    </w:p>
    <w:p w:rsidR="005076CA" w:rsidRPr="005076CA" w:rsidRDefault="005076CA" w:rsidP="005076CA">
      <w:pPr>
        <w:numPr>
          <w:ilvl w:val="0"/>
          <w:numId w:val="15"/>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Acetone used for chlorophyll extraction prior to analysis may have become contaminated with acid.</w:t>
      </w:r>
    </w:p>
    <w:p w:rsidR="00EA018C" w:rsidRPr="005076CA" w:rsidRDefault="00EA018C" w:rsidP="00B51713">
      <w:pPr>
        <w:numPr>
          <w:ilvl w:val="0"/>
          <w:numId w:val="15"/>
        </w:numPr>
        <w:spacing w:before="100" w:beforeAutospacing="1" w:after="100" w:afterAutospacing="1" w:line="240" w:lineRule="auto"/>
        <w:rPr>
          <w:rFonts w:eastAsia="Times New Roman" w:cstheme="minorHAnsi"/>
          <w:sz w:val="24"/>
          <w:szCs w:val="24"/>
        </w:rPr>
      </w:pPr>
      <w:r w:rsidRPr="005076CA">
        <w:rPr>
          <w:rFonts w:eastAsia="Times New Roman" w:cstheme="minorHAnsi"/>
          <w:sz w:val="24"/>
          <w:szCs w:val="24"/>
        </w:rPr>
        <w:t>At the time, analysis cuvettes were washed and re-used between samples</w:t>
      </w:r>
      <w:r w:rsidR="005076CA">
        <w:rPr>
          <w:rFonts w:eastAsia="Times New Roman" w:cstheme="minorHAnsi"/>
          <w:sz w:val="24"/>
          <w:szCs w:val="24"/>
        </w:rPr>
        <w:t>.</w:t>
      </w:r>
      <w:r w:rsidRPr="005076CA">
        <w:rPr>
          <w:rFonts w:eastAsia="Times New Roman" w:cstheme="minorHAnsi"/>
          <w:sz w:val="24"/>
          <w:szCs w:val="24"/>
        </w:rPr>
        <w:t xml:space="preserve"> </w:t>
      </w:r>
      <w:r w:rsidR="005076CA">
        <w:rPr>
          <w:rFonts w:eastAsia="Times New Roman" w:cstheme="minorHAnsi"/>
          <w:sz w:val="24"/>
          <w:szCs w:val="24"/>
        </w:rPr>
        <w:t>T</w:t>
      </w:r>
      <w:r w:rsidRPr="005076CA">
        <w:rPr>
          <w:rFonts w:eastAsia="Times New Roman" w:cstheme="minorHAnsi"/>
          <w:sz w:val="24"/>
          <w:szCs w:val="24"/>
        </w:rPr>
        <w:t>race acid remaining in a cuvette could have contaminated subsequent samples in the same run.</w:t>
      </w:r>
      <w:r w:rsidR="005076CA">
        <w:rPr>
          <w:rFonts w:eastAsia="Times New Roman" w:cstheme="minorHAnsi"/>
          <w:sz w:val="24"/>
          <w:szCs w:val="24"/>
        </w:rPr>
        <w:t xml:space="preserve"> </w:t>
      </w:r>
      <w:r w:rsidR="001425E4" w:rsidRPr="001425E4">
        <w:rPr>
          <w:rFonts w:eastAsia="Times New Roman" w:cstheme="minorHAnsi"/>
          <w:sz w:val="24"/>
          <w:szCs w:val="24"/>
        </w:rPr>
        <w:t xml:space="preserve">This seems the more likely cause: some affected days included samples with normal </w:t>
      </w:r>
      <w:proofErr w:type="spellStart"/>
      <w:r w:rsidR="001425E4" w:rsidRPr="001425E4">
        <w:rPr>
          <w:rFonts w:eastAsia="Times New Roman" w:cstheme="minorHAnsi"/>
          <w:sz w:val="24"/>
          <w:szCs w:val="24"/>
        </w:rPr>
        <w:t>fm</w:t>
      </w:r>
      <w:proofErr w:type="spellEnd"/>
      <w:r w:rsidR="001425E4" w:rsidRPr="001425E4">
        <w:rPr>
          <w:rFonts w:eastAsia="Times New Roman" w:cstheme="minorHAnsi"/>
          <w:sz w:val="24"/>
          <w:szCs w:val="24"/>
        </w:rPr>
        <w:t xml:space="preserve"> interspersed among the low ones, which fits intermittent cuvette carryover better than uniformly contaminated acetone (which would be expected to affect every sample in the run).</w:t>
      </w:r>
    </w:p>
    <w:p w:rsidR="00EA018C"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Either mechanism would act at the analysis-session level, consistent with the whole-day pattern observed.</w:t>
      </w:r>
    </w:p>
    <w:p w:rsidR="00EA018C" w:rsidRPr="00B27369" w:rsidRDefault="00EA018C" w:rsidP="00EA018C">
      <w:pPr>
        <w:spacing w:before="100" w:beforeAutospacing="1" w:after="100" w:afterAutospacing="1" w:line="240" w:lineRule="auto"/>
        <w:outlineLvl w:val="2"/>
        <w:rPr>
          <w:rFonts w:eastAsia="Times New Roman" w:cstheme="minorHAnsi"/>
          <w:b/>
          <w:bCs/>
          <w:sz w:val="27"/>
          <w:szCs w:val="27"/>
        </w:rPr>
      </w:pPr>
      <w:r w:rsidRPr="00B27369">
        <w:rPr>
          <w:rFonts w:eastAsia="Times New Roman" w:cstheme="minorHAnsi"/>
          <w:b/>
          <w:bCs/>
          <w:sz w:val="27"/>
          <w:szCs w:val="27"/>
        </w:rPr>
        <w:t>Actions taken and current status</w:t>
      </w:r>
    </w:p>
    <w:p w:rsidR="00774C25"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Protocols were introduced to both eliminate the contamination at source and to identify it during analysis</w:t>
      </w:r>
      <w:r w:rsidR="00774C25" w:rsidRPr="00B27369">
        <w:rPr>
          <w:rFonts w:eastAsia="Times New Roman" w:cstheme="minorHAnsi"/>
          <w:sz w:val="24"/>
          <w:szCs w:val="24"/>
        </w:rPr>
        <w:t>:</w:t>
      </w:r>
    </w:p>
    <w:p w:rsidR="00774C25" w:rsidRPr="00B27369" w:rsidRDefault="00774C25" w:rsidP="00774C25">
      <w:pPr>
        <w:pStyle w:val="ListParagraph"/>
        <w:numPr>
          <w:ilvl w:val="0"/>
          <w:numId w:val="16"/>
        </w:num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lastRenderedPageBreak/>
        <w:t>Better controls on extraction acetone</w:t>
      </w:r>
    </w:p>
    <w:p w:rsidR="00774C25" w:rsidRPr="00B27369" w:rsidRDefault="00774C25" w:rsidP="00774C25">
      <w:pPr>
        <w:pStyle w:val="ListParagraph"/>
        <w:numPr>
          <w:ilvl w:val="0"/>
          <w:numId w:val="16"/>
        </w:num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Single</w:t>
      </w:r>
      <w:r w:rsidR="00193140">
        <w:rPr>
          <w:rFonts w:eastAsia="Times New Roman" w:cstheme="minorHAnsi"/>
          <w:sz w:val="24"/>
          <w:szCs w:val="24"/>
        </w:rPr>
        <w:t>-</w:t>
      </w:r>
      <w:r w:rsidRPr="00B27369">
        <w:rPr>
          <w:rFonts w:eastAsia="Times New Roman" w:cstheme="minorHAnsi"/>
          <w:sz w:val="24"/>
          <w:szCs w:val="24"/>
        </w:rPr>
        <w:t>use glass cuvettes for analysis</w:t>
      </w:r>
      <w:r w:rsidR="00193140">
        <w:rPr>
          <w:rFonts w:eastAsia="Times New Roman" w:cstheme="minorHAnsi"/>
          <w:sz w:val="24"/>
          <w:szCs w:val="24"/>
        </w:rPr>
        <w:t xml:space="preserve"> (as per DFO-IOS protocols)</w:t>
      </w:r>
      <w:r w:rsidR="005076CA">
        <w:rPr>
          <w:rFonts w:eastAsia="Times New Roman" w:cstheme="minorHAnsi"/>
          <w:sz w:val="24"/>
          <w:szCs w:val="24"/>
        </w:rPr>
        <w:t xml:space="preserve"> eliminating the washing step</w:t>
      </w:r>
    </w:p>
    <w:p w:rsidR="00774C25" w:rsidRPr="00B27369" w:rsidRDefault="00774C25" w:rsidP="00774C25">
      <w:pPr>
        <w:pStyle w:val="ListParagraph"/>
        <w:numPr>
          <w:ilvl w:val="0"/>
          <w:numId w:val="16"/>
        </w:num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 xml:space="preserve">Real time per sample </w:t>
      </w:r>
      <w:proofErr w:type="spellStart"/>
      <w:r w:rsidR="00193140">
        <w:rPr>
          <w:rFonts w:eastAsia="Times New Roman" w:cstheme="minorHAnsi"/>
          <w:sz w:val="24"/>
          <w:szCs w:val="24"/>
        </w:rPr>
        <w:t>fm</w:t>
      </w:r>
      <w:proofErr w:type="spellEnd"/>
      <w:r w:rsidRPr="00B27369">
        <w:rPr>
          <w:rFonts w:eastAsia="Times New Roman" w:cstheme="minorHAnsi"/>
          <w:sz w:val="24"/>
          <w:szCs w:val="24"/>
        </w:rPr>
        <w:t xml:space="preserve"> checks and alerts during analysis</w:t>
      </w:r>
    </w:p>
    <w:p w:rsidR="00EA018C"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 xml:space="preserve">Following these protocols and the consolidation to a single instrument at the Quadra Island field station, no further </w:t>
      </w:r>
      <w:r w:rsidR="00774C25" w:rsidRPr="00B27369">
        <w:rPr>
          <w:rFonts w:eastAsia="Times New Roman" w:cstheme="minorHAnsi"/>
          <w:sz w:val="24"/>
          <w:szCs w:val="24"/>
        </w:rPr>
        <w:t>analysis</w:t>
      </w:r>
      <w:r w:rsidR="001425E4">
        <w:rPr>
          <w:rFonts w:eastAsia="Times New Roman" w:cstheme="minorHAnsi"/>
          <w:sz w:val="24"/>
          <w:szCs w:val="24"/>
        </w:rPr>
        <w:t>-</w:t>
      </w:r>
      <w:r w:rsidR="00774C25" w:rsidRPr="00B27369">
        <w:rPr>
          <w:rFonts w:eastAsia="Times New Roman" w:cstheme="minorHAnsi"/>
          <w:sz w:val="24"/>
          <w:szCs w:val="24"/>
        </w:rPr>
        <w:t xml:space="preserve">day level </w:t>
      </w:r>
      <w:r w:rsidRPr="00B27369">
        <w:rPr>
          <w:rFonts w:eastAsia="Times New Roman" w:cstheme="minorHAnsi"/>
          <w:sz w:val="24"/>
          <w:szCs w:val="24"/>
        </w:rPr>
        <w:t xml:space="preserve">contamination has been observed. </w:t>
      </w:r>
    </w:p>
    <w:p w:rsidR="00962E4D" w:rsidRDefault="00002783" w:rsidP="00962E4D">
      <w:pPr>
        <w:keepNext/>
      </w:pPr>
      <w:r>
        <w:t xml:space="preserve"> </w:t>
      </w:r>
      <w:r w:rsidR="00EA018C">
        <w:rPr>
          <w:noProof/>
        </w:rPr>
        <w:drawing>
          <wp:inline distT="0" distB="0" distL="0" distR="0">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id_contamination_f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9F47FF" w:rsidRPr="00186058" w:rsidRDefault="00962E4D" w:rsidP="00962E4D">
      <w:pPr>
        <w:pStyle w:val="Caption"/>
        <w:rPr>
          <w:i w:val="0"/>
          <w:color w:val="auto"/>
        </w:rPr>
      </w:pPr>
      <w:r w:rsidRPr="00186058">
        <w:rPr>
          <w:i w:val="0"/>
          <w:color w:val="auto"/>
        </w:rPr>
        <w:t xml:space="preserve">Figure </w:t>
      </w:r>
      <w:r w:rsidR="00293CC3" w:rsidRPr="00186058">
        <w:rPr>
          <w:i w:val="0"/>
          <w:color w:val="auto"/>
        </w:rPr>
        <w:fldChar w:fldCharType="begin"/>
      </w:r>
      <w:r w:rsidR="00293CC3" w:rsidRPr="00186058">
        <w:rPr>
          <w:i w:val="0"/>
          <w:color w:val="auto"/>
        </w:rPr>
        <w:instrText xml:space="preserve"> SEQ Figure \* ARABIC </w:instrText>
      </w:r>
      <w:r w:rsidR="00293CC3" w:rsidRPr="00186058">
        <w:rPr>
          <w:i w:val="0"/>
          <w:color w:val="auto"/>
        </w:rPr>
        <w:fldChar w:fldCharType="separate"/>
      </w:r>
      <w:r w:rsidRPr="00186058">
        <w:rPr>
          <w:i w:val="0"/>
          <w:noProof/>
          <w:color w:val="auto"/>
        </w:rPr>
        <w:t>4</w:t>
      </w:r>
      <w:r w:rsidR="00293CC3" w:rsidRPr="00186058">
        <w:rPr>
          <w:i w:val="0"/>
          <w:noProof/>
          <w:color w:val="auto"/>
        </w:rPr>
        <w:fldChar w:fldCharType="end"/>
      </w:r>
      <w:r w:rsidR="00186058" w:rsidRPr="00186058">
        <w:rPr>
          <w:i w:val="0"/>
          <w:noProof/>
          <w:color w:val="auto"/>
        </w:rPr>
        <w:t xml:space="preserve"> - </w:t>
      </w:r>
      <w:r w:rsidR="00186058" w:rsidRPr="00186058">
        <w:rPr>
          <w:i w:val="0"/>
          <w:color w:val="auto"/>
        </w:rPr>
        <w:t>Identification of acid-contaminated analysis days at the Calvert station, based on the acid ratio (</w:t>
      </w:r>
      <w:proofErr w:type="spellStart"/>
      <w:r w:rsidR="00186058" w:rsidRPr="00186058">
        <w:rPr>
          <w:i w:val="0"/>
          <w:color w:val="auto"/>
        </w:rPr>
        <w:t>fm</w:t>
      </w:r>
      <w:proofErr w:type="spellEnd"/>
      <w:r w:rsidR="00186058" w:rsidRPr="00186058">
        <w:rPr>
          <w:i w:val="0"/>
          <w:color w:val="auto"/>
        </w:rPr>
        <w:t xml:space="preserve">). </w:t>
      </w:r>
      <w:r w:rsidR="00186058" w:rsidRPr="00186058">
        <w:rPr>
          <w:rStyle w:val="Strong"/>
          <w:i w:val="0"/>
          <w:color w:val="auto"/>
        </w:rPr>
        <w:t>(A)</w:t>
      </w:r>
      <w:r w:rsidR="00186058" w:rsidRPr="00186058">
        <w:rPr>
          <w:i w:val="0"/>
          <w:color w:val="auto"/>
        </w:rPr>
        <w:t xml:space="preserve"> Distribution of the per-day proportion of samples with </w:t>
      </w:r>
      <w:proofErr w:type="spellStart"/>
      <w:r w:rsidR="00186058" w:rsidRPr="00186058">
        <w:rPr>
          <w:i w:val="0"/>
          <w:color w:val="auto"/>
        </w:rPr>
        <w:t>fm</w:t>
      </w:r>
      <w:proofErr w:type="spellEnd"/>
      <w:r w:rsidR="00186058" w:rsidRPr="00186058">
        <w:rPr>
          <w:i w:val="0"/>
          <w:color w:val="auto"/>
        </w:rPr>
        <w:t xml:space="preserve"> &lt; 1.2 across all analysis days; each day is </w:t>
      </w:r>
      <w:proofErr w:type="spellStart"/>
      <w:r w:rsidR="00186058" w:rsidRPr="00186058">
        <w:rPr>
          <w:i w:val="0"/>
          <w:color w:val="auto"/>
        </w:rPr>
        <w:t>coloured</w:t>
      </w:r>
      <w:proofErr w:type="spellEnd"/>
      <w:r w:rsidR="00186058" w:rsidRPr="00186058">
        <w:rPr>
          <w:i w:val="0"/>
          <w:color w:val="auto"/>
        </w:rPr>
        <w:t xml:space="preserve"> by its classification, with days having ≥ 80% of samples below the threshold (dashed line) flagged as contaminated (orange) and all others normal (green). </w:t>
      </w:r>
      <w:r w:rsidR="00186058" w:rsidRPr="00186058">
        <w:rPr>
          <w:rStyle w:val="Strong"/>
          <w:i w:val="0"/>
          <w:color w:val="auto"/>
        </w:rPr>
        <w:t>(B)</w:t>
      </w:r>
      <w:r w:rsidR="00186058" w:rsidRPr="00186058">
        <w:rPr>
          <w:i w:val="0"/>
          <w:color w:val="auto"/>
        </w:rPr>
        <w:t xml:space="preserve"> Acid ratio (</w:t>
      </w:r>
      <w:proofErr w:type="spellStart"/>
      <w:r w:rsidR="00186058" w:rsidRPr="00186058">
        <w:rPr>
          <w:i w:val="0"/>
          <w:color w:val="auto"/>
        </w:rPr>
        <w:t>fm</w:t>
      </w:r>
      <w:proofErr w:type="spellEnd"/>
      <w:r w:rsidR="00186058" w:rsidRPr="00186058">
        <w:rPr>
          <w:i w:val="0"/>
          <w:color w:val="auto"/>
        </w:rPr>
        <w:t xml:space="preserve">) of individual samples by day type (boxplots; points are individual samples); the dashed line marks </w:t>
      </w:r>
      <w:proofErr w:type="spellStart"/>
      <w:r w:rsidR="00186058" w:rsidRPr="00186058">
        <w:rPr>
          <w:i w:val="0"/>
          <w:color w:val="auto"/>
        </w:rPr>
        <w:t>fm</w:t>
      </w:r>
      <w:proofErr w:type="spellEnd"/>
      <w:r w:rsidR="00186058" w:rsidRPr="00186058">
        <w:rPr>
          <w:i w:val="0"/>
          <w:color w:val="auto"/>
        </w:rPr>
        <w:t xml:space="preserve"> = 1.2. Samples on contaminated days had markedly lower </w:t>
      </w:r>
      <w:proofErr w:type="spellStart"/>
      <w:r w:rsidR="00186058" w:rsidRPr="00186058">
        <w:rPr>
          <w:i w:val="0"/>
          <w:color w:val="auto"/>
        </w:rPr>
        <w:t>fm</w:t>
      </w:r>
      <w:proofErr w:type="spellEnd"/>
      <w:r w:rsidR="00186058" w:rsidRPr="00186058">
        <w:rPr>
          <w:i w:val="0"/>
          <w:color w:val="auto"/>
        </w:rPr>
        <w:t xml:space="preserve"> than those on normal days</w:t>
      </w:r>
      <w:r w:rsidR="00186058">
        <w:rPr>
          <w:i w:val="0"/>
          <w:color w:val="auto"/>
        </w:rPr>
        <w:t xml:space="preserve">. </w:t>
      </w:r>
      <w:r w:rsidR="00186058" w:rsidRPr="00186058">
        <w:rPr>
          <w:i w:val="0"/>
          <w:color w:val="auto"/>
        </w:rPr>
        <w:t>The overlap that does occur reflects naturally low-</w:t>
      </w:r>
      <w:proofErr w:type="spellStart"/>
      <w:r w:rsidR="00186058" w:rsidRPr="00186058">
        <w:rPr>
          <w:i w:val="0"/>
          <w:color w:val="auto"/>
        </w:rPr>
        <w:t>fm</w:t>
      </w:r>
      <w:proofErr w:type="spellEnd"/>
      <w:r w:rsidR="00186058" w:rsidRPr="00186058">
        <w:rPr>
          <w:i w:val="0"/>
          <w:color w:val="auto"/>
        </w:rPr>
        <w:t xml:space="preserve"> samples on normal days and higher-</w:t>
      </w:r>
      <w:proofErr w:type="spellStart"/>
      <w:r w:rsidR="00186058" w:rsidRPr="00186058">
        <w:rPr>
          <w:i w:val="0"/>
          <w:color w:val="auto"/>
        </w:rPr>
        <w:t>fm</w:t>
      </w:r>
      <w:proofErr w:type="spellEnd"/>
      <w:r w:rsidR="00186058" w:rsidRPr="00186058">
        <w:rPr>
          <w:i w:val="0"/>
          <w:color w:val="auto"/>
        </w:rPr>
        <w:t xml:space="preserve"> samples interspersed within contaminated days.</w:t>
      </w:r>
    </w:p>
    <w:p w:rsidR="00962E4D" w:rsidRDefault="00EA018C" w:rsidP="00962E4D">
      <w:pPr>
        <w:keepNext/>
      </w:pPr>
      <w:r>
        <w:rPr>
          <w:noProof/>
        </w:rPr>
        <w:lastRenderedPageBreak/>
        <w:drawing>
          <wp:inline distT="0" distB="0" distL="0" distR="0">
            <wp:extent cx="5943600" cy="22644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id_contamination_hplc.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64410"/>
                    </a:xfrm>
                    <a:prstGeom prst="rect">
                      <a:avLst/>
                    </a:prstGeom>
                  </pic:spPr>
                </pic:pic>
              </a:graphicData>
            </a:graphic>
          </wp:inline>
        </w:drawing>
      </w:r>
    </w:p>
    <w:p w:rsidR="00EA018C" w:rsidRPr="00133160" w:rsidRDefault="00962E4D" w:rsidP="00962E4D">
      <w:pPr>
        <w:pStyle w:val="Caption"/>
        <w:rPr>
          <w:i w:val="0"/>
          <w:color w:val="auto"/>
        </w:rPr>
      </w:pPr>
      <w:r w:rsidRPr="00133160">
        <w:rPr>
          <w:i w:val="0"/>
          <w:color w:val="auto"/>
        </w:rPr>
        <w:t xml:space="preserve">Figure </w:t>
      </w:r>
      <w:r w:rsidR="00293CC3" w:rsidRPr="00133160">
        <w:rPr>
          <w:i w:val="0"/>
          <w:color w:val="auto"/>
        </w:rPr>
        <w:fldChar w:fldCharType="begin"/>
      </w:r>
      <w:r w:rsidR="00293CC3" w:rsidRPr="00133160">
        <w:rPr>
          <w:i w:val="0"/>
          <w:color w:val="auto"/>
        </w:rPr>
        <w:instrText xml:space="preserve"> SEQ Figure \* ARABIC </w:instrText>
      </w:r>
      <w:r w:rsidR="00293CC3" w:rsidRPr="00133160">
        <w:rPr>
          <w:i w:val="0"/>
          <w:color w:val="auto"/>
        </w:rPr>
        <w:fldChar w:fldCharType="separate"/>
      </w:r>
      <w:r w:rsidRPr="00133160">
        <w:rPr>
          <w:i w:val="0"/>
          <w:noProof/>
          <w:color w:val="auto"/>
        </w:rPr>
        <w:t>5</w:t>
      </w:r>
      <w:r w:rsidR="00293CC3" w:rsidRPr="00133160">
        <w:rPr>
          <w:i w:val="0"/>
          <w:noProof/>
          <w:color w:val="auto"/>
        </w:rPr>
        <w:fldChar w:fldCharType="end"/>
      </w:r>
      <w:r w:rsidR="00186058" w:rsidRPr="00133160">
        <w:rPr>
          <w:i w:val="0"/>
          <w:noProof/>
          <w:color w:val="auto"/>
        </w:rPr>
        <w:t xml:space="preserve"> - HPLC corroboration of acid contamination at the Calvert station</w:t>
      </w:r>
      <w:r w:rsidR="00133160">
        <w:rPr>
          <w:i w:val="0"/>
          <w:noProof/>
          <w:color w:val="auto"/>
        </w:rPr>
        <w:t xml:space="preserve"> using a subset of samples where both measur</w:t>
      </w:r>
      <w:r w:rsidR="00293CC3">
        <w:rPr>
          <w:i w:val="0"/>
          <w:noProof/>
          <w:color w:val="auto"/>
        </w:rPr>
        <w:t>ements were collected simultaneously</w:t>
      </w:r>
      <w:bookmarkStart w:id="0" w:name="_GoBack"/>
      <w:bookmarkEnd w:id="0"/>
      <w:r w:rsidR="00186058" w:rsidRPr="00133160">
        <w:rPr>
          <w:i w:val="0"/>
          <w:noProof/>
          <w:color w:val="auto"/>
        </w:rPr>
        <w:t xml:space="preserve">. Fluorometric chlorophyll (Chl) plotted against concurrently collected HPLC total chlorophyll a (TChl a) for matched </w:t>
      </w:r>
      <w:r w:rsidR="00133160" w:rsidRPr="00133160">
        <w:rPr>
          <w:i w:val="0"/>
          <w:noProof/>
          <w:color w:val="auto"/>
        </w:rPr>
        <w:t>bulk chlorophyll</w:t>
      </w:r>
      <w:r w:rsidR="00186058" w:rsidRPr="00133160">
        <w:rPr>
          <w:i w:val="0"/>
          <w:noProof/>
          <w:color w:val="auto"/>
        </w:rPr>
        <w:t xml:space="preserve"> samples, on log–log axes with the 1:1 line shown. The same matched pairs are shown in all three panels, coloured by: (A) sample-level acid ratio, fm &lt; 1.2 (orange) versus fm ≥ 1.2 (green); (B) the proportion of that sample's analysis day with fm &lt; 1.2; and (C) analysis year. </w:t>
      </w:r>
    </w:p>
    <w:sectPr w:rsidR="00EA018C" w:rsidRPr="00133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53FB5"/>
    <w:multiLevelType w:val="multilevel"/>
    <w:tmpl w:val="80F6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21C1"/>
    <w:multiLevelType w:val="multilevel"/>
    <w:tmpl w:val="3726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6406"/>
    <w:multiLevelType w:val="multilevel"/>
    <w:tmpl w:val="218A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3626"/>
    <w:multiLevelType w:val="multilevel"/>
    <w:tmpl w:val="2BB2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756EA"/>
    <w:multiLevelType w:val="multilevel"/>
    <w:tmpl w:val="3C1A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A25F9"/>
    <w:multiLevelType w:val="multilevel"/>
    <w:tmpl w:val="FAD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91295"/>
    <w:multiLevelType w:val="hybridMultilevel"/>
    <w:tmpl w:val="5708204A"/>
    <w:lvl w:ilvl="0" w:tplc="83F842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37152"/>
    <w:multiLevelType w:val="multilevel"/>
    <w:tmpl w:val="31E8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9574D"/>
    <w:multiLevelType w:val="multilevel"/>
    <w:tmpl w:val="E466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837DB"/>
    <w:multiLevelType w:val="multilevel"/>
    <w:tmpl w:val="124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F63F8"/>
    <w:multiLevelType w:val="hybridMultilevel"/>
    <w:tmpl w:val="B9F45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11F89"/>
    <w:multiLevelType w:val="multilevel"/>
    <w:tmpl w:val="13E8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126E1"/>
    <w:multiLevelType w:val="hybridMultilevel"/>
    <w:tmpl w:val="60F88D12"/>
    <w:lvl w:ilvl="0" w:tplc="83F842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A83797"/>
    <w:multiLevelType w:val="hybridMultilevel"/>
    <w:tmpl w:val="03842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F914A0"/>
    <w:multiLevelType w:val="multilevel"/>
    <w:tmpl w:val="0540B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04DA5"/>
    <w:multiLevelType w:val="multilevel"/>
    <w:tmpl w:val="EC0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4383C"/>
    <w:multiLevelType w:val="multilevel"/>
    <w:tmpl w:val="068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517A8"/>
    <w:multiLevelType w:val="hybridMultilevel"/>
    <w:tmpl w:val="7CDC7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3762E5"/>
    <w:multiLevelType w:val="multilevel"/>
    <w:tmpl w:val="6CDED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C4EB5"/>
    <w:multiLevelType w:val="hybridMultilevel"/>
    <w:tmpl w:val="099CF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D10C20"/>
    <w:multiLevelType w:val="multilevel"/>
    <w:tmpl w:val="8E4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74C66"/>
    <w:multiLevelType w:val="hybridMultilevel"/>
    <w:tmpl w:val="60D68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B50236"/>
    <w:multiLevelType w:val="hybridMultilevel"/>
    <w:tmpl w:val="F3522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9B5B08"/>
    <w:multiLevelType w:val="multilevel"/>
    <w:tmpl w:val="3C1A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0"/>
  </w:num>
  <w:num w:numId="5">
    <w:abstractNumId w:val="5"/>
  </w:num>
  <w:num w:numId="6">
    <w:abstractNumId w:val="15"/>
  </w:num>
  <w:num w:numId="7">
    <w:abstractNumId w:val="12"/>
  </w:num>
  <w:num w:numId="8">
    <w:abstractNumId w:val="19"/>
  </w:num>
  <w:num w:numId="9">
    <w:abstractNumId w:val="7"/>
  </w:num>
  <w:num w:numId="10">
    <w:abstractNumId w:val="17"/>
  </w:num>
  <w:num w:numId="11">
    <w:abstractNumId w:val="10"/>
  </w:num>
  <w:num w:numId="12">
    <w:abstractNumId w:val="21"/>
  </w:num>
  <w:num w:numId="13">
    <w:abstractNumId w:val="18"/>
  </w:num>
  <w:num w:numId="14">
    <w:abstractNumId w:val="16"/>
  </w:num>
  <w:num w:numId="15">
    <w:abstractNumId w:val="9"/>
  </w:num>
  <w:num w:numId="16">
    <w:abstractNumId w:val="22"/>
  </w:num>
  <w:num w:numId="17">
    <w:abstractNumId w:val="13"/>
  </w:num>
  <w:num w:numId="18">
    <w:abstractNumId w:val="1"/>
  </w:num>
  <w:num w:numId="19">
    <w:abstractNumId w:val="23"/>
  </w:num>
  <w:num w:numId="20">
    <w:abstractNumId w:val="20"/>
  </w:num>
  <w:num w:numId="21">
    <w:abstractNumId w:val="11"/>
  </w:num>
  <w:num w:numId="22">
    <w:abstractNumId w:val="2"/>
  </w:num>
  <w:num w:numId="23">
    <w:abstractNumId w:val="14"/>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64"/>
    <w:rsid w:val="00002783"/>
    <w:rsid w:val="000142C8"/>
    <w:rsid w:val="00031F8F"/>
    <w:rsid w:val="000E479A"/>
    <w:rsid w:val="00104CF8"/>
    <w:rsid w:val="00133160"/>
    <w:rsid w:val="00133BD1"/>
    <w:rsid w:val="001425E4"/>
    <w:rsid w:val="00186058"/>
    <w:rsid w:val="00193140"/>
    <w:rsid w:val="002567EA"/>
    <w:rsid w:val="00293CC3"/>
    <w:rsid w:val="0031532F"/>
    <w:rsid w:val="0032135B"/>
    <w:rsid w:val="00395345"/>
    <w:rsid w:val="003C3127"/>
    <w:rsid w:val="00455D86"/>
    <w:rsid w:val="0046208F"/>
    <w:rsid w:val="00464139"/>
    <w:rsid w:val="00497C1D"/>
    <w:rsid w:val="005076CA"/>
    <w:rsid w:val="0052178A"/>
    <w:rsid w:val="005A157B"/>
    <w:rsid w:val="005D3CD9"/>
    <w:rsid w:val="00682D69"/>
    <w:rsid w:val="006969B9"/>
    <w:rsid w:val="006B7C66"/>
    <w:rsid w:val="00711D93"/>
    <w:rsid w:val="00715C28"/>
    <w:rsid w:val="00774C25"/>
    <w:rsid w:val="007F2F5E"/>
    <w:rsid w:val="00871544"/>
    <w:rsid w:val="008B4661"/>
    <w:rsid w:val="00912BC1"/>
    <w:rsid w:val="009454FE"/>
    <w:rsid w:val="00957044"/>
    <w:rsid w:val="00962E4D"/>
    <w:rsid w:val="009F47FF"/>
    <w:rsid w:val="00A33DDD"/>
    <w:rsid w:val="00A3505E"/>
    <w:rsid w:val="00A405E3"/>
    <w:rsid w:val="00AD749E"/>
    <w:rsid w:val="00B27369"/>
    <w:rsid w:val="00B353AA"/>
    <w:rsid w:val="00B7478E"/>
    <w:rsid w:val="00BD3EA3"/>
    <w:rsid w:val="00C3562E"/>
    <w:rsid w:val="00CD06F0"/>
    <w:rsid w:val="00CE68D5"/>
    <w:rsid w:val="00CF0F0B"/>
    <w:rsid w:val="00D07A8A"/>
    <w:rsid w:val="00D31489"/>
    <w:rsid w:val="00D65B64"/>
    <w:rsid w:val="00DA33D1"/>
    <w:rsid w:val="00DD2E51"/>
    <w:rsid w:val="00E160AC"/>
    <w:rsid w:val="00E3438C"/>
    <w:rsid w:val="00E359E7"/>
    <w:rsid w:val="00E53AAB"/>
    <w:rsid w:val="00E61229"/>
    <w:rsid w:val="00EA018C"/>
    <w:rsid w:val="00EF1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1347"/>
  <w15:chartTrackingRefBased/>
  <w15:docId w15:val="{FCB937E1-6EC7-4B42-9AEA-2FC9070A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53AA"/>
  </w:style>
  <w:style w:type="paragraph" w:styleId="Heading2">
    <w:name w:val="heading 2"/>
    <w:basedOn w:val="Normal"/>
    <w:link w:val="Heading2Char"/>
    <w:uiPriority w:val="9"/>
    <w:qFormat/>
    <w:rsid w:val="00CE6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68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B64"/>
    <w:pPr>
      <w:ind w:left="720"/>
      <w:contextualSpacing/>
    </w:pPr>
  </w:style>
  <w:style w:type="paragraph" w:styleId="Caption">
    <w:name w:val="caption"/>
    <w:basedOn w:val="Normal"/>
    <w:next w:val="Normal"/>
    <w:uiPriority w:val="35"/>
    <w:unhideWhenUsed/>
    <w:qFormat/>
    <w:rsid w:val="005D3CD9"/>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F2F5E"/>
    <w:rPr>
      <w:color w:val="808080"/>
    </w:rPr>
  </w:style>
  <w:style w:type="paragraph" w:styleId="NoSpacing">
    <w:name w:val="No Spacing"/>
    <w:uiPriority w:val="1"/>
    <w:qFormat/>
    <w:rsid w:val="002567EA"/>
    <w:pPr>
      <w:spacing w:after="0" w:line="240" w:lineRule="auto"/>
    </w:pPr>
  </w:style>
  <w:style w:type="character" w:styleId="Emphasis">
    <w:name w:val="Emphasis"/>
    <w:basedOn w:val="DefaultParagraphFont"/>
    <w:uiPriority w:val="20"/>
    <w:qFormat/>
    <w:rsid w:val="00D31489"/>
    <w:rPr>
      <w:i/>
      <w:iCs/>
    </w:rPr>
  </w:style>
  <w:style w:type="character" w:styleId="Strong">
    <w:name w:val="Strong"/>
    <w:basedOn w:val="DefaultParagraphFont"/>
    <w:uiPriority w:val="22"/>
    <w:qFormat/>
    <w:rsid w:val="00D31489"/>
    <w:rPr>
      <w:b/>
      <w:bCs/>
    </w:rPr>
  </w:style>
  <w:style w:type="character" w:customStyle="1" w:styleId="Heading2Char">
    <w:name w:val="Heading 2 Char"/>
    <w:basedOn w:val="DefaultParagraphFont"/>
    <w:link w:val="Heading2"/>
    <w:uiPriority w:val="9"/>
    <w:rsid w:val="00CE68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68D5"/>
    <w:rPr>
      <w:rFonts w:ascii="Times New Roman" w:eastAsia="Times New Roman" w:hAnsi="Times New Roman" w:cs="Times New Roman"/>
      <w:b/>
      <w:bCs/>
      <w:sz w:val="27"/>
      <w:szCs w:val="27"/>
    </w:rPr>
  </w:style>
  <w:style w:type="paragraph" w:customStyle="1" w:styleId="font-claude-response-body">
    <w:name w:val="font-claude-response-body"/>
    <w:basedOn w:val="Normal"/>
    <w:rsid w:val="00CE68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34312">
      <w:bodyDiv w:val="1"/>
      <w:marLeft w:val="0"/>
      <w:marRight w:val="0"/>
      <w:marTop w:val="0"/>
      <w:marBottom w:val="0"/>
      <w:divBdr>
        <w:top w:val="none" w:sz="0" w:space="0" w:color="auto"/>
        <w:left w:val="none" w:sz="0" w:space="0" w:color="auto"/>
        <w:bottom w:val="none" w:sz="0" w:space="0" w:color="auto"/>
        <w:right w:val="none" w:sz="0" w:space="0" w:color="auto"/>
      </w:divBdr>
    </w:div>
    <w:div w:id="207886891">
      <w:bodyDiv w:val="1"/>
      <w:marLeft w:val="0"/>
      <w:marRight w:val="0"/>
      <w:marTop w:val="0"/>
      <w:marBottom w:val="0"/>
      <w:divBdr>
        <w:top w:val="none" w:sz="0" w:space="0" w:color="auto"/>
        <w:left w:val="none" w:sz="0" w:space="0" w:color="auto"/>
        <w:bottom w:val="none" w:sz="0" w:space="0" w:color="auto"/>
        <w:right w:val="none" w:sz="0" w:space="0" w:color="auto"/>
      </w:divBdr>
      <w:divsChild>
        <w:div w:id="954403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104120">
      <w:bodyDiv w:val="1"/>
      <w:marLeft w:val="0"/>
      <w:marRight w:val="0"/>
      <w:marTop w:val="0"/>
      <w:marBottom w:val="0"/>
      <w:divBdr>
        <w:top w:val="none" w:sz="0" w:space="0" w:color="auto"/>
        <w:left w:val="none" w:sz="0" w:space="0" w:color="auto"/>
        <w:bottom w:val="none" w:sz="0" w:space="0" w:color="auto"/>
        <w:right w:val="none" w:sz="0" w:space="0" w:color="auto"/>
      </w:divBdr>
    </w:div>
    <w:div w:id="395706905">
      <w:bodyDiv w:val="1"/>
      <w:marLeft w:val="0"/>
      <w:marRight w:val="0"/>
      <w:marTop w:val="0"/>
      <w:marBottom w:val="0"/>
      <w:divBdr>
        <w:top w:val="none" w:sz="0" w:space="0" w:color="auto"/>
        <w:left w:val="none" w:sz="0" w:space="0" w:color="auto"/>
        <w:bottom w:val="none" w:sz="0" w:space="0" w:color="auto"/>
        <w:right w:val="none" w:sz="0" w:space="0" w:color="auto"/>
      </w:divBdr>
    </w:div>
    <w:div w:id="853881751">
      <w:bodyDiv w:val="1"/>
      <w:marLeft w:val="0"/>
      <w:marRight w:val="0"/>
      <w:marTop w:val="0"/>
      <w:marBottom w:val="0"/>
      <w:divBdr>
        <w:top w:val="none" w:sz="0" w:space="0" w:color="auto"/>
        <w:left w:val="none" w:sz="0" w:space="0" w:color="auto"/>
        <w:bottom w:val="none" w:sz="0" w:space="0" w:color="auto"/>
        <w:right w:val="none" w:sz="0" w:space="0" w:color="auto"/>
      </w:divBdr>
    </w:div>
    <w:div w:id="1022054425">
      <w:bodyDiv w:val="1"/>
      <w:marLeft w:val="0"/>
      <w:marRight w:val="0"/>
      <w:marTop w:val="0"/>
      <w:marBottom w:val="0"/>
      <w:divBdr>
        <w:top w:val="none" w:sz="0" w:space="0" w:color="auto"/>
        <w:left w:val="none" w:sz="0" w:space="0" w:color="auto"/>
        <w:bottom w:val="none" w:sz="0" w:space="0" w:color="auto"/>
        <w:right w:val="none" w:sz="0" w:space="0" w:color="auto"/>
      </w:divBdr>
    </w:div>
    <w:div w:id="1598441954">
      <w:bodyDiv w:val="1"/>
      <w:marLeft w:val="0"/>
      <w:marRight w:val="0"/>
      <w:marTop w:val="0"/>
      <w:marBottom w:val="0"/>
      <w:divBdr>
        <w:top w:val="none" w:sz="0" w:space="0" w:color="auto"/>
        <w:left w:val="none" w:sz="0" w:space="0" w:color="auto"/>
        <w:bottom w:val="none" w:sz="0" w:space="0" w:color="auto"/>
        <w:right w:val="none" w:sz="0" w:space="0" w:color="auto"/>
      </w:divBdr>
    </w:div>
    <w:div w:id="174432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65DA4-94E3-43B7-BD7E-E11D9820E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3244</Words>
  <Characters>18494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Del Belluz</dc:creator>
  <cp:keywords/>
  <dc:description/>
  <cp:lastModifiedBy>Justin Del Belluz</cp:lastModifiedBy>
  <cp:revision>3</cp:revision>
  <dcterms:created xsi:type="dcterms:W3CDTF">2026-07-10T20:51:00Z</dcterms:created>
  <dcterms:modified xsi:type="dcterms:W3CDTF">2026-07-10T21:13:00Z</dcterms:modified>
</cp:coreProperties>
</file>