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4BB" w:rsidRDefault="005D14C1" w:rsidP="006674BB">
      <w:r>
        <w:t xml:space="preserve">GEM </w:t>
      </w:r>
      <w:proofErr w:type="spellStart"/>
      <w:r>
        <w:t>AquaFluor</w:t>
      </w:r>
      <w:proofErr w:type="spellEnd"/>
      <w:r>
        <w:t xml:space="preserve"> Testing</w:t>
      </w:r>
    </w:p>
    <w:p w:rsidR="002404A6" w:rsidRPr="000C5F56" w:rsidRDefault="005D14C1" w:rsidP="005D14C1">
      <w:pPr>
        <w:pStyle w:val="ListParagraph"/>
        <w:numPr>
          <w:ilvl w:val="0"/>
          <w:numId w:val="2"/>
        </w:numPr>
        <w:ind w:left="284" w:hanging="284"/>
        <w:rPr>
          <w:b/>
        </w:rPr>
      </w:pPr>
      <w:r w:rsidRPr="000C5F56">
        <w:rPr>
          <w:b/>
        </w:rPr>
        <w:t>Introduction</w:t>
      </w:r>
    </w:p>
    <w:p w:rsidR="00FC6719" w:rsidRPr="000C5F56" w:rsidRDefault="00FC6719" w:rsidP="00FC6719">
      <w:pPr>
        <w:pStyle w:val="ListParagraph"/>
        <w:ind w:left="284"/>
        <w:rPr>
          <w:b/>
        </w:rPr>
      </w:pPr>
    </w:p>
    <w:p w:rsidR="005D14C1" w:rsidRPr="000C5F56" w:rsidRDefault="002404A6" w:rsidP="006674BB">
      <w:pPr>
        <w:pStyle w:val="ListParagraph"/>
        <w:numPr>
          <w:ilvl w:val="0"/>
          <w:numId w:val="2"/>
        </w:numPr>
        <w:ind w:left="284" w:hanging="284"/>
        <w:rPr>
          <w:b/>
        </w:rPr>
      </w:pPr>
      <w:r w:rsidRPr="000C5F56">
        <w:rPr>
          <w:b/>
        </w:rPr>
        <w:t>Methods</w:t>
      </w:r>
    </w:p>
    <w:p w:rsidR="00FC6719" w:rsidRPr="000C5F56" w:rsidRDefault="00FC6719" w:rsidP="00FC6719">
      <w:pPr>
        <w:pStyle w:val="ListParagraph"/>
        <w:ind w:left="284"/>
        <w:rPr>
          <w:b/>
        </w:rPr>
      </w:pPr>
    </w:p>
    <w:p w:rsidR="005D14C1" w:rsidRPr="000C5F56" w:rsidRDefault="002404A6" w:rsidP="00921746">
      <w:pPr>
        <w:pStyle w:val="ListParagraph"/>
        <w:numPr>
          <w:ilvl w:val="0"/>
          <w:numId w:val="2"/>
        </w:numPr>
        <w:ind w:left="284" w:hanging="284"/>
        <w:rPr>
          <w:b/>
        </w:rPr>
      </w:pPr>
      <w:r w:rsidRPr="000C5F56">
        <w:rPr>
          <w:b/>
        </w:rPr>
        <w:t>Results</w:t>
      </w:r>
    </w:p>
    <w:p w:rsidR="00921746" w:rsidRPr="000C5F56" w:rsidRDefault="00921746" w:rsidP="00921746">
      <w:pPr>
        <w:pStyle w:val="ListParagraph"/>
        <w:ind w:left="284"/>
        <w:rPr>
          <w:b/>
        </w:rPr>
      </w:pPr>
    </w:p>
    <w:p w:rsidR="005D14C1" w:rsidRPr="000C5F56" w:rsidRDefault="000C5F56" w:rsidP="005D14C1">
      <w:pPr>
        <w:pStyle w:val="ListParagraph"/>
        <w:numPr>
          <w:ilvl w:val="1"/>
          <w:numId w:val="2"/>
        </w:numPr>
        <w:ind w:left="426" w:hanging="426"/>
        <w:rPr>
          <w:b/>
        </w:rPr>
      </w:pPr>
      <w:proofErr w:type="spellStart"/>
      <w:r>
        <w:rPr>
          <w:b/>
        </w:rPr>
        <w:t>Chla</w:t>
      </w:r>
      <w:proofErr w:type="spellEnd"/>
      <w:r>
        <w:rPr>
          <w:b/>
        </w:rPr>
        <w:t xml:space="preserve"> c</w:t>
      </w:r>
      <w:r w:rsidR="005D14C1" w:rsidRPr="000C5F56">
        <w:rPr>
          <w:b/>
        </w:rPr>
        <w:t>alibration with analytical standards</w:t>
      </w:r>
    </w:p>
    <w:p w:rsidR="00401620" w:rsidRDefault="005D14C1" w:rsidP="005D14C1">
      <w:r>
        <w:t xml:space="preserve">Calibrations using analytical </w:t>
      </w:r>
      <w:proofErr w:type="spellStart"/>
      <w:r>
        <w:t>Chla</w:t>
      </w:r>
      <w:proofErr w:type="spellEnd"/>
      <w:r>
        <w:t xml:space="preserve"> standards showed strong linearity over the manufacturer specified instrument measurement range (0 – 300 </w:t>
      </w:r>
      <w:proofErr w:type="spellStart"/>
      <w:r>
        <w:rPr>
          <w:rFonts w:cstheme="minorHAnsi"/>
        </w:rPr>
        <w:t>μ</w:t>
      </w:r>
      <w:r>
        <w:t>g</w:t>
      </w:r>
      <w:proofErr w:type="spellEnd"/>
      <w:r>
        <w:t xml:space="preserve"> L</w:t>
      </w:r>
      <w:r w:rsidRPr="005D14C1">
        <w:rPr>
          <w:vertAlign w:val="superscript"/>
        </w:rPr>
        <w:t>-1</w:t>
      </w:r>
      <w:r>
        <w:t xml:space="preserve">, figure #). </w:t>
      </w:r>
      <w:r w:rsidR="00FC6719">
        <w:t xml:space="preserve">Percent error between the defined standard concentration and calibration calculated instrument concentration showed </w:t>
      </w:r>
      <w:r w:rsidR="000C5F56">
        <w:t>the highest error at the lowest concentration (-6.88 %) and low error for all other concentrations (&lt; 2.30%. (Table #). Technical triplicates run at each standard concentration during the manual calibration showed low variability generally increasing with concentration (</w:t>
      </w:r>
      <m:oMath>
        <m:r>
          <w:rPr>
            <w:rFonts w:ascii="Cambria Math" w:hAnsi="Cambria Math"/>
          </w:rPr>
          <m:t>±</m:t>
        </m:r>
      </m:oMath>
      <w:r w:rsidR="000C5F56">
        <w:rPr>
          <w:rFonts w:eastAsiaTheme="minorEastAsia"/>
        </w:rPr>
        <w:t xml:space="preserve"> </w:t>
      </w:r>
      <w:r w:rsidR="000C5F56">
        <w:t xml:space="preserve">0.04 – 0.41 </w:t>
      </w:r>
      <w:proofErr w:type="spellStart"/>
      <w:r w:rsidR="000C5F56" w:rsidRPr="000C5F56">
        <w:rPr>
          <w:rFonts w:cstheme="minorHAnsi"/>
          <w:bCs/>
        </w:rPr>
        <w:t>μ</w:t>
      </w:r>
      <w:r w:rsidR="000C5F56" w:rsidRPr="000C5F56">
        <w:rPr>
          <w:bCs/>
        </w:rPr>
        <w:t>g</w:t>
      </w:r>
      <w:proofErr w:type="spellEnd"/>
      <w:r w:rsidR="000C5F56" w:rsidRPr="000C5F56">
        <w:rPr>
          <w:bCs/>
        </w:rPr>
        <w:t xml:space="preserve"> L</w:t>
      </w:r>
      <w:r w:rsidR="000C5F56" w:rsidRPr="000C5F56">
        <w:rPr>
          <w:bCs/>
          <w:vertAlign w:val="superscript"/>
        </w:rPr>
        <w:t>-1</w:t>
      </w:r>
      <w:r w:rsidR="000C5F56">
        <w:rPr>
          <w:bCs/>
        </w:rPr>
        <w:t>).</w:t>
      </w:r>
      <w:r w:rsidR="000C5F56">
        <w:t xml:space="preserve"> </w:t>
      </w:r>
      <w:r w:rsidR="00FC6719">
        <w:t xml:space="preserve">High concentration standards run as samples outside of the 5-point auto-calibration </w:t>
      </w:r>
      <w:r w:rsidR="00401620">
        <w:t>following the expected linear response of the instrument</w:t>
      </w:r>
      <w:r w:rsidR="00FC6719">
        <w:t xml:space="preserve"> showing &lt; 2% error when compared to the standard concentration</w:t>
      </w:r>
      <w:r w:rsidR="000C5F56">
        <w:t>.</w:t>
      </w:r>
    </w:p>
    <w:p w:rsidR="000C5F56" w:rsidRDefault="000C5F56" w:rsidP="005D14C1"/>
    <w:p w:rsidR="00401620" w:rsidRDefault="005D14C1" w:rsidP="00401620">
      <w:pPr>
        <w:keepNext/>
      </w:pPr>
      <w:r>
        <w:rPr>
          <w:noProof/>
        </w:rPr>
        <w:drawing>
          <wp:inline distT="0" distB="0" distL="0" distR="0">
            <wp:extent cx="4320000"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_cal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5D14C1" w:rsidRDefault="00401620" w:rsidP="00401620">
      <w:pPr>
        <w:pStyle w:val="Caption"/>
        <w:rPr>
          <w:i w:val="0"/>
          <w:color w:val="auto"/>
        </w:rPr>
      </w:pPr>
      <w:bookmarkStart w:id="0" w:name="_Ref183180848"/>
      <w:r w:rsidRPr="00401620">
        <w:rPr>
          <w:i w:val="0"/>
          <w:color w:val="auto"/>
        </w:rPr>
        <w:t xml:space="preserve">Figure </w:t>
      </w:r>
      <w:r w:rsidRPr="00401620">
        <w:rPr>
          <w:i w:val="0"/>
          <w:color w:val="auto"/>
        </w:rPr>
        <w:fldChar w:fldCharType="begin"/>
      </w:r>
      <w:r w:rsidRPr="00401620">
        <w:rPr>
          <w:i w:val="0"/>
          <w:color w:val="auto"/>
        </w:rPr>
        <w:instrText xml:space="preserve"> SEQ Figure \* ARABIC </w:instrText>
      </w:r>
      <w:r w:rsidRPr="00401620">
        <w:rPr>
          <w:i w:val="0"/>
          <w:color w:val="auto"/>
        </w:rPr>
        <w:fldChar w:fldCharType="separate"/>
      </w:r>
      <w:r w:rsidR="001D75D5">
        <w:rPr>
          <w:i w:val="0"/>
          <w:noProof/>
          <w:color w:val="auto"/>
        </w:rPr>
        <w:t>1</w:t>
      </w:r>
      <w:r w:rsidRPr="00401620">
        <w:rPr>
          <w:i w:val="0"/>
          <w:color w:val="auto"/>
        </w:rPr>
        <w:fldChar w:fldCharType="end"/>
      </w:r>
      <w:bookmarkEnd w:id="0"/>
      <w:r w:rsidRPr="00401620">
        <w:rPr>
          <w:i w:val="0"/>
          <w:color w:val="auto"/>
        </w:rPr>
        <w:t xml:space="preserve"> – Scatterplot of </w:t>
      </w:r>
      <w:proofErr w:type="spellStart"/>
      <w:r w:rsidRPr="00401620">
        <w:rPr>
          <w:i w:val="0"/>
          <w:color w:val="auto"/>
        </w:rPr>
        <w:t>AquaFluor</w:t>
      </w:r>
      <w:proofErr w:type="spellEnd"/>
      <w:r w:rsidRPr="00401620">
        <w:rPr>
          <w:i w:val="0"/>
          <w:color w:val="auto"/>
        </w:rPr>
        <w:t xml:space="preserve"> instrument relative fluorescence units (RFU) versus analytical </w:t>
      </w:r>
      <w:proofErr w:type="spellStart"/>
      <w:r w:rsidRPr="00401620">
        <w:rPr>
          <w:i w:val="0"/>
          <w:color w:val="auto"/>
        </w:rPr>
        <w:t>Chla</w:t>
      </w:r>
      <w:proofErr w:type="spellEnd"/>
      <w:r w:rsidRPr="00401620">
        <w:rPr>
          <w:i w:val="0"/>
          <w:color w:val="auto"/>
        </w:rPr>
        <w:t xml:space="preserve"> standard concentrations (</w:t>
      </w:r>
      <w:proofErr w:type="spellStart"/>
      <w:r w:rsidRPr="00401620">
        <w:rPr>
          <w:rFonts w:cstheme="minorHAnsi"/>
          <w:i w:val="0"/>
          <w:color w:val="auto"/>
        </w:rPr>
        <w:t>μ</w:t>
      </w:r>
      <w:r w:rsidRPr="00401620">
        <w:rPr>
          <w:i w:val="0"/>
          <w:color w:val="auto"/>
        </w:rPr>
        <w:t>g</w:t>
      </w:r>
      <w:proofErr w:type="spellEnd"/>
      <w:r w:rsidRPr="00401620">
        <w:rPr>
          <w:i w:val="0"/>
          <w:color w:val="auto"/>
        </w:rPr>
        <w:t xml:space="preserve"> L</w:t>
      </w:r>
      <w:r w:rsidRPr="00401620">
        <w:rPr>
          <w:i w:val="0"/>
          <w:color w:val="auto"/>
          <w:vertAlign w:val="superscript"/>
        </w:rPr>
        <w:t>-1</w:t>
      </w:r>
      <w:r w:rsidRPr="00401620">
        <w:rPr>
          <w:i w:val="0"/>
          <w:color w:val="auto"/>
        </w:rPr>
        <w:t xml:space="preserve">). The blue points and line represent that calibration done with standards run manually as samples whereas the orange points and lines represent the instrument automatic calibration </w:t>
      </w:r>
      <w:r>
        <w:rPr>
          <w:i w:val="0"/>
          <w:color w:val="auto"/>
        </w:rPr>
        <w:t xml:space="preserve">allowing for only a 5-point calibration. The orange stars represent standards run following the auto-calibration with the concentrations automatically calculated by the instrument. </w:t>
      </w:r>
    </w:p>
    <w:p w:rsidR="000C5F56" w:rsidRDefault="000C5F56" w:rsidP="000C5F56">
      <w:pPr>
        <w:ind w:left="360"/>
      </w:pPr>
    </w:p>
    <w:p w:rsidR="00921746" w:rsidRDefault="00921746" w:rsidP="00921746"/>
    <w:p w:rsidR="00921746" w:rsidRDefault="00921746" w:rsidP="00921746"/>
    <w:p w:rsidR="00FC6719" w:rsidRPr="00921746" w:rsidRDefault="00FC6719" w:rsidP="00921746"/>
    <w:p w:rsidR="00820A97" w:rsidRPr="00820A97" w:rsidRDefault="00820A97" w:rsidP="00820A97">
      <w:pPr>
        <w:pStyle w:val="Caption"/>
        <w:keepNext/>
        <w:rPr>
          <w:i w:val="0"/>
          <w:color w:val="auto"/>
        </w:rPr>
      </w:pPr>
      <w:r w:rsidRPr="00820A97">
        <w:rPr>
          <w:i w:val="0"/>
          <w:color w:val="auto"/>
        </w:rPr>
        <w:t xml:space="preserve">Table </w:t>
      </w:r>
      <w:r w:rsidRPr="00820A97">
        <w:rPr>
          <w:i w:val="0"/>
          <w:color w:val="auto"/>
        </w:rPr>
        <w:fldChar w:fldCharType="begin"/>
      </w:r>
      <w:r w:rsidRPr="00820A97">
        <w:rPr>
          <w:i w:val="0"/>
          <w:color w:val="auto"/>
        </w:rPr>
        <w:instrText xml:space="preserve"> SEQ Table \* ARABIC </w:instrText>
      </w:r>
      <w:r w:rsidRPr="00820A97">
        <w:rPr>
          <w:i w:val="0"/>
          <w:color w:val="auto"/>
        </w:rPr>
        <w:fldChar w:fldCharType="separate"/>
      </w:r>
      <w:r w:rsidRPr="00820A97">
        <w:rPr>
          <w:i w:val="0"/>
          <w:noProof/>
          <w:color w:val="auto"/>
        </w:rPr>
        <w:t>1</w:t>
      </w:r>
      <w:r w:rsidRPr="00820A97">
        <w:rPr>
          <w:i w:val="0"/>
          <w:color w:val="auto"/>
        </w:rPr>
        <w:fldChar w:fldCharType="end"/>
      </w:r>
      <w:r w:rsidRPr="00820A97">
        <w:rPr>
          <w:i w:val="0"/>
          <w:color w:val="auto"/>
        </w:rPr>
        <w:t xml:space="preserve"> – </w:t>
      </w:r>
      <w:proofErr w:type="spellStart"/>
      <w:r w:rsidRPr="00820A97">
        <w:rPr>
          <w:i w:val="0"/>
          <w:color w:val="auto"/>
        </w:rPr>
        <w:t>AquaFluor</w:t>
      </w:r>
      <w:proofErr w:type="spellEnd"/>
      <w:r w:rsidRPr="00820A97">
        <w:rPr>
          <w:i w:val="0"/>
          <w:color w:val="auto"/>
        </w:rPr>
        <w:t xml:space="preserve"> calibration standard concentrations, technical replicates averages and standard deviations and percent error of </w:t>
      </w:r>
      <w:proofErr w:type="spellStart"/>
      <w:r w:rsidRPr="00820A97">
        <w:rPr>
          <w:i w:val="0"/>
          <w:color w:val="auto"/>
        </w:rPr>
        <w:t>Aquafluor</w:t>
      </w:r>
      <w:proofErr w:type="spellEnd"/>
      <w:r w:rsidRPr="00820A97">
        <w:rPr>
          <w:i w:val="0"/>
          <w:color w:val="auto"/>
        </w:rPr>
        <w:t xml:space="preserve"> calculated </w:t>
      </w:r>
      <w:proofErr w:type="spellStart"/>
      <w:r w:rsidRPr="00820A97">
        <w:rPr>
          <w:i w:val="0"/>
          <w:color w:val="auto"/>
        </w:rPr>
        <w:t>Chla</w:t>
      </w:r>
      <w:proofErr w:type="spellEnd"/>
      <w:r w:rsidRPr="00820A97">
        <w:rPr>
          <w:i w:val="0"/>
          <w:color w:val="auto"/>
        </w:rPr>
        <w:t xml:space="preserve"> concentrations when compared to the standard concentration. Standards run as samples after performing the auto calibration are specified under the type column.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
        <w:gridCol w:w="1653"/>
        <w:gridCol w:w="1609"/>
        <w:gridCol w:w="1016"/>
        <w:gridCol w:w="3109"/>
      </w:tblGrid>
      <w:tr w:rsidR="00921746" w:rsidRPr="00921746" w:rsidTr="00FC6719">
        <w:trPr>
          <w:trHeight w:val="584"/>
        </w:trPr>
        <w:tc>
          <w:tcPr>
            <w:tcW w:w="1046" w:type="dxa"/>
            <w:tcBorders>
              <w:bottom w:val="single" w:sz="18" w:space="0" w:color="auto"/>
            </w:tcBorders>
            <w:hideMark/>
          </w:tcPr>
          <w:p w:rsidR="00921746" w:rsidRPr="00921746" w:rsidRDefault="00921746" w:rsidP="00921746">
            <w:pPr>
              <w:jc w:val="center"/>
            </w:pPr>
            <w:r w:rsidRPr="00921746">
              <w:rPr>
                <w:b/>
                <w:bCs/>
              </w:rPr>
              <w:t>Standard (</w:t>
            </w:r>
            <w:r w:rsidRPr="00921746">
              <w:rPr>
                <w:b/>
                <w:bCs/>
                <w:lang w:val="el-GR"/>
              </w:rPr>
              <w:t>μ</w:t>
            </w:r>
            <w:r w:rsidRPr="00921746">
              <w:rPr>
                <w:b/>
                <w:bCs/>
              </w:rPr>
              <w:t>g/L)</w:t>
            </w:r>
          </w:p>
        </w:tc>
        <w:tc>
          <w:tcPr>
            <w:tcW w:w="1653" w:type="dxa"/>
            <w:tcBorders>
              <w:bottom w:val="single" w:sz="18" w:space="0" w:color="auto"/>
            </w:tcBorders>
            <w:hideMark/>
          </w:tcPr>
          <w:p w:rsidR="00921746" w:rsidRDefault="00921746" w:rsidP="00921746">
            <w:pPr>
              <w:jc w:val="center"/>
              <w:rPr>
                <w:b/>
                <w:bCs/>
              </w:rPr>
            </w:pPr>
            <w:r w:rsidRPr="00921746">
              <w:rPr>
                <w:b/>
                <w:bCs/>
              </w:rPr>
              <w:t>Triplicate Avg.</w:t>
            </w:r>
          </w:p>
          <w:p w:rsidR="00921746" w:rsidRPr="00921746" w:rsidRDefault="00921746" w:rsidP="00921746">
            <w:pPr>
              <w:jc w:val="center"/>
            </w:pPr>
            <w:proofErr w:type="spellStart"/>
            <w:r w:rsidRPr="00921746">
              <w:rPr>
                <w:b/>
                <w:bCs/>
              </w:rPr>
              <w:t>Chl</w:t>
            </w:r>
            <w:r w:rsidR="00FC6719">
              <w:rPr>
                <w:b/>
                <w:bCs/>
              </w:rPr>
              <w:t>a</w:t>
            </w:r>
            <w:proofErr w:type="spellEnd"/>
            <w:r w:rsidRPr="00921746">
              <w:rPr>
                <w:b/>
                <w:bCs/>
              </w:rPr>
              <w:t xml:space="preserve"> (</w:t>
            </w:r>
            <w:proofErr w:type="spellStart"/>
            <w:r>
              <w:rPr>
                <w:rFonts w:cstheme="minorHAnsi"/>
                <w:b/>
                <w:bCs/>
              </w:rPr>
              <w:t>μ</w:t>
            </w:r>
            <w:r w:rsidRPr="00921746">
              <w:rPr>
                <w:b/>
                <w:bCs/>
              </w:rPr>
              <w:t>g</w:t>
            </w:r>
            <w:proofErr w:type="spellEnd"/>
            <w:r>
              <w:rPr>
                <w:b/>
                <w:bCs/>
              </w:rPr>
              <w:t xml:space="preserve"> </w:t>
            </w:r>
            <w:r w:rsidRPr="00921746">
              <w:rPr>
                <w:b/>
                <w:bCs/>
              </w:rPr>
              <w:t>L</w:t>
            </w:r>
            <w:r w:rsidRPr="00921746">
              <w:rPr>
                <w:b/>
                <w:bCs/>
                <w:vertAlign w:val="superscript"/>
              </w:rPr>
              <w:t>-1</w:t>
            </w:r>
            <w:r w:rsidRPr="00921746">
              <w:rPr>
                <w:b/>
                <w:bCs/>
              </w:rPr>
              <w:t>)</w:t>
            </w:r>
          </w:p>
        </w:tc>
        <w:tc>
          <w:tcPr>
            <w:tcW w:w="1609" w:type="dxa"/>
            <w:tcBorders>
              <w:bottom w:val="single" w:sz="18" w:space="0" w:color="auto"/>
            </w:tcBorders>
            <w:hideMark/>
          </w:tcPr>
          <w:p w:rsidR="00921746" w:rsidRPr="00921746" w:rsidRDefault="00921746" w:rsidP="00921746">
            <w:pPr>
              <w:jc w:val="center"/>
            </w:pPr>
            <w:proofErr w:type="spellStart"/>
            <w:r w:rsidRPr="00921746">
              <w:rPr>
                <w:b/>
                <w:bCs/>
              </w:rPr>
              <w:t>S</w:t>
            </w:r>
            <w:r w:rsidR="00FC6719">
              <w:rPr>
                <w:b/>
                <w:bCs/>
              </w:rPr>
              <w:t>td</w:t>
            </w:r>
            <w:r w:rsidRPr="00921746">
              <w:rPr>
                <w:b/>
                <w:bCs/>
              </w:rPr>
              <w:t>.Dev</w:t>
            </w:r>
            <w:proofErr w:type="spellEnd"/>
            <w:r w:rsidRPr="00921746">
              <w:rPr>
                <w:b/>
                <w:bCs/>
              </w:rPr>
              <w:t>.</w:t>
            </w:r>
          </w:p>
          <w:p w:rsidR="00921746" w:rsidRPr="00921746" w:rsidRDefault="00921746" w:rsidP="00921746">
            <w:pPr>
              <w:jc w:val="center"/>
            </w:pPr>
            <m:oMath>
              <m:r>
                <m:rPr>
                  <m:sty m:val="bi"/>
                </m:rPr>
                <w:rPr>
                  <w:rFonts w:ascii="Cambria Math" w:hAnsi="Cambria Math"/>
                </w:rPr>
                <m:t>±</m:t>
              </m:r>
            </m:oMath>
            <w:r w:rsidR="00FC6719">
              <w:rPr>
                <w:rFonts w:eastAsiaTheme="minorEastAsia"/>
                <w:b/>
                <w:bCs/>
                <w:iCs/>
              </w:rPr>
              <w:t xml:space="preserve"> C</w:t>
            </w:r>
            <w:proofErr w:type="spellStart"/>
            <w:r w:rsidR="00FC6719">
              <w:rPr>
                <w:rFonts w:eastAsiaTheme="minorEastAsia"/>
                <w:b/>
                <w:bCs/>
                <w:iCs/>
              </w:rPr>
              <w:t>hla</w:t>
            </w:r>
            <w:proofErr w:type="spellEnd"/>
            <w:r w:rsidR="00FC6719">
              <w:rPr>
                <w:rFonts w:eastAsiaTheme="minorEastAsia"/>
                <w:b/>
                <w:bCs/>
                <w:iCs/>
              </w:rPr>
              <w:t xml:space="preserve"> </w:t>
            </w:r>
            <w:r w:rsidRPr="00921746">
              <w:rPr>
                <w:b/>
                <w:bCs/>
              </w:rPr>
              <w:t>(</w:t>
            </w:r>
            <w:proofErr w:type="spellStart"/>
            <w:r>
              <w:rPr>
                <w:rFonts w:cstheme="minorHAnsi"/>
                <w:b/>
                <w:bCs/>
              </w:rPr>
              <w:t>μ</w:t>
            </w:r>
            <w:r w:rsidRPr="00921746">
              <w:rPr>
                <w:b/>
                <w:bCs/>
              </w:rPr>
              <w:t>g</w:t>
            </w:r>
            <w:proofErr w:type="spellEnd"/>
            <w:r>
              <w:rPr>
                <w:b/>
                <w:bCs/>
              </w:rPr>
              <w:t xml:space="preserve"> </w:t>
            </w:r>
            <w:r w:rsidRPr="00921746">
              <w:rPr>
                <w:b/>
                <w:bCs/>
              </w:rPr>
              <w:t>L</w:t>
            </w:r>
            <w:r w:rsidRPr="00921746">
              <w:rPr>
                <w:b/>
                <w:bCs/>
                <w:vertAlign w:val="superscript"/>
              </w:rPr>
              <w:t>-1</w:t>
            </w:r>
            <w:r w:rsidRPr="00921746">
              <w:rPr>
                <w:b/>
                <w:bCs/>
              </w:rPr>
              <w:t>)</w:t>
            </w:r>
          </w:p>
        </w:tc>
        <w:tc>
          <w:tcPr>
            <w:tcW w:w="1016" w:type="dxa"/>
            <w:tcBorders>
              <w:bottom w:val="single" w:sz="18" w:space="0" w:color="auto"/>
            </w:tcBorders>
            <w:hideMark/>
          </w:tcPr>
          <w:p w:rsidR="00921746" w:rsidRPr="00921746" w:rsidRDefault="00921746" w:rsidP="00921746">
            <w:pPr>
              <w:jc w:val="center"/>
            </w:pPr>
            <w:r w:rsidRPr="00921746">
              <w:rPr>
                <w:b/>
                <w:bCs/>
              </w:rPr>
              <w:t>% Error</w:t>
            </w:r>
          </w:p>
          <w:p w:rsidR="00921746" w:rsidRPr="00921746" w:rsidRDefault="00921746" w:rsidP="00921746">
            <w:pPr>
              <w:jc w:val="center"/>
            </w:pPr>
          </w:p>
        </w:tc>
        <w:tc>
          <w:tcPr>
            <w:tcW w:w="3109" w:type="dxa"/>
            <w:tcBorders>
              <w:bottom w:val="single" w:sz="18" w:space="0" w:color="auto"/>
            </w:tcBorders>
            <w:hideMark/>
          </w:tcPr>
          <w:p w:rsidR="00921746" w:rsidRPr="00921746" w:rsidRDefault="00921746" w:rsidP="00921746">
            <w:pPr>
              <w:jc w:val="center"/>
            </w:pPr>
            <w:r w:rsidRPr="00921746">
              <w:rPr>
                <w:b/>
                <w:bCs/>
              </w:rPr>
              <w:t>Type</w:t>
            </w:r>
          </w:p>
        </w:tc>
      </w:tr>
      <w:tr w:rsidR="00921746" w:rsidRPr="00921746" w:rsidTr="00FC6719">
        <w:tc>
          <w:tcPr>
            <w:tcW w:w="1046" w:type="dxa"/>
            <w:tcBorders>
              <w:top w:val="single" w:sz="18" w:space="0" w:color="auto"/>
            </w:tcBorders>
            <w:hideMark/>
          </w:tcPr>
          <w:p w:rsidR="00921746" w:rsidRPr="00921746" w:rsidRDefault="00921746" w:rsidP="00921746">
            <w:pPr>
              <w:jc w:val="center"/>
            </w:pPr>
            <w:r>
              <w:t>0</w:t>
            </w:r>
          </w:p>
        </w:tc>
        <w:tc>
          <w:tcPr>
            <w:tcW w:w="1653" w:type="dxa"/>
            <w:tcBorders>
              <w:top w:val="single" w:sz="18" w:space="0" w:color="auto"/>
            </w:tcBorders>
            <w:hideMark/>
          </w:tcPr>
          <w:p w:rsidR="00921746" w:rsidRPr="00921746" w:rsidRDefault="00921746" w:rsidP="00921746">
            <w:pPr>
              <w:jc w:val="center"/>
            </w:pPr>
            <w:r>
              <w:t>0</w:t>
            </w:r>
          </w:p>
        </w:tc>
        <w:tc>
          <w:tcPr>
            <w:tcW w:w="1609" w:type="dxa"/>
            <w:tcBorders>
              <w:top w:val="single" w:sz="18" w:space="0" w:color="auto"/>
            </w:tcBorders>
            <w:hideMark/>
          </w:tcPr>
          <w:p w:rsidR="00921746" w:rsidRPr="00921746" w:rsidRDefault="00921746" w:rsidP="00921746">
            <w:pPr>
              <w:jc w:val="center"/>
            </w:pPr>
            <w:r>
              <w:t>0</w:t>
            </w:r>
          </w:p>
        </w:tc>
        <w:tc>
          <w:tcPr>
            <w:tcW w:w="1016" w:type="dxa"/>
            <w:tcBorders>
              <w:top w:val="single" w:sz="18" w:space="0" w:color="auto"/>
            </w:tcBorders>
            <w:hideMark/>
          </w:tcPr>
          <w:p w:rsidR="00921746" w:rsidRPr="00921746" w:rsidRDefault="00921746" w:rsidP="00921746">
            <w:pPr>
              <w:jc w:val="center"/>
            </w:pPr>
            <w:r>
              <w:t>0</w:t>
            </w:r>
          </w:p>
        </w:tc>
        <w:tc>
          <w:tcPr>
            <w:tcW w:w="3109" w:type="dxa"/>
            <w:tcBorders>
              <w:top w:val="single" w:sz="18" w:space="0" w:color="auto"/>
            </w:tcBorders>
            <w:hideMark/>
          </w:tcPr>
          <w:p w:rsidR="00921746" w:rsidRPr="00921746" w:rsidRDefault="00FC6719" w:rsidP="00921746">
            <w:r>
              <w:t>Blank subtracted</w:t>
            </w:r>
          </w:p>
        </w:tc>
      </w:tr>
      <w:tr w:rsidR="00921746" w:rsidRPr="00921746" w:rsidTr="00FC6719">
        <w:tc>
          <w:tcPr>
            <w:tcW w:w="1046" w:type="dxa"/>
            <w:hideMark/>
          </w:tcPr>
          <w:p w:rsidR="00921746" w:rsidRPr="00921746" w:rsidRDefault="00921746" w:rsidP="00921746">
            <w:pPr>
              <w:jc w:val="center"/>
            </w:pPr>
            <w:r w:rsidRPr="00921746">
              <w:t>2.0</w:t>
            </w:r>
            <w:r>
              <w:t>1</w:t>
            </w:r>
          </w:p>
        </w:tc>
        <w:tc>
          <w:tcPr>
            <w:tcW w:w="1653" w:type="dxa"/>
            <w:hideMark/>
          </w:tcPr>
          <w:p w:rsidR="00921746" w:rsidRPr="00921746" w:rsidRDefault="00921746" w:rsidP="00921746">
            <w:pPr>
              <w:jc w:val="center"/>
            </w:pPr>
            <w:r w:rsidRPr="00921746">
              <w:t>2.16</w:t>
            </w:r>
          </w:p>
        </w:tc>
        <w:tc>
          <w:tcPr>
            <w:tcW w:w="1609" w:type="dxa"/>
            <w:hideMark/>
          </w:tcPr>
          <w:p w:rsidR="00921746" w:rsidRPr="00921746" w:rsidRDefault="00921746" w:rsidP="00921746">
            <w:pPr>
              <w:jc w:val="center"/>
            </w:pPr>
            <w:r w:rsidRPr="00921746">
              <w:t>0.04</w:t>
            </w:r>
          </w:p>
        </w:tc>
        <w:tc>
          <w:tcPr>
            <w:tcW w:w="1016" w:type="dxa"/>
            <w:hideMark/>
          </w:tcPr>
          <w:p w:rsidR="00921746" w:rsidRPr="00921746" w:rsidRDefault="00921746" w:rsidP="00921746">
            <w:pPr>
              <w:jc w:val="center"/>
            </w:pPr>
            <w:r w:rsidRPr="00921746">
              <w:t>-6.88</w:t>
            </w:r>
          </w:p>
        </w:tc>
        <w:tc>
          <w:tcPr>
            <w:tcW w:w="3109" w:type="dxa"/>
            <w:hideMark/>
          </w:tcPr>
          <w:p w:rsidR="00921746" w:rsidRPr="00921746" w:rsidRDefault="00921746" w:rsidP="00921746">
            <w:r w:rsidRPr="00921746">
              <w:t>Manual Calibration</w:t>
            </w:r>
          </w:p>
        </w:tc>
      </w:tr>
      <w:tr w:rsidR="00921746" w:rsidRPr="00921746" w:rsidTr="00FC6719">
        <w:tc>
          <w:tcPr>
            <w:tcW w:w="1046" w:type="dxa"/>
            <w:hideMark/>
          </w:tcPr>
          <w:p w:rsidR="00921746" w:rsidRPr="00921746" w:rsidRDefault="00921746" w:rsidP="00921746">
            <w:pPr>
              <w:jc w:val="center"/>
            </w:pPr>
            <w:r w:rsidRPr="00921746">
              <w:t>10.04</w:t>
            </w:r>
          </w:p>
        </w:tc>
        <w:tc>
          <w:tcPr>
            <w:tcW w:w="1653" w:type="dxa"/>
            <w:hideMark/>
          </w:tcPr>
          <w:p w:rsidR="00921746" w:rsidRPr="00921746" w:rsidRDefault="00921746" w:rsidP="00921746">
            <w:pPr>
              <w:jc w:val="center"/>
            </w:pPr>
            <w:r w:rsidRPr="00921746">
              <w:t>9.96</w:t>
            </w:r>
          </w:p>
        </w:tc>
        <w:tc>
          <w:tcPr>
            <w:tcW w:w="1609" w:type="dxa"/>
            <w:hideMark/>
          </w:tcPr>
          <w:p w:rsidR="00921746" w:rsidRPr="00921746" w:rsidRDefault="00921746" w:rsidP="00921746">
            <w:pPr>
              <w:jc w:val="center"/>
            </w:pPr>
            <w:r w:rsidRPr="00921746">
              <w:t>0.01</w:t>
            </w:r>
          </w:p>
        </w:tc>
        <w:tc>
          <w:tcPr>
            <w:tcW w:w="1016" w:type="dxa"/>
            <w:hideMark/>
          </w:tcPr>
          <w:p w:rsidR="00921746" w:rsidRPr="00921746" w:rsidRDefault="00921746" w:rsidP="00921746">
            <w:pPr>
              <w:jc w:val="center"/>
            </w:pPr>
            <w:r w:rsidRPr="00921746">
              <w:t>0.77</w:t>
            </w:r>
          </w:p>
        </w:tc>
        <w:tc>
          <w:tcPr>
            <w:tcW w:w="3109" w:type="dxa"/>
            <w:hideMark/>
          </w:tcPr>
          <w:p w:rsidR="00921746" w:rsidRPr="00921746" w:rsidRDefault="00921746" w:rsidP="00921746">
            <w:r w:rsidRPr="00921746">
              <w:t>Manual Calibration</w:t>
            </w:r>
          </w:p>
        </w:tc>
      </w:tr>
      <w:tr w:rsidR="00921746" w:rsidRPr="00921746" w:rsidTr="00FC6719">
        <w:tc>
          <w:tcPr>
            <w:tcW w:w="1046" w:type="dxa"/>
            <w:hideMark/>
          </w:tcPr>
          <w:p w:rsidR="00921746" w:rsidRPr="00921746" w:rsidRDefault="00921746" w:rsidP="00921746">
            <w:pPr>
              <w:jc w:val="center"/>
            </w:pPr>
            <w:r w:rsidRPr="00921746">
              <w:t>25.09</w:t>
            </w:r>
          </w:p>
        </w:tc>
        <w:tc>
          <w:tcPr>
            <w:tcW w:w="1653" w:type="dxa"/>
            <w:hideMark/>
          </w:tcPr>
          <w:p w:rsidR="00921746" w:rsidRPr="00921746" w:rsidRDefault="00921746" w:rsidP="00921746">
            <w:pPr>
              <w:jc w:val="center"/>
            </w:pPr>
            <w:r w:rsidRPr="00921746">
              <w:t>24.53</w:t>
            </w:r>
          </w:p>
        </w:tc>
        <w:tc>
          <w:tcPr>
            <w:tcW w:w="1609" w:type="dxa"/>
            <w:hideMark/>
          </w:tcPr>
          <w:p w:rsidR="00921746" w:rsidRPr="00921746" w:rsidRDefault="00921746" w:rsidP="00921746">
            <w:pPr>
              <w:jc w:val="center"/>
            </w:pPr>
            <w:r w:rsidRPr="00921746">
              <w:t>0.01</w:t>
            </w:r>
          </w:p>
        </w:tc>
        <w:tc>
          <w:tcPr>
            <w:tcW w:w="1016" w:type="dxa"/>
            <w:hideMark/>
          </w:tcPr>
          <w:p w:rsidR="00921746" w:rsidRPr="00921746" w:rsidRDefault="00921746" w:rsidP="00921746">
            <w:pPr>
              <w:jc w:val="center"/>
            </w:pPr>
            <w:r w:rsidRPr="00921746">
              <w:t>2.30</w:t>
            </w:r>
          </w:p>
        </w:tc>
        <w:tc>
          <w:tcPr>
            <w:tcW w:w="3109" w:type="dxa"/>
            <w:hideMark/>
          </w:tcPr>
          <w:p w:rsidR="00921746" w:rsidRPr="00921746" w:rsidRDefault="00921746" w:rsidP="00921746">
            <w:r w:rsidRPr="00921746">
              <w:t>Manual Calibration</w:t>
            </w:r>
          </w:p>
        </w:tc>
      </w:tr>
      <w:tr w:rsidR="00921746" w:rsidRPr="00921746" w:rsidTr="00FC6719">
        <w:tc>
          <w:tcPr>
            <w:tcW w:w="1046" w:type="dxa"/>
            <w:hideMark/>
          </w:tcPr>
          <w:p w:rsidR="00921746" w:rsidRPr="00921746" w:rsidRDefault="00921746" w:rsidP="00921746">
            <w:pPr>
              <w:jc w:val="center"/>
            </w:pPr>
            <w:r w:rsidRPr="00921746">
              <w:t>49.62</w:t>
            </w:r>
          </w:p>
        </w:tc>
        <w:tc>
          <w:tcPr>
            <w:tcW w:w="1653" w:type="dxa"/>
            <w:hideMark/>
          </w:tcPr>
          <w:p w:rsidR="00921746" w:rsidRPr="00921746" w:rsidRDefault="00921746" w:rsidP="00921746">
            <w:pPr>
              <w:jc w:val="center"/>
            </w:pPr>
            <w:r w:rsidRPr="00921746">
              <w:t>50.26</w:t>
            </w:r>
          </w:p>
        </w:tc>
        <w:tc>
          <w:tcPr>
            <w:tcW w:w="1609" w:type="dxa"/>
            <w:hideMark/>
          </w:tcPr>
          <w:p w:rsidR="00921746" w:rsidRPr="00921746" w:rsidRDefault="00921746" w:rsidP="00921746">
            <w:pPr>
              <w:jc w:val="center"/>
            </w:pPr>
            <w:r w:rsidRPr="00921746">
              <w:t>0.07</w:t>
            </w:r>
          </w:p>
        </w:tc>
        <w:tc>
          <w:tcPr>
            <w:tcW w:w="1016" w:type="dxa"/>
            <w:hideMark/>
          </w:tcPr>
          <w:p w:rsidR="00921746" w:rsidRPr="00921746" w:rsidRDefault="00921746" w:rsidP="00921746">
            <w:pPr>
              <w:jc w:val="center"/>
            </w:pPr>
            <w:r w:rsidRPr="00921746">
              <w:t>-1.28</w:t>
            </w:r>
          </w:p>
        </w:tc>
        <w:tc>
          <w:tcPr>
            <w:tcW w:w="3109" w:type="dxa"/>
            <w:hideMark/>
          </w:tcPr>
          <w:p w:rsidR="00921746" w:rsidRPr="00921746" w:rsidRDefault="00921746" w:rsidP="00921746">
            <w:r w:rsidRPr="00921746">
              <w:t>Manual Calibration</w:t>
            </w:r>
          </w:p>
        </w:tc>
      </w:tr>
      <w:tr w:rsidR="00921746" w:rsidRPr="00921746" w:rsidTr="00FC6719">
        <w:tc>
          <w:tcPr>
            <w:tcW w:w="1046" w:type="dxa"/>
            <w:hideMark/>
          </w:tcPr>
          <w:p w:rsidR="00921746" w:rsidRPr="00921746" w:rsidRDefault="00921746" w:rsidP="00921746">
            <w:pPr>
              <w:jc w:val="center"/>
            </w:pPr>
            <w:r w:rsidRPr="00921746">
              <w:t>75.42</w:t>
            </w:r>
          </w:p>
        </w:tc>
        <w:tc>
          <w:tcPr>
            <w:tcW w:w="1653" w:type="dxa"/>
            <w:hideMark/>
          </w:tcPr>
          <w:p w:rsidR="00921746" w:rsidRPr="00921746" w:rsidRDefault="00921746" w:rsidP="00921746">
            <w:pPr>
              <w:jc w:val="center"/>
            </w:pPr>
            <w:r w:rsidRPr="00921746">
              <w:t>74.76</w:t>
            </w:r>
          </w:p>
        </w:tc>
        <w:tc>
          <w:tcPr>
            <w:tcW w:w="1609" w:type="dxa"/>
            <w:hideMark/>
          </w:tcPr>
          <w:p w:rsidR="00921746" w:rsidRPr="00921746" w:rsidRDefault="00921746" w:rsidP="00921746">
            <w:pPr>
              <w:jc w:val="center"/>
            </w:pPr>
            <w:r w:rsidRPr="00921746">
              <w:t>0.06</w:t>
            </w:r>
          </w:p>
        </w:tc>
        <w:tc>
          <w:tcPr>
            <w:tcW w:w="1016" w:type="dxa"/>
            <w:hideMark/>
          </w:tcPr>
          <w:p w:rsidR="00921746" w:rsidRPr="00921746" w:rsidRDefault="00921746" w:rsidP="00921746">
            <w:pPr>
              <w:jc w:val="center"/>
            </w:pPr>
            <w:r w:rsidRPr="00921746">
              <w:t>0.88</w:t>
            </w:r>
          </w:p>
        </w:tc>
        <w:tc>
          <w:tcPr>
            <w:tcW w:w="3109" w:type="dxa"/>
            <w:hideMark/>
          </w:tcPr>
          <w:p w:rsidR="00921746" w:rsidRPr="00921746" w:rsidRDefault="00921746" w:rsidP="00921746">
            <w:r w:rsidRPr="00921746">
              <w:t>Manual Calibration</w:t>
            </w:r>
          </w:p>
        </w:tc>
      </w:tr>
      <w:tr w:rsidR="00921746" w:rsidRPr="00921746" w:rsidTr="00FC6719">
        <w:tc>
          <w:tcPr>
            <w:tcW w:w="1046" w:type="dxa"/>
            <w:hideMark/>
          </w:tcPr>
          <w:p w:rsidR="00921746" w:rsidRPr="00921746" w:rsidRDefault="00921746" w:rsidP="00921746">
            <w:pPr>
              <w:jc w:val="center"/>
            </w:pPr>
            <w:r w:rsidRPr="00921746">
              <w:t>150.84</w:t>
            </w:r>
          </w:p>
        </w:tc>
        <w:tc>
          <w:tcPr>
            <w:tcW w:w="1653" w:type="dxa"/>
            <w:hideMark/>
          </w:tcPr>
          <w:p w:rsidR="00921746" w:rsidRPr="00921746" w:rsidRDefault="00921746" w:rsidP="00921746">
            <w:pPr>
              <w:jc w:val="center"/>
            </w:pPr>
            <w:r w:rsidRPr="00921746">
              <w:t>149.80</w:t>
            </w:r>
          </w:p>
        </w:tc>
        <w:tc>
          <w:tcPr>
            <w:tcW w:w="1609" w:type="dxa"/>
            <w:hideMark/>
          </w:tcPr>
          <w:p w:rsidR="00921746" w:rsidRPr="00921746" w:rsidRDefault="00921746" w:rsidP="00921746">
            <w:pPr>
              <w:jc w:val="center"/>
            </w:pPr>
            <w:r w:rsidRPr="00921746">
              <w:t>0.22</w:t>
            </w:r>
          </w:p>
        </w:tc>
        <w:tc>
          <w:tcPr>
            <w:tcW w:w="1016" w:type="dxa"/>
            <w:hideMark/>
          </w:tcPr>
          <w:p w:rsidR="00921746" w:rsidRPr="00921746" w:rsidRDefault="00921746" w:rsidP="00921746">
            <w:pPr>
              <w:jc w:val="center"/>
            </w:pPr>
            <w:r w:rsidRPr="00921746">
              <w:t>0.70</w:t>
            </w:r>
          </w:p>
        </w:tc>
        <w:tc>
          <w:tcPr>
            <w:tcW w:w="3109" w:type="dxa"/>
            <w:hideMark/>
          </w:tcPr>
          <w:p w:rsidR="00921746" w:rsidRPr="00921746" w:rsidRDefault="00921746" w:rsidP="00921746">
            <w:r w:rsidRPr="00921746">
              <w:t>Manual Calibration</w:t>
            </w:r>
          </w:p>
        </w:tc>
      </w:tr>
      <w:tr w:rsidR="00921746" w:rsidRPr="00921746" w:rsidTr="00FC6719">
        <w:tc>
          <w:tcPr>
            <w:tcW w:w="1046" w:type="dxa"/>
            <w:hideMark/>
          </w:tcPr>
          <w:p w:rsidR="00921746" w:rsidRPr="00921746" w:rsidRDefault="00921746" w:rsidP="00921746">
            <w:pPr>
              <w:jc w:val="center"/>
            </w:pPr>
            <w:r w:rsidRPr="00921746">
              <w:t>293.74</w:t>
            </w:r>
          </w:p>
        </w:tc>
        <w:tc>
          <w:tcPr>
            <w:tcW w:w="1653" w:type="dxa"/>
            <w:hideMark/>
          </w:tcPr>
          <w:p w:rsidR="00921746" w:rsidRPr="00921746" w:rsidRDefault="00921746" w:rsidP="00921746">
            <w:pPr>
              <w:jc w:val="center"/>
            </w:pPr>
            <w:r w:rsidRPr="00921746">
              <w:t>294.23</w:t>
            </w:r>
          </w:p>
        </w:tc>
        <w:tc>
          <w:tcPr>
            <w:tcW w:w="1609" w:type="dxa"/>
            <w:hideMark/>
          </w:tcPr>
          <w:p w:rsidR="00921746" w:rsidRPr="00921746" w:rsidRDefault="00921746" w:rsidP="00921746">
            <w:pPr>
              <w:jc w:val="center"/>
            </w:pPr>
            <w:r w:rsidRPr="00921746">
              <w:t>0.41</w:t>
            </w:r>
          </w:p>
        </w:tc>
        <w:tc>
          <w:tcPr>
            <w:tcW w:w="1016" w:type="dxa"/>
            <w:hideMark/>
          </w:tcPr>
          <w:p w:rsidR="00921746" w:rsidRPr="00921746" w:rsidRDefault="00921746" w:rsidP="00921746">
            <w:pPr>
              <w:jc w:val="center"/>
            </w:pPr>
            <w:r w:rsidRPr="00921746">
              <w:t>-0.17</w:t>
            </w:r>
          </w:p>
        </w:tc>
        <w:tc>
          <w:tcPr>
            <w:tcW w:w="3109" w:type="dxa"/>
            <w:hideMark/>
          </w:tcPr>
          <w:p w:rsidR="00921746" w:rsidRPr="00921746" w:rsidRDefault="00921746" w:rsidP="00921746">
            <w:r w:rsidRPr="00921746">
              <w:t>Manual Calibration</w:t>
            </w:r>
          </w:p>
        </w:tc>
      </w:tr>
      <w:tr w:rsidR="00921746" w:rsidRPr="00921746" w:rsidTr="00FC6719">
        <w:tc>
          <w:tcPr>
            <w:tcW w:w="1046" w:type="dxa"/>
            <w:hideMark/>
          </w:tcPr>
          <w:p w:rsidR="00921746" w:rsidRPr="00FC6719" w:rsidRDefault="00921746" w:rsidP="00921746">
            <w:pPr>
              <w:jc w:val="center"/>
              <w:rPr>
                <w:b/>
              </w:rPr>
            </w:pPr>
            <w:r w:rsidRPr="00FC6719">
              <w:rPr>
                <w:b/>
              </w:rPr>
              <w:t>2.01</w:t>
            </w:r>
          </w:p>
        </w:tc>
        <w:tc>
          <w:tcPr>
            <w:tcW w:w="1653" w:type="dxa"/>
            <w:hideMark/>
          </w:tcPr>
          <w:p w:rsidR="00921746" w:rsidRPr="00FC6719" w:rsidRDefault="00921746" w:rsidP="00921746">
            <w:pPr>
              <w:jc w:val="center"/>
              <w:rPr>
                <w:b/>
              </w:rPr>
            </w:pPr>
            <w:r w:rsidRPr="00FC6719">
              <w:rPr>
                <w:b/>
              </w:rPr>
              <w:t>2.10</w:t>
            </w:r>
          </w:p>
        </w:tc>
        <w:tc>
          <w:tcPr>
            <w:tcW w:w="1609" w:type="dxa"/>
            <w:hideMark/>
          </w:tcPr>
          <w:p w:rsidR="00921746" w:rsidRPr="00FC6719" w:rsidRDefault="00921746" w:rsidP="00921746">
            <w:pPr>
              <w:jc w:val="center"/>
              <w:rPr>
                <w:b/>
              </w:rPr>
            </w:pPr>
            <w:r w:rsidRPr="00FC6719">
              <w:rPr>
                <w:b/>
              </w:rPr>
              <w:t>0.02</w:t>
            </w:r>
          </w:p>
        </w:tc>
        <w:tc>
          <w:tcPr>
            <w:tcW w:w="1016" w:type="dxa"/>
            <w:hideMark/>
          </w:tcPr>
          <w:p w:rsidR="00921746" w:rsidRPr="00FC6719" w:rsidRDefault="00921746" w:rsidP="00921746">
            <w:pPr>
              <w:jc w:val="center"/>
              <w:rPr>
                <w:b/>
              </w:rPr>
            </w:pPr>
            <w:r w:rsidRPr="00FC6719">
              <w:rPr>
                <w:b/>
              </w:rPr>
              <w:t>-4.06</w:t>
            </w:r>
          </w:p>
        </w:tc>
        <w:tc>
          <w:tcPr>
            <w:tcW w:w="3109" w:type="dxa"/>
            <w:hideMark/>
          </w:tcPr>
          <w:p w:rsidR="00921746" w:rsidRPr="00FC6719" w:rsidRDefault="00921746" w:rsidP="00921746">
            <w:pPr>
              <w:rPr>
                <w:b/>
              </w:rPr>
            </w:pPr>
            <w:r w:rsidRPr="00FC6719">
              <w:rPr>
                <w:b/>
              </w:rPr>
              <w:t xml:space="preserve">Run as sample using Auto Cali. </w:t>
            </w:r>
          </w:p>
        </w:tc>
      </w:tr>
      <w:tr w:rsidR="00921746" w:rsidRPr="00921746" w:rsidTr="00FC6719">
        <w:tc>
          <w:tcPr>
            <w:tcW w:w="1046" w:type="dxa"/>
            <w:hideMark/>
          </w:tcPr>
          <w:p w:rsidR="00921746" w:rsidRPr="00921746" w:rsidRDefault="00921746" w:rsidP="00921746">
            <w:pPr>
              <w:jc w:val="center"/>
            </w:pPr>
            <w:r w:rsidRPr="00921746">
              <w:rPr>
                <w:b/>
                <w:bCs/>
              </w:rPr>
              <w:t>150.84</w:t>
            </w:r>
          </w:p>
        </w:tc>
        <w:tc>
          <w:tcPr>
            <w:tcW w:w="1653" w:type="dxa"/>
            <w:hideMark/>
          </w:tcPr>
          <w:p w:rsidR="00921746" w:rsidRPr="00921746" w:rsidRDefault="00921746" w:rsidP="00921746">
            <w:pPr>
              <w:jc w:val="center"/>
            </w:pPr>
            <w:r w:rsidRPr="00921746">
              <w:rPr>
                <w:b/>
                <w:bCs/>
              </w:rPr>
              <w:t>148.00</w:t>
            </w:r>
          </w:p>
        </w:tc>
        <w:tc>
          <w:tcPr>
            <w:tcW w:w="1609" w:type="dxa"/>
            <w:hideMark/>
          </w:tcPr>
          <w:p w:rsidR="00921746" w:rsidRPr="00921746" w:rsidRDefault="00921746" w:rsidP="00921746">
            <w:pPr>
              <w:jc w:val="center"/>
            </w:pPr>
            <w:r w:rsidRPr="00921746">
              <w:rPr>
                <w:b/>
                <w:bCs/>
              </w:rPr>
              <w:t>0.16</w:t>
            </w:r>
          </w:p>
        </w:tc>
        <w:tc>
          <w:tcPr>
            <w:tcW w:w="1016" w:type="dxa"/>
            <w:hideMark/>
          </w:tcPr>
          <w:p w:rsidR="00921746" w:rsidRPr="00921746" w:rsidRDefault="00921746" w:rsidP="00921746">
            <w:pPr>
              <w:jc w:val="center"/>
            </w:pPr>
            <w:r w:rsidRPr="00921746">
              <w:rPr>
                <w:b/>
                <w:bCs/>
              </w:rPr>
              <w:t>1.92</w:t>
            </w:r>
          </w:p>
        </w:tc>
        <w:tc>
          <w:tcPr>
            <w:tcW w:w="3109" w:type="dxa"/>
            <w:hideMark/>
          </w:tcPr>
          <w:p w:rsidR="00921746" w:rsidRPr="00921746" w:rsidRDefault="00921746" w:rsidP="00921746">
            <w:r w:rsidRPr="00921746">
              <w:rPr>
                <w:b/>
                <w:bCs/>
              </w:rPr>
              <w:t>Run as sample using Auto Cali.</w:t>
            </w:r>
          </w:p>
        </w:tc>
      </w:tr>
      <w:tr w:rsidR="00921746" w:rsidRPr="00921746" w:rsidTr="00FC6719">
        <w:tc>
          <w:tcPr>
            <w:tcW w:w="1046" w:type="dxa"/>
            <w:hideMark/>
          </w:tcPr>
          <w:p w:rsidR="00921746" w:rsidRPr="00921746" w:rsidRDefault="00921746" w:rsidP="00921746">
            <w:pPr>
              <w:jc w:val="center"/>
            </w:pPr>
            <w:r w:rsidRPr="00921746">
              <w:rPr>
                <w:b/>
                <w:bCs/>
              </w:rPr>
              <w:t>293.74</w:t>
            </w:r>
          </w:p>
        </w:tc>
        <w:tc>
          <w:tcPr>
            <w:tcW w:w="1653" w:type="dxa"/>
            <w:hideMark/>
          </w:tcPr>
          <w:p w:rsidR="00921746" w:rsidRPr="00921746" w:rsidRDefault="00921746" w:rsidP="00921746">
            <w:pPr>
              <w:jc w:val="center"/>
            </w:pPr>
            <w:r w:rsidRPr="00921746">
              <w:rPr>
                <w:b/>
                <w:bCs/>
              </w:rPr>
              <w:t>290.97</w:t>
            </w:r>
          </w:p>
        </w:tc>
        <w:tc>
          <w:tcPr>
            <w:tcW w:w="1609" w:type="dxa"/>
            <w:hideMark/>
          </w:tcPr>
          <w:p w:rsidR="00921746" w:rsidRPr="00921746" w:rsidRDefault="00921746" w:rsidP="00921746">
            <w:pPr>
              <w:jc w:val="center"/>
            </w:pPr>
            <w:r w:rsidRPr="00921746">
              <w:rPr>
                <w:b/>
                <w:bCs/>
              </w:rPr>
              <w:t>0.54</w:t>
            </w:r>
          </w:p>
        </w:tc>
        <w:tc>
          <w:tcPr>
            <w:tcW w:w="1016" w:type="dxa"/>
            <w:hideMark/>
          </w:tcPr>
          <w:p w:rsidR="00921746" w:rsidRPr="00921746" w:rsidRDefault="00921746" w:rsidP="00921746">
            <w:pPr>
              <w:jc w:val="center"/>
            </w:pPr>
            <w:r w:rsidRPr="00921746">
              <w:rPr>
                <w:b/>
                <w:bCs/>
              </w:rPr>
              <w:t>0.95</w:t>
            </w:r>
          </w:p>
        </w:tc>
        <w:tc>
          <w:tcPr>
            <w:tcW w:w="3109" w:type="dxa"/>
            <w:hideMark/>
          </w:tcPr>
          <w:p w:rsidR="00921746" w:rsidRPr="00921746" w:rsidRDefault="00921746" w:rsidP="00921746">
            <w:r w:rsidRPr="00921746">
              <w:rPr>
                <w:b/>
                <w:bCs/>
              </w:rPr>
              <w:t>Run as sample using Auto Cali.</w:t>
            </w:r>
          </w:p>
        </w:tc>
      </w:tr>
      <w:tr w:rsidR="00921746" w:rsidRPr="00921746" w:rsidTr="00FC6719">
        <w:tc>
          <w:tcPr>
            <w:tcW w:w="1046" w:type="dxa"/>
            <w:tcBorders>
              <w:top w:val="single" w:sz="18" w:space="0" w:color="auto"/>
            </w:tcBorders>
          </w:tcPr>
          <w:p w:rsidR="00921746" w:rsidRPr="00921746" w:rsidRDefault="00921746" w:rsidP="00921746">
            <w:pPr>
              <w:jc w:val="center"/>
            </w:pPr>
          </w:p>
        </w:tc>
        <w:tc>
          <w:tcPr>
            <w:tcW w:w="1653" w:type="dxa"/>
            <w:tcBorders>
              <w:top w:val="single" w:sz="18" w:space="0" w:color="auto"/>
            </w:tcBorders>
          </w:tcPr>
          <w:p w:rsidR="00921746" w:rsidRPr="00921746" w:rsidRDefault="00921746" w:rsidP="00921746">
            <w:pPr>
              <w:jc w:val="center"/>
            </w:pPr>
          </w:p>
        </w:tc>
        <w:tc>
          <w:tcPr>
            <w:tcW w:w="1609" w:type="dxa"/>
            <w:tcBorders>
              <w:top w:val="single" w:sz="18" w:space="0" w:color="auto"/>
            </w:tcBorders>
          </w:tcPr>
          <w:p w:rsidR="00921746" w:rsidRPr="00921746" w:rsidRDefault="00921746" w:rsidP="00921746">
            <w:pPr>
              <w:jc w:val="center"/>
            </w:pPr>
          </w:p>
        </w:tc>
        <w:tc>
          <w:tcPr>
            <w:tcW w:w="1016" w:type="dxa"/>
            <w:tcBorders>
              <w:top w:val="single" w:sz="18" w:space="0" w:color="auto"/>
            </w:tcBorders>
          </w:tcPr>
          <w:p w:rsidR="00921746" w:rsidRPr="00921746" w:rsidRDefault="00921746" w:rsidP="00921746">
            <w:pPr>
              <w:jc w:val="center"/>
            </w:pPr>
          </w:p>
        </w:tc>
        <w:tc>
          <w:tcPr>
            <w:tcW w:w="3109" w:type="dxa"/>
            <w:tcBorders>
              <w:top w:val="single" w:sz="18" w:space="0" w:color="auto"/>
            </w:tcBorders>
          </w:tcPr>
          <w:p w:rsidR="00921746" w:rsidRPr="00921746" w:rsidRDefault="00921746" w:rsidP="00921746"/>
        </w:tc>
      </w:tr>
      <w:tr w:rsidR="00921746" w:rsidRPr="00921746" w:rsidTr="00FC6719">
        <w:tc>
          <w:tcPr>
            <w:tcW w:w="1046" w:type="dxa"/>
          </w:tcPr>
          <w:p w:rsidR="00921746" w:rsidRPr="00921746" w:rsidRDefault="00921746" w:rsidP="00921746">
            <w:pPr>
              <w:jc w:val="center"/>
            </w:pPr>
          </w:p>
        </w:tc>
        <w:tc>
          <w:tcPr>
            <w:tcW w:w="1653" w:type="dxa"/>
          </w:tcPr>
          <w:p w:rsidR="00921746" w:rsidRPr="00921746" w:rsidRDefault="00921746" w:rsidP="00921746">
            <w:pPr>
              <w:jc w:val="center"/>
            </w:pPr>
          </w:p>
        </w:tc>
        <w:tc>
          <w:tcPr>
            <w:tcW w:w="1609" w:type="dxa"/>
          </w:tcPr>
          <w:p w:rsidR="00921746" w:rsidRPr="00921746" w:rsidRDefault="00921746" w:rsidP="00921746">
            <w:pPr>
              <w:jc w:val="center"/>
            </w:pPr>
          </w:p>
        </w:tc>
        <w:tc>
          <w:tcPr>
            <w:tcW w:w="1016" w:type="dxa"/>
          </w:tcPr>
          <w:p w:rsidR="00921746" w:rsidRPr="00921746" w:rsidRDefault="00921746" w:rsidP="00921746">
            <w:pPr>
              <w:jc w:val="center"/>
            </w:pPr>
          </w:p>
        </w:tc>
        <w:tc>
          <w:tcPr>
            <w:tcW w:w="3109" w:type="dxa"/>
          </w:tcPr>
          <w:p w:rsidR="00921746" w:rsidRPr="00921746" w:rsidRDefault="00921746" w:rsidP="00921746"/>
        </w:tc>
      </w:tr>
    </w:tbl>
    <w:p w:rsidR="000C5F56" w:rsidRDefault="000C5F56" w:rsidP="000C5F56">
      <w:pPr>
        <w:pStyle w:val="ListParagraph"/>
        <w:numPr>
          <w:ilvl w:val="1"/>
          <w:numId w:val="2"/>
        </w:numPr>
        <w:ind w:left="426" w:hanging="426"/>
        <w:rPr>
          <w:b/>
        </w:rPr>
      </w:pPr>
      <w:r w:rsidRPr="000C5F56">
        <w:rPr>
          <w:b/>
        </w:rPr>
        <w:t>Turbidity calibrations with NTU standards</w:t>
      </w:r>
    </w:p>
    <w:p w:rsidR="00820A97" w:rsidRPr="00700E1E" w:rsidRDefault="00700E1E" w:rsidP="00820A97">
      <w:r w:rsidRPr="00700E1E">
        <w:t xml:space="preserve">Calibrations performed on the </w:t>
      </w:r>
      <w:proofErr w:type="spellStart"/>
      <w:r w:rsidRPr="00700E1E">
        <w:t>AquaFluor</w:t>
      </w:r>
      <w:proofErr w:type="spellEnd"/>
      <w:r w:rsidRPr="00700E1E">
        <w:t xml:space="preserve"> turbidity channel using the </w:t>
      </w:r>
      <w:r>
        <w:t xml:space="preserve">Turner brand NTU turbidity standards were highly linear (Figure #). The use of an additional 1000 NTU standard (manufacturer ###) resulted in a poor calibration (not shown). When the 1000 NTU standard was run as a sample on the </w:t>
      </w:r>
      <w:proofErr w:type="spellStart"/>
      <w:r>
        <w:t>AquaFluor</w:t>
      </w:r>
      <w:proofErr w:type="spellEnd"/>
      <w:r>
        <w:t xml:space="preserve"> calibrated using the Turner standards, the resulting NTU was considerably higher than expected based on the linear trend extrapolated to 1000 NTU. Calibrations performed using glass cuvettes resulted in slightly higher slopes than those performed using plastic cuvettes.</w:t>
      </w:r>
      <w:bookmarkStart w:id="1" w:name="_GoBack"/>
      <w:bookmarkEnd w:id="1"/>
      <w:r>
        <w:t xml:space="preserve"> </w:t>
      </w:r>
    </w:p>
    <w:p w:rsidR="00820A97" w:rsidRDefault="00820A97" w:rsidP="00820A97">
      <w:pPr>
        <w:rPr>
          <w:b/>
        </w:rPr>
      </w:pPr>
    </w:p>
    <w:p w:rsidR="00820A97" w:rsidRPr="00820A97" w:rsidRDefault="00820A97" w:rsidP="00820A97">
      <w:pPr>
        <w:rPr>
          <w:b/>
        </w:rPr>
      </w:pPr>
    </w:p>
    <w:p w:rsidR="00820A97" w:rsidRPr="00820A97" w:rsidRDefault="00820A97" w:rsidP="00820A97">
      <w:pPr>
        <w:rPr>
          <w:b/>
        </w:rPr>
      </w:pPr>
      <w:r>
        <w:rPr>
          <w:b/>
          <w:noProof/>
        </w:rPr>
        <w:lastRenderedPageBreak/>
        <w:drawing>
          <wp:inline distT="0" distB="0" distL="0" distR="0">
            <wp:extent cx="5943600" cy="316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_cali_tur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820A97" w:rsidRDefault="00820A97" w:rsidP="00820A97">
      <w:pPr>
        <w:pStyle w:val="ListParagraph"/>
        <w:ind w:left="426"/>
        <w:rPr>
          <w:b/>
        </w:rPr>
      </w:pPr>
    </w:p>
    <w:p w:rsidR="00820A97" w:rsidRDefault="00820A97" w:rsidP="006674BB">
      <w:pPr>
        <w:pStyle w:val="ListParagraph"/>
        <w:numPr>
          <w:ilvl w:val="1"/>
          <w:numId w:val="2"/>
        </w:numPr>
        <w:ind w:left="426" w:hanging="426"/>
        <w:rPr>
          <w:b/>
        </w:rPr>
      </w:pPr>
      <w:r>
        <w:rPr>
          <w:b/>
        </w:rPr>
        <w:t xml:space="preserve">Field </w:t>
      </w:r>
      <w:proofErr w:type="spellStart"/>
      <w:r>
        <w:rPr>
          <w:b/>
        </w:rPr>
        <w:t>Chla</w:t>
      </w:r>
      <w:proofErr w:type="spellEnd"/>
      <w:r>
        <w:rPr>
          <w:b/>
        </w:rPr>
        <w:t xml:space="preserve"> observations</w:t>
      </w:r>
    </w:p>
    <w:p w:rsidR="00820A97" w:rsidRDefault="00820A97" w:rsidP="00820A97">
      <w:pPr>
        <w:rPr>
          <w:b/>
        </w:rPr>
      </w:pPr>
    </w:p>
    <w:p w:rsidR="00820A97" w:rsidRDefault="00820A97" w:rsidP="00820A97">
      <w:pPr>
        <w:rPr>
          <w:b/>
        </w:rPr>
      </w:pPr>
    </w:p>
    <w:p w:rsidR="00820A97" w:rsidRPr="00820A97" w:rsidRDefault="00820A97" w:rsidP="00820A97">
      <w:pPr>
        <w:rPr>
          <w:b/>
        </w:rPr>
      </w:pPr>
    </w:p>
    <w:p w:rsidR="002404A6" w:rsidRPr="00820A97" w:rsidRDefault="007D580C" w:rsidP="006674BB">
      <w:pPr>
        <w:pStyle w:val="ListParagraph"/>
        <w:numPr>
          <w:ilvl w:val="1"/>
          <w:numId w:val="2"/>
        </w:numPr>
        <w:ind w:left="426" w:hanging="426"/>
        <w:rPr>
          <w:b/>
        </w:rPr>
      </w:pPr>
      <w:r w:rsidRPr="00820A97">
        <w:rPr>
          <w:b/>
        </w:rPr>
        <w:t xml:space="preserve">Field sample comparisons with extracted </w:t>
      </w:r>
      <w:proofErr w:type="spellStart"/>
      <w:r w:rsidRPr="00820A97">
        <w:rPr>
          <w:b/>
        </w:rPr>
        <w:t>Chla</w:t>
      </w:r>
      <w:proofErr w:type="spellEnd"/>
    </w:p>
    <w:p w:rsidR="007D580C" w:rsidRPr="001D75D5" w:rsidRDefault="007D580C" w:rsidP="006674BB">
      <w:r>
        <w:t xml:space="preserve">Comparisons of </w:t>
      </w:r>
      <w:r w:rsidRPr="007D580C">
        <w:rPr>
          <w:i/>
        </w:rPr>
        <w:t>in vivo</w:t>
      </w:r>
      <w:r>
        <w:t xml:space="preserve"> </w:t>
      </w:r>
      <w:proofErr w:type="spellStart"/>
      <w:r>
        <w:t>Chla</w:t>
      </w:r>
      <w:proofErr w:type="spellEnd"/>
      <w:r>
        <w:t xml:space="preserve"> concentrations from the </w:t>
      </w:r>
      <w:proofErr w:type="spellStart"/>
      <w:r>
        <w:t>AquaFluor</w:t>
      </w:r>
      <w:proofErr w:type="spellEnd"/>
      <w:r>
        <w:t xml:space="preserve"> instrument versus simultaneously collected </w:t>
      </w:r>
      <w:r w:rsidRPr="007D580C">
        <w:rPr>
          <w:i/>
        </w:rPr>
        <w:t>in vitro</w:t>
      </w:r>
      <w:r>
        <w:t xml:space="preserve"> extracted </w:t>
      </w:r>
      <w:proofErr w:type="spellStart"/>
      <w:r>
        <w:t>Chla</w:t>
      </w:r>
      <w:proofErr w:type="spellEnd"/>
      <w:r>
        <w:t xml:space="preserve"> concentrations run on the </w:t>
      </w:r>
      <w:proofErr w:type="spellStart"/>
      <w:r>
        <w:t>Hakai</w:t>
      </w:r>
      <w:proofErr w:type="spellEnd"/>
      <w:r>
        <w:t xml:space="preserve"> Institute Trilogy instrument are shown in</w:t>
      </w:r>
      <w:r w:rsidR="00820A97">
        <w:t xml:space="preserve"> </w:t>
      </w:r>
      <w:r w:rsidR="00820A97" w:rsidRPr="00820A97">
        <w:fldChar w:fldCharType="begin"/>
      </w:r>
      <w:r w:rsidR="00820A97" w:rsidRPr="00820A97">
        <w:instrText xml:space="preserve"> REF _Ref183180910 \h </w:instrText>
      </w:r>
      <w:r w:rsidR="00820A97" w:rsidRPr="00820A97">
        <w:instrText xml:space="preserve"> \* MERGEFORMAT </w:instrText>
      </w:r>
      <w:r w:rsidR="00820A97" w:rsidRPr="00820A97">
        <w:fldChar w:fldCharType="separate"/>
      </w:r>
      <w:r w:rsidR="00820A97" w:rsidRPr="00820A97">
        <w:t xml:space="preserve">Figure </w:t>
      </w:r>
      <w:r w:rsidR="00820A97" w:rsidRPr="00820A97">
        <w:rPr>
          <w:noProof/>
        </w:rPr>
        <w:t>2</w:t>
      </w:r>
      <w:r w:rsidR="00820A97" w:rsidRPr="00820A97">
        <w:fldChar w:fldCharType="end"/>
      </w:r>
      <w:r w:rsidR="00820A97" w:rsidRPr="00820A97">
        <w:t>.</w:t>
      </w:r>
      <w:r w:rsidR="00820A97">
        <w:t xml:space="preserve"> </w:t>
      </w:r>
      <w:r>
        <w:t xml:space="preserve">The </w:t>
      </w:r>
      <w:proofErr w:type="spellStart"/>
      <w:r>
        <w:t>Aquafluor</w:t>
      </w:r>
      <w:proofErr w:type="spellEnd"/>
      <w:r>
        <w:t xml:space="preserve"> instrument </w:t>
      </w:r>
      <w:r w:rsidR="001D75D5">
        <w:t xml:space="preserve">concentrations </w:t>
      </w:r>
      <w:r>
        <w:t xml:space="preserve">showed strong linear </w:t>
      </w:r>
      <w:r w:rsidR="001D75D5">
        <w:t>correlations</w:t>
      </w:r>
      <w:r>
        <w:t xml:space="preserve"> with concentrations derived using the Trilogy </w:t>
      </w:r>
      <w:r w:rsidR="001D75D5">
        <w:t xml:space="preserve">instrument regardless </w:t>
      </w:r>
      <w:proofErr w:type="spellStart"/>
      <w:r w:rsidR="001D75D5">
        <w:t>Aquafluor</w:t>
      </w:r>
      <w:proofErr w:type="spellEnd"/>
      <w:r w:rsidR="001D75D5">
        <w:t xml:space="preserve"> </w:t>
      </w:r>
      <w:r w:rsidR="00700E1E">
        <w:t>calibration standard type</w:t>
      </w:r>
      <w:r w:rsidR="001D75D5">
        <w:t xml:space="preserve">. When the </w:t>
      </w:r>
      <w:proofErr w:type="spellStart"/>
      <w:r>
        <w:t>AquaFluor</w:t>
      </w:r>
      <w:proofErr w:type="spellEnd"/>
      <w:r>
        <w:t xml:space="preserve"> instrument was calibrated using analytical </w:t>
      </w:r>
      <w:proofErr w:type="spellStart"/>
      <w:r>
        <w:t>Chla</w:t>
      </w:r>
      <w:proofErr w:type="spellEnd"/>
      <w:r>
        <w:t xml:space="preserve"> standards (auto-calibration in section 3.1), </w:t>
      </w:r>
      <w:r w:rsidR="001D75D5">
        <w:t>it showed a moderate overestimation of those derived via the Trilogy (slope = 1.39)</w:t>
      </w:r>
      <w:r w:rsidR="00700E1E">
        <w:t xml:space="preserve">. </w:t>
      </w:r>
      <w:r w:rsidR="001D75D5">
        <w:t xml:space="preserve">In turn, the rhodamine calibrated </w:t>
      </w:r>
      <w:proofErr w:type="spellStart"/>
      <w:r w:rsidR="001D75D5">
        <w:t>AquaFluor</w:t>
      </w:r>
      <w:proofErr w:type="spellEnd"/>
      <w:r w:rsidR="001D75D5">
        <w:t xml:space="preserve"> </w:t>
      </w:r>
      <w:proofErr w:type="spellStart"/>
      <w:r w:rsidR="001D75D5">
        <w:t>Chla</w:t>
      </w:r>
      <w:proofErr w:type="spellEnd"/>
      <w:r w:rsidR="001D75D5">
        <w:t xml:space="preserve"> concentrations highly overestimated concentrations from the Trilogy instrument (slope = 8.71).</w:t>
      </w:r>
    </w:p>
    <w:p w:rsidR="001D75D5" w:rsidRDefault="006674BB" w:rsidP="001D75D5">
      <w:pPr>
        <w:keepNext/>
      </w:pPr>
      <w:r>
        <w:rPr>
          <w:noProof/>
        </w:rPr>
        <w:lastRenderedPageBreak/>
        <w:drawing>
          <wp:inline distT="0" distB="0" distL="0" distR="0">
            <wp:extent cx="4320000" cy="3360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comprison_extracted_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0000" cy="3360000"/>
                    </a:xfrm>
                    <a:prstGeom prst="rect">
                      <a:avLst/>
                    </a:prstGeom>
                  </pic:spPr>
                </pic:pic>
              </a:graphicData>
            </a:graphic>
          </wp:inline>
        </w:drawing>
      </w:r>
    </w:p>
    <w:p w:rsidR="006674BB" w:rsidRPr="00820A97" w:rsidRDefault="001D75D5" w:rsidP="001D75D5">
      <w:pPr>
        <w:pStyle w:val="Caption"/>
        <w:rPr>
          <w:i w:val="0"/>
          <w:color w:val="auto"/>
        </w:rPr>
      </w:pPr>
      <w:bookmarkStart w:id="2" w:name="_Ref183180910"/>
      <w:r w:rsidRPr="00820A97">
        <w:rPr>
          <w:i w:val="0"/>
          <w:color w:val="auto"/>
        </w:rPr>
        <w:t xml:space="preserve">Figure </w:t>
      </w:r>
      <w:r w:rsidRPr="00820A97">
        <w:rPr>
          <w:i w:val="0"/>
          <w:color w:val="auto"/>
        </w:rPr>
        <w:fldChar w:fldCharType="begin"/>
      </w:r>
      <w:r w:rsidRPr="00820A97">
        <w:rPr>
          <w:i w:val="0"/>
          <w:color w:val="auto"/>
        </w:rPr>
        <w:instrText xml:space="preserve"> SEQ Figure \* ARABIC </w:instrText>
      </w:r>
      <w:r w:rsidRPr="00820A97">
        <w:rPr>
          <w:i w:val="0"/>
          <w:color w:val="auto"/>
        </w:rPr>
        <w:fldChar w:fldCharType="separate"/>
      </w:r>
      <w:r w:rsidRPr="00820A97">
        <w:rPr>
          <w:i w:val="0"/>
          <w:noProof/>
          <w:color w:val="auto"/>
        </w:rPr>
        <w:t>2</w:t>
      </w:r>
      <w:r w:rsidRPr="00820A97">
        <w:rPr>
          <w:i w:val="0"/>
          <w:color w:val="auto"/>
        </w:rPr>
        <w:fldChar w:fldCharType="end"/>
      </w:r>
      <w:bookmarkEnd w:id="2"/>
      <w:r w:rsidRPr="00820A97">
        <w:rPr>
          <w:i w:val="0"/>
          <w:color w:val="auto"/>
        </w:rPr>
        <w:t xml:space="preserve"> – scatterplot of in vitro extracted </w:t>
      </w:r>
      <w:proofErr w:type="spellStart"/>
      <w:r w:rsidRPr="00820A97">
        <w:rPr>
          <w:i w:val="0"/>
          <w:color w:val="auto"/>
        </w:rPr>
        <w:t>Chla</w:t>
      </w:r>
      <w:proofErr w:type="spellEnd"/>
      <w:r w:rsidRPr="00820A97">
        <w:rPr>
          <w:i w:val="0"/>
          <w:color w:val="auto"/>
        </w:rPr>
        <w:t xml:space="preserve"> </w:t>
      </w:r>
      <w:r w:rsidR="00820A97" w:rsidRPr="00820A97">
        <w:rPr>
          <w:i w:val="0"/>
          <w:color w:val="auto"/>
        </w:rPr>
        <w:t>concentrations</w:t>
      </w:r>
      <w:r w:rsidRPr="00820A97">
        <w:rPr>
          <w:i w:val="0"/>
          <w:color w:val="auto"/>
        </w:rPr>
        <w:t xml:space="preserve"> from the </w:t>
      </w:r>
      <w:proofErr w:type="spellStart"/>
      <w:r w:rsidRPr="00820A97">
        <w:rPr>
          <w:i w:val="0"/>
          <w:color w:val="auto"/>
        </w:rPr>
        <w:t>Hakai</w:t>
      </w:r>
      <w:proofErr w:type="spellEnd"/>
      <w:r w:rsidRPr="00820A97">
        <w:rPr>
          <w:i w:val="0"/>
          <w:color w:val="auto"/>
        </w:rPr>
        <w:t xml:space="preserve"> Institute Trilogy fluorometer versus those derived on simultaneous collected samples run on the </w:t>
      </w:r>
      <w:proofErr w:type="spellStart"/>
      <w:r w:rsidRPr="00820A97">
        <w:rPr>
          <w:i w:val="0"/>
          <w:color w:val="auto"/>
        </w:rPr>
        <w:t>AquaFluor</w:t>
      </w:r>
      <w:proofErr w:type="spellEnd"/>
      <w:r w:rsidRPr="00820A97">
        <w:rPr>
          <w:i w:val="0"/>
          <w:color w:val="auto"/>
        </w:rPr>
        <w:t xml:space="preserve"> instrument.  </w:t>
      </w:r>
      <w:r w:rsidR="00820A97" w:rsidRPr="00820A97">
        <w:rPr>
          <w:i w:val="0"/>
          <w:color w:val="auto"/>
        </w:rPr>
        <w:t xml:space="preserve">The red dots, regression line and statistics represent when the </w:t>
      </w:r>
      <w:proofErr w:type="spellStart"/>
      <w:r w:rsidR="00820A97" w:rsidRPr="00820A97">
        <w:rPr>
          <w:i w:val="0"/>
          <w:color w:val="auto"/>
        </w:rPr>
        <w:t>Aquafluor</w:t>
      </w:r>
      <w:proofErr w:type="spellEnd"/>
      <w:r w:rsidR="00820A97" w:rsidRPr="00820A97">
        <w:rPr>
          <w:i w:val="0"/>
          <w:color w:val="auto"/>
        </w:rPr>
        <w:t xml:space="preserve"> was calibrated using analytical </w:t>
      </w:r>
      <w:proofErr w:type="spellStart"/>
      <w:r w:rsidR="00820A97" w:rsidRPr="00820A97">
        <w:rPr>
          <w:i w:val="0"/>
          <w:color w:val="auto"/>
        </w:rPr>
        <w:t>Chla</w:t>
      </w:r>
      <w:proofErr w:type="spellEnd"/>
      <w:r w:rsidR="00820A97" w:rsidRPr="00820A97">
        <w:rPr>
          <w:i w:val="0"/>
          <w:color w:val="auto"/>
        </w:rPr>
        <w:t xml:space="preserve"> standards and the blue represents when the </w:t>
      </w:r>
      <w:proofErr w:type="spellStart"/>
      <w:r w:rsidR="00820A97" w:rsidRPr="00820A97">
        <w:rPr>
          <w:i w:val="0"/>
          <w:color w:val="auto"/>
        </w:rPr>
        <w:t>AquaFluor</w:t>
      </w:r>
      <w:proofErr w:type="spellEnd"/>
      <w:r w:rsidR="00820A97" w:rsidRPr="00820A97">
        <w:rPr>
          <w:i w:val="0"/>
          <w:color w:val="auto"/>
        </w:rPr>
        <w:t xml:space="preserve"> was calibrated using Rhodamine.</w:t>
      </w:r>
      <w:r w:rsidR="00820A97">
        <w:rPr>
          <w:i w:val="0"/>
          <w:color w:val="auto"/>
        </w:rPr>
        <w:t xml:space="preserve"> </w:t>
      </w:r>
    </w:p>
    <w:sectPr w:rsidR="006674BB" w:rsidRPr="00820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412A0"/>
    <w:multiLevelType w:val="hybridMultilevel"/>
    <w:tmpl w:val="52AE3BCE"/>
    <w:lvl w:ilvl="0" w:tplc="012C6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53018"/>
    <w:multiLevelType w:val="multilevel"/>
    <w:tmpl w:val="6F14E3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B"/>
    <w:rsid w:val="000C5F56"/>
    <w:rsid w:val="000E479A"/>
    <w:rsid w:val="00133BD1"/>
    <w:rsid w:val="001D75D5"/>
    <w:rsid w:val="002404A6"/>
    <w:rsid w:val="00401620"/>
    <w:rsid w:val="00455D86"/>
    <w:rsid w:val="005D14C1"/>
    <w:rsid w:val="006674BB"/>
    <w:rsid w:val="006B7C66"/>
    <w:rsid w:val="00700E1E"/>
    <w:rsid w:val="007D580C"/>
    <w:rsid w:val="00820A97"/>
    <w:rsid w:val="008B4661"/>
    <w:rsid w:val="00921746"/>
    <w:rsid w:val="00A405E3"/>
    <w:rsid w:val="00DD2E51"/>
    <w:rsid w:val="00FC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B3E9"/>
  <w15:chartTrackingRefBased/>
  <w15:docId w15:val="{39FAC676-36D3-4700-BB8A-BDDF88CF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4BB"/>
    <w:pPr>
      <w:ind w:left="720"/>
      <w:contextualSpacing/>
    </w:pPr>
  </w:style>
  <w:style w:type="paragraph" w:styleId="Caption">
    <w:name w:val="caption"/>
    <w:basedOn w:val="Normal"/>
    <w:next w:val="Normal"/>
    <w:uiPriority w:val="35"/>
    <w:unhideWhenUsed/>
    <w:qFormat/>
    <w:rsid w:val="00401620"/>
    <w:pPr>
      <w:spacing w:after="200" w:line="240" w:lineRule="auto"/>
    </w:pPr>
    <w:rPr>
      <w:i/>
      <w:iCs/>
      <w:color w:val="44546A" w:themeColor="text2"/>
      <w:sz w:val="18"/>
      <w:szCs w:val="18"/>
    </w:rPr>
  </w:style>
  <w:style w:type="table" w:styleId="TableGrid">
    <w:name w:val="Table Grid"/>
    <w:basedOn w:val="TableNormal"/>
    <w:uiPriority w:val="39"/>
    <w:rsid w:val="0092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5F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17117">
      <w:bodyDiv w:val="1"/>
      <w:marLeft w:val="0"/>
      <w:marRight w:val="0"/>
      <w:marTop w:val="0"/>
      <w:marBottom w:val="0"/>
      <w:divBdr>
        <w:top w:val="none" w:sz="0" w:space="0" w:color="auto"/>
        <w:left w:val="none" w:sz="0" w:space="0" w:color="auto"/>
        <w:bottom w:val="none" w:sz="0" w:space="0" w:color="auto"/>
        <w:right w:val="none" w:sz="0" w:space="0" w:color="auto"/>
      </w:divBdr>
    </w:div>
    <w:div w:id="494567026">
      <w:bodyDiv w:val="1"/>
      <w:marLeft w:val="0"/>
      <w:marRight w:val="0"/>
      <w:marTop w:val="0"/>
      <w:marBottom w:val="0"/>
      <w:divBdr>
        <w:top w:val="none" w:sz="0" w:space="0" w:color="auto"/>
        <w:left w:val="none" w:sz="0" w:space="0" w:color="auto"/>
        <w:bottom w:val="none" w:sz="0" w:space="0" w:color="auto"/>
        <w:right w:val="none" w:sz="0" w:space="0" w:color="auto"/>
      </w:divBdr>
    </w:div>
    <w:div w:id="52143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Del Belluz</dc:creator>
  <cp:keywords/>
  <dc:description/>
  <cp:lastModifiedBy>Justin Del Belluz</cp:lastModifiedBy>
  <cp:revision>2</cp:revision>
  <dcterms:created xsi:type="dcterms:W3CDTF">2024-11-21T22:36:00Z</dcterms:created>
  <dcterms:modified xsi:type="dcterms:W3CDTF">2024-11-22T23:21:00Z</dcterms:modified>
</cp:coreProperties>
</file>