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2E75B6"/>
          <w:sz w:val="28"/>
        </w:rPr>
        <w:t>━━━━━━━━━━━━━━━━━━━━━━━━━━━━━━━━━━━━━━━━</w:t>
      </w:r>
    </w:p>
    <w:p/>
    <w:p>
      <w:pPr>
        <w:jc w:val="center"/>
      </w:pPr>
      <w:r>
        <w:rPr>
          <w:rFonts w:ascii="黑体" w:hAnsi="黑体" w:eastAsia="黑体"/>
          <w:b/>
          <w:color w:val="1A3C6E"/>
          <w:sz w:val="52"/>
        </w:rPr>
        <w:t>2026中国生鲜食品供应链</w:t>
        <w:br/>
        <w:t>法规图谱与智能化顶级标书</w:t>
        <w:br/>
        <w:t>生成平台战略蓝皮书</w:t>
      </w:r>
    </w:p>
    <w:p/>
    <w:p>
      <w:pPr>
        <w:jc w:val="center"/>
      </w:pPr>
      <w:r>
        <w:rPr>
          <w:color w:val="2E75B6"/>
          <w:sz w:val="28"/>
        </w:rPr>
        <w:t>━━━━━━━━━━━━━━━━━━━━━━━━━━━━━━━━━━━━━━━━</w:t>
      </w:r>
    </w:p>
    <w:p/>
    <w:p/>
    <w:p/>
    <w:p>
      <w:pPr>
        <w:jc w:val="center"/>
      </w:pPr>
      <w:r>
        <w:rPr>
          <w:color w:val="555555"/>
          <w:sz w:val="28"/>
        </w:rPr>
        <w:t>生鲜配送招投标市场的数字化与合规化重构</w:t>
      </w:r>
    </w:p>
    <w:p/>
    <w:p/>
    <w:p>
      <w:pPr>
        <w:jc w:val="center"/>
      </w:pPr>
      <w:r>
        <w:rPr>
          <w:color w:val="999999"/>
          <w:sz w:val="26"/>
        </w:rPr>
        <w:t>2026年3月</w:t>
      </w:r>
    </w:p>
    <w:p>
      <w:r>
        <w:br w:type="page"/>
      </w:r>
    </w:p>
    <w:p>
      <w:pPr>
        <w:pStyle w:val="Heading1"/>
      </w:pPr>
      <w:r>
        <w:rPr>
          <w:rFonts w:ascii="黑体" w:hAnsi="黑体" w:eastAsia="黑体"/>
          <w:color w:val="1A3C6E"/>
          <w:sz w:val="36"/>
        </w:rPr>
        <w:t>目  录</w:t>
      </w:r>
    </w:p>
    <w:p>
      <w:pPr>
        <w:spacing w:line="520" w:lineRule="exact" w:after="40"/>
      </w:pPr>
      <w:r>
        <w:rPr>
          <w:b/>
          <w:color w:val="1A3C6E"/>
          <w:sz w:val="24"/>
        </w:rPr>
        <w:t xml:space="preserve">引言  </w:t>
      </w:r>
      <w:r>
        <w:rPr>
          <w:color w:val="333333"/>
          <w:sz w:val="24"/>
        </w:rPr>
        <w:t>生鲜配送招投标市场的数字化与合规化重构</w:t>
      </w:r>
    </w:p>
    <w:p>
      <w:pPr>
        <w:spacing w:line="520" w:lineRule="exact" w:after="40"/>
      </w:pPr>
      <w:r>
        <w:rPr>
          <w:b/>
          <w:color w:val="1A3C6E"/>
          <w:sz w:val="24"/>
        </w:rPr>
        <w:t xml:space="preserve">第一章  </w:t>
      </w:r>
      <w:r>
        <w:rPr>
          <w:color w:val="333333"/>
          <w:sz w:val="24"/>
        </w:rPr>
        <w:t>标书自动生成系统的底层逻辑与架构蓝图</w:t>
      </w:r>
    </w:p>
    <w:p>
      <w:pPr>
        <w:spacing w:line="520" w:lineRule="exact" w:after="40"/>
      </w:pPr>
      <w:r>
        <w:rPr>
          <w:b/>
          <w:color w:val="1A3C6E"/>
          <w:sz w:val="24"/>
        </w:rPr>
        <w:t xml:space="preserve">第二章  </w:t>
      </w:r>
      <w:r>
        <w:rPr>
          <w:color w:val="333333"/>
          <w:sz w:val="24"/>
        </w:rPr>
        <w:t>顶层合规基石：《中华人民共和国食品安全法》的系统级映射</w:t>
      </w:r>
    </w:p>
    <w:p>
      <w:pPr>
        <w:spacing w:line="520" w:lineRule="exact" w:after="40"/>
      </w:pPr>
      <w:r>
        <w:rPr>
          <w:b w:val="0"/>
          <w:color w:val="555555"/>
          <w:sz w:val="24"/>
        </w:rPr>
        <w:t xml:space="preserve">  2.1  </w:t>
      </w:r>
      <w:r>
        <w:rPr>
          <w:color w:val="333333"/>
          <w:sz w:val="22"/>
        </w:rPr>
        <w:t>2025年最新修订法案的精准响应策略</w:t>
      </w:r>
    </w:p>
    <w:p>
      <w:pPr>
        <w:spacing w:line="520" w:lineRule="exact" w:after="40"/>
      </w:pPr>
      <w:r>
        <w:rPr>
          <w:b w:val="0"/>
          <w:color w:val="555555"/>
          <w:sz w:val="24"/>
        </w:rPr>
        <w:t xml:space="preserve">  2.2  </w:t>
      </w:r>
      <w:r>
        <w:rPr>
          <w:color w:val="333333"/>
          <w:sz w:val="22"/>
        </w:rPr>
        <w:t>特殊食品与全链条责任体系的标书表达</w:t>
      </w:r>
    </w:p>
    <w:p>
      <w:pPr>
        <w:spacing w:line="520" w:lineRule="exact" w:after="40"/>
      </w:pPr>
      <w:r>
        <w:rPr>
          <w:b/>
          <w:color w:val="1A3C6E"/>
          <w:sz w:val="24"/>
        </w:rPr>
        <w:t xml:space="preserve">第三章  </w:t>
      </w:r>
      <w:r>
        <w:rPr>
          <w:color w:val="333333"/>
          <w:sz w:val="24"/>
        </w:rPr>
        <w:t>强制性技术壁垒：国家食品安全标准（GB系列）的深度整合</w:t>
      </w:r>
    </w:p>
    <w:p>
      <w:pPr>
        <w:spacing w:line="520" w:lineRule="exact" w:after="40"/>
      </w:pPr>
      <w:r>
        <w:rPr>
          <w:b w:val="0"/>
          <w:color w:val="555555"/>
          <w:sz w:val="24"/>
        </w:rPr>
        <w:t xml:space="preserve">  3.1  </w:t>
      </w:r>
      <w:r>
        <w:rPr>
          <w:color w:val="333333"/>
          <w:sz w:val="22"/>
        </w:rPr>
        <w:t>GB 2763-2026《食品中农药最大残留限量》的落地应用</w:t>
      </w:r>
    </w:p>
    <w:p>
      <w:pPr>
        <w:spacing w:line="520" w:lineRule="exact" w:after="40"/>
      </w:pPr>
      <w:r>
        <w:rPr>
          <w:b w:val="0"/>
          <w:color w:val="555555"/>
          <w:sz w:val="24"/>
        </w:rPr>
        <w:t xml:space="preserve">  3.2  </w:t>
      </w:r>
      <w:r>
        <w:rPr>
          <w:color w:val="333333"/>
          <w:sz w:val="22"/>
        </w:rPr>
        <w:t>1725项GB标准矩阵的智能调用与匹配</w:t>
      </w:r>
    </w:p>
    <w:p>
      <w:pPr>
        <w:spacing w:line="520" w:lineRule="exact" w:after="40"/>
      </w:pPr>
      <w:r>
        <w:rPr>
          <w:b/>
          <w:color w:val="1A3C6E"/>
          <w:sz w:val="24"/>
        </w:rPr>
        <w:t xml:space="preserve">第四章  </w:t>
      </w:r>
      <w:r>
        <w:rPr>
          <w:color w:val="333333"/>
          <w:sz w:val="24"/>
        </w:rPr>
        <w:t>配送履约护城河：冷链物流与应急管理的法规化构建</w:t>
      </w:r>
    </w:p>
    <w:p>
      <w:pPr>
        <w:spacing w:line="520" w:lineRule="exact" w:after="40"/>
      </w:pPr>
      <w:r>
        <w:rPr>
          <w:b w:val="0"/>
          <w:color w:val="555555"/>
          <w:sz w:val="24"/>
        </w:rPr>
        <w:t xml:space="preserve">  4.1  </w:t>
      </w:r>
      <w:r>
        <w:rPr>
          <w:color w:val="333333"/>
          <w:sz w:val="22"/>
        </w:rPr>
        <w:t>冷链物流卫生规范（GB 31605与GB/T 28577）的系统级落实</w:t>
      </w:r>
    </w:p>
    <w:p>
      <w:pPr>
        <w:spacing w:line="520" w:lineRule="exact" w:after="40"/>
      </w:pPr>
      <w:r>
        <w:rPr>
          <w:b w:val="0"/>
          <w:color w:val="555555"/>
          <w:sz w:val="24"/>
        </w:rPr>
        <w:t xml:space="preserve">  4.2  </w:t>
      </w:r>
      <w:r>
        <w:rPr>
          <w:color w:val="333333"/>
          <w:sz w:val="22"/>
        </w:rPr>
        <w:t>突发事件应急预案与公共卫生事件响应</w:t>
      </w:r>
    </w:p>
    <w:p>
      <w:pPr>
        <w:spacing w:line="520" w:lineRule="exact" w:after="40"/>
      </w:pPr>
      <w:r>
        <w:rPr>
          <w:b/>
          <w:color w:val="1A3C6E"/>
          <w:sz w:val="24"/>
        </w:rPr>
        <w:t xml:space="preserve">第五章  </w:t>
      </w:r>
      <w:r>
        <w:rPr>
          <w:color w:val="333333"/>
          <w:sz w:val="24"/>
        </w:rPr>
        <w:t>ESG与低碳绿色供应链：高价值加分项的降维打击</w:t>
      </w:r>
    </w:p>
    <w:p>
      <w:pPr>
        <w:spacing w:line="520" w:lineRule="exact" w:after="40"/>
      </w:pPr>
      <w:r>
        <w:rPr>
          <w:b w:val="0"/>
          <w:color w:val="555555"/>
          <w:sz w:val="24"/>
        </w:rPr>
        <w:t xml:space="preserve">  5.1  </w:t>
      </w:r>
      <w:r>
        <w:rPr>
          <w:color w:val="333333"/>
          <w:sz w:val="22"/>
        </w:rPr>
        <w:t>反食品浪费法的深度响应与食堂定制方案</w:t>
      </w:r>
    </w:p>
    <w:p>
      <w:pPr>
        <w:spacing w:line="520" w:lineRule="exact" w:after="40"/>
      </w:pPr>
      <w:r>
        <w:rPr>
          <w:b w:val="0"/>
          <w:color w:val="555555"/>
          <w:sz w:val="24"/>
        </w:rPr>
        <w:t xml:space="preserve">  5.2  </w:t>
      </w:r>
      <w:r>
        <w:rPr>
          <w:color w:val="333333"/>
          <w:sz w:val="22"/>
        </w:rPr>
        <w:t>碳中和与绿色物流前沿实践</w:t>
      </w:r>
    </w:p>
    <w:p>
      <w:pPr>
        <w:spacing w:line="520" w:lineRule="exact" w:after="40"/>
      </w:pPr>
      <w:r>
        <w:rPr>
          <w:b/>
          <w:color w:val="1A3C6E"/>
          <w:sz w:val="24"/>
        </w:rPr>
        <w:t xml:space="preserve">第六章  </w:t>
      </w:r>
      <w:r>
        <w:rPr>
          <w:color w:val="333333"/>
          <w:sz w:val="24"/>
        </w:rPr>
        <w:t>评标细则反构与核心商务资质的"避坑"指南</w:t>
      </w:r>
    </w:p>
    <w:p>
      <w:pPr>
        <w:spacing w:line="520" w:lineRule="exact" w:after="40"/>
      </w:pPr>
      <w:r>
        <w:rPr>
          <w:b w:val="0"/>
          <w:color w:val="555555"/>
          <w:sz w:val="24"/>
        </w:rPr>
        <w:t xml:space="preserve">  6.1  </w:t>
      </w:r>
      <w:r>
        <w:rPr>
          <w:color w:val="333333"/>
          <w:sz w:val="22"/>
        </w:rPr>
        <w:t>资质前置审查与自动纠错防线</w:t>
      </w:r>
    </w:p>
    <w:p>
      <w:pPr>
        <w:spacing w:line="520" w:lineRule="exact" w:after="40"/>
      </w:pPr>
      <w:r>
        <w:rPr>
          <w:b w:val="0"/>
          <w:color w:val="555555"/>
          <w:sz w:val="24"/>
        </w:rPr>
        <w:t xml:space="preserve">  6.2  </w:t>
      </w:r>
      <w:r>
        <w:rPr>
          <w:color w:val="333333"/>
          <w:sz w:val="22"/>
        </w:rPr>
        <w:t>体系认证加分矩阵与中小微企业政策红利</w:t>
      </w:r>
    </w:p>
    <w:p>
      <w:pPr>
        <w:spacing w:line="520" w:lineRule="exact" w:after="40"/>
      </w:pPr>
      <w:r>
        <w:rPr>
          <w:b w:val="0"/>
          <w:color w:val="555555"/>
          <w:sz w:val="24"/>
        </w:rPr>
        <w:t xml:space="preserve">  6.3  </w:t>
      </w:r>
      <w:r>
        <w:rPr>
          <w:color w:val="333333"/>
          <w:sz w:val="22"/>
        </w:rPr>
        <w:t>废标红线的彻底封堵与文本终审逻辑</w:t>
      </w:r>
    </w:p>
    <w:p>
      <w:pPr>
        <w:spacing w:line="520" w:lineRule="exact" w:after="40"/>
      </w:pPr>
      <w:r>
        <w:rPr>
          <w:b/>
          <w:color w:val="1A3C6E"/>
          <w:sz w:val="24"/>
        </w:rPr>
        <w:t xml:space="preserve">第七章  </w:t>
      </w:r>
      <w:r>
        <w:rPr>
          <w:color w:val="333333"/>
          <w:sz w:val="24"/>
        </w:rPr>
        <w:t>平台赋能的终极愿景：从"文书制作"到"供应链整体升维"</w:t>
      </w:r>
    </w:p>
    <w:p>
      <w:r>
        <w:br w:type="page"/>
      </w:r>
    </w:p>
    <w:p>
      <w:pPr>
        <w:pStyle w:val="Heading1"/>
      </w:pPr>
      <w:r>
        <w:rPr>
          <w:rFonts w:ascii="黑体" w:hAnsi="黑体" w:eastAsia="黑体"/>
          <w:color w:val="1A3C6E"/>
          <w:sz w:val="36"/>
        </w:rPr>
        <w:t>引言：生鲜配送招投标市场的数字化与合规化重构</w:t>
      </w:r>
    </w:p>
    <w:p>
      <w:pPr>
        <w:spacing w:line="480" w:lineRule="exact" w:after="120"/>
        <w:ind w:firstLine="420"/>
      </w:pPr>
      <w:r>
        <w:rPr>
          <w:rFonts w:ascii="宋体" w:hAnsi="宋体" w:eastAsia="宋体"/>
          <w:sz w:val="24"/>
        </w:rPr>
        <w:t>随着2026年中国生鲜零售与企业级（B2B）食材配送市场的深刻变革，整个行业已经从传统的"农产品简单流通"全面跨入"信息技术与绿色供应链深度融合"的第四发展阶段。在这个阶段，高达八成的生鲜市场份额仍然集中在线下，且连锁化、集中化趋势日益明显。在以学校、机关单位、国有企业及大型医院为代表的公共采购市场中，生鲜食材配送的招投标标准正在经历前所未有的门槛升级。采购方不再仅仅关注基础的商务价格竞争，而是将"食品安全底线"、"全链路溯源能力"以及"履约过程的数字化与精细化水平"作为决定中标与否的核心考量指标。</w:t>
      </w:r>
    </w:p>
    <w:p>
      <w:pPr>
        <w:spacing w:line="480" w:lineRule="exact" w:after="120"/>
        <w:ind w:firstLine="420"/>
      </w:pPr>
      <w:r>
        <w:rPr>
          <w:rFonts w:ascii="宋体" w:hAnsi="宋体" w:eastAsia="宋体"/>
          <w:sz w:val="24"/>
        </w:rPr>
        <w:t>面对动辄长达两三百页的专业招标文件，传统的标书制作模式高度依赖人工经验，不仅耗时耗力，而且极易因为对最新法律法规的疏漏或实质性条款的未响应而导致废标。在此宏观背景下，构建一个高度智能化的一站式生鲜配送标书生成平台，不仅需要强大的自然语言处理（NLP）和大型语言模型（LLM）能力来实现标书的自动化排版与目录生成，更需要建立一个具备深度行业壁垒的"动态法规知识库"与"招投标策略引擎"。</w:t>
      </w:r>
    </w:p>
    <w:p>
      <w:pPr>
        <w:spacing w:line="480" w:lineRule="exact" w:after="120"/>
        <w:ind w:firstLine="420"/>
      </w:pPr>
      <w:r>
        <w:rPr>
          <w:rFonts w:ascii="宋体" w:hAnsi="宋体" w:eastAsia="宋体"/>
          <w:sz w:val="24"/>
        </w:rPr>
        <w:t>本研究报告旨在穷尽调研国内涉及食品及生鲜配送链路的核心法律法规体系，并以此为底层数据基石，为一站式标书生成平台提供一套生成"顶级标书"的顶层逻辑与落地方案，从而赋能投标企业实现绝对的差异化竞争，大幅提升中标转化率。</w:t>
      </w:r>
    </w:p>
    <w:p>
      <w:r>
        <w:br w:type="page"/>
      </w:r>
    </w:p>
    <w:p>
      <w:pPr>
        <w:pStyle w:val="Heading1"/>
      </w:pPr>
      <w:r>
        <w:rPr>
          <w:rFonts w:ascii="黑体" w:hAnsi="黑体" w:eastAsia="黑体"/>
          <w:color w:val="1A3C6E"/>
          <w:sz w:val="36"/>
        </w:rPr>
        <w:t>第一章  标书自动生成系统的底层逻辑与架构蓝图</w:t>
      </w:r>
    </w:p>
    <w:p>
      <w:pPr>
        <w:spacing w:line="480" w:lineRule="exact" w:after="120"/>
        <w:ind w:firstLine="420"/>
      </w:pPr>
      <w:r>
        <w:rPr>
          <w:rFonts w:ascii="宋体" w:hAnsi="宋体" w:eastAsia="宋体"/>
          <w:sz w:val="24"/>
        </w:rPr>
        <w:t>要生成能够打动五人评标委员会的顶级标书，平台不能仅仅是一个文本拼接工具，而必须是一个具备认知与推理能力的专家系统。依据目前前沿的标书自动生成系统逻辑模型，平台的核心运作机制需要经过严密的几个阶段。</w:t>
      </w:r>
    </w:p>
    <w:p>
      <w:pPr>
        <w:spacing w:line="480" w:lineRule="exact" w:after="120"/>
        <w:ind w:firstLine="420"/>
      </w:pPr>
      <w:r>
        <w:rPr>
          <w:rFonts w:ascii="宋体" w:hAnsi="宋体" w:eastAsia="宋体"/>
          <w:sz w:val="24"/>
        </w:rPr>
        <w:t>平台的首要工作是获取并深度解析采购方发布的招标文件。系统通过自然语言处理技术对招标文件进行拆解，精准提取项目预算、采购范围、配送时效、评分细则等核心元数据，从而生成该招标文件的"标书画像"。例如，当解析到"怀化市德润中学2026-2027年食堂食材配送与加工服务"或"华南理工大学2025-2026年度饭堂物资供应"等具体项目时，系统能够准确识别出采购主体为教育机构，进而自动将合规权重向校园食品安全标准倾斜。</w:t>
      </w:r>
    </w:p>
    <w:p>
      <w:pPr>
        <w:spacing w:line="480" w:lineRule="exact" w:after="120"/>
        <w:ind w:firstLine="420"/>
      </w:pPr>
      <w:r>
        <w:rPr>
          <w:rFonts w:ascii="宋体" w:hAnsi="宋体" w:eastAsia="宋体"/>
          <w:sz w:val="24"/>
        </w:rPr>
        <w:t>在生成标书画像后，系统将其转化为特定的指示语句，并以此调用预置的经过食品行业专业语料微调的大语言模型（LLM），首先生成高度契合招标方需求的标书目录。这一目录不仅包含常规的商务报价与技术方案，还会针对性地设立"最新法规响应"、"数字化冷链溯源"等定制化章节。随后，系统基于该目录，并持续调用大语言模型，结合内置的法规知识图谱与企业的实际运营数据，自动化生成数百页详尽的标书文件正文。这种机制不仅将标书制作的周期从数周压缩至数小时，大幅降低了人工维护成本，更从根本上规避了人工撰写时常见的格式不符、页码缺失等低级废标风险。</w:t>
      </w:r>
    </w:p>
    <w:p>
      <w:r>
        <w:br w:type="page"/>
      </w:r>
    </w:p>
    <w:p>
      <w:pPr>
        <w:pStyle w:val="Heading1"/>
      </w:pPr>
      <w:r>
        <w:rPr>
          <w:rFonts w:ascii="黑体" w:hAnsi="黑体" w:eastAsia="黑体"/>
          <w:color w:val="1A3C6E"/>
          <w:sz w:val="36"/>
        </w:rPr>
        <w:t>第二章  顶层合规基石：《中华人民共和国食品安全法》的系统级映射</w:t>
      </w:r>
    </w:p>
    <w:p>
      <w:pPr>
        <w:spacing w:line="480" w:lineRule="exact" w:after="120"/>
        <w:ind w:firstLine="420"/>
      </w:pPr>
      <w:r>
        <w:rPr>
          <w:rFonts w:ascii="宋体" w:hAnsi="宋体" w:eastAsia="宋体"/>
          <w:sz w:val="24"/>
        </w:rPr>
        <w:t>在生鲜配送项目的招投标中，标书的技术方案必须与国家现行及最新实施的法律法规严密咬合。《中华人民共和国食品安全法》是所有食品生产经营活动的最高准则，也是标书生成平台必须硬编码至底层数据库的核心合规引擎。该法共分为十章一百五十四条，涵盖了从食品安全风险监测、食品安全标准到食品生产经营全过程的控制。平台在生成标书时，必须能够根据法律的具体章节，自动输出对应的企业管理制度文本。</w:t>
      </w:r>
    </w:p>
    <w:p>
      <w:pPr>
        <w:pStyle w:val="Heading2"/>
      </w:pPr>
      <w:r>
        <w:rPr>
          <w:rFonts w:ascii="黑体" w:hAnsi="黑体" w:eastAsia="黑体"/>
          <w:color w:val="1A3C6E"/>
          <w:sz w:val="30"/>
        </w:rPr>
        <w:t>2.1  2025年最新修订法案的精准响应策略</w:t>
      </w:r>
    </w:p>
    <w:p>
      <w:pPr>
        <w:spacing w:line="480" w:lineRule="exact" w:after="120"/>
        <w:ind w:firstLine="420"/>
      </w:pPr>
      <w:r>
        <w:rPr>
          <w:rFonts w:ascii="宋体" w:hAnsi="宋体" w:eastAsia="宋体"/>
          <w:sz w:val="24"/>
        </w:rPr>
        <w:t>特别值得高度关注的是，2025年9月12日，第十四届全国人民代表大会常务委员会第十七次会议通过了关于修改《中华人民共和国食品安全法》的决定，该修订版已于2025年12月1日起正式施行。此次修法采取了"小切口"模式，重点聚焦于重点液态食品散装运输的监管空白以及婴幼儿配方液态乳的注册管理。对于生鲜配送标书生成平台而言，这是极其关键的加分项甚至是"排雷项"。</w:t>
      </w:r>
    </w:p>
    <w:p>
      <w:pPr>
        <w:spacing w:line="480" w:lineRule="exact" w:after="120"/>
        <w:ind w:firstLine="420"/>
      </w:pPr>
      <w:r>
        <w:rPr>
          <w:rFonts w:ascii="宋体" w:hAnsi="宋体" w:eastAsia="宋体"/>
          <w:sz w:val="24"/>
        </w:rPr>
        <w:t>根据新修订的第四十一条规定，国家对重点液态食品道路散装运输实行严格的许可制度。这意味着，如果招标文件中的采购清单包含了散装食用植物油、散装生鲜乳、酒类等重点液态食品，承运人必须依法取得县级以上人民政府食品安全监督管理部门核发的"准运证"。此外，经营者必须使用专用的运输容器，并在容器外部醒目位置喷涂"食品专用"标识，严禁装运食品以外的其他任何物质。</w:t>
      </w:r>
    </w:p>
    <w:p>
      <w:pPr>
        <w:spacing w:line="480" w:lineRule="exact" w:after="120"/>
        <w:ind w:firstLine="420"/>
      </w:pPr>
      <w:r>
        <w:rPr>
          <w:rFonts w:ascii="宋体" w:hAnsi="宋体" w:eastAsia="宋体"/>
          <w:sz w:val="24"/>
        </w:rPr>
        <w:t>在处罚力度方面，新修订的第一百三十二条明确规定，未取得准运证从事重点液态食品道路散装运输的，或未按要求进行重点液态食品散装运输且情节严重的，将面临没收违法所得，并处五万元以上五十万元以下的严厉罚款，甚至吊销许可证。更为严格的是，针对伪造、变造运输记录或清洗凭证等单据，以及发货方、收货方未履行查验与核验义务的行为，也设定了一万元至十万元不等的罚款。</w:t>
      </w:r>
    </w:p>
    <w:p>
      <w:pPr>
        <w:spacing w:line="480" w:lineRule="exact" w:after="120"/>
      </w:pPr>
      <w:r>
        <w:rPr>
          <w:rFonts w:ascii="宋体" w:hAnsi="宋体" w:eastAsia="宋体"/>
          <w:b/>
          <w:sz w:val="24"/>
        </w:rPr>
        <w:t>平台智能生成逻辑：</w:t>
      </w:r>
    </w:p>
    <w:p>
      <w:pPr>
        <w:spacing w:line="440" w:lineRule="exact" w:after="160"/>
        <w:ind w:left="567" w:right="283"/>
        <w:pBdr>
          <w:left w:val="single" w:sz="12" w:color="2E75B6" w:space="8"/>
        </w:pBdr>
      </w:pPr>
      <w:r>
        <w:rPr>
          <w:rFonts w:ascii="宋体" w:hAnsi="宋体" w:eastAsia="宋体"/>
          <w:color w:val="333333"/>
          <w:sz w:val="22"/>
        </w:rPr>
        <w:t>标书生成平台的规则引擎必须实时监测招标文件的采购清单。一旦触发"液态食品"关键词，系统必须自动在"物流配送与质量保障方案"章节中强制生成《重点液态食品道路散装运输专项合规方案》。该方案不仅需要声明投标企业及其合作车队已全面取得最新法规要求的"准运证"，还需详细描述专属容器的清洗消毒标准作业程序（SOP）、铅封核验机制以及防篡改的电子化运输台账系统。这种对最新法规的极速响应与深度融合，将向评标委员会展现投标企业无懈可击的合规管理能力与行业前瞻性。</w:t>
      </w:r>
    </w:p>
    <w:p>
      <w:pPr>
        <w:pStyle w:val="Heading2"/>
      </w:pPr>
      <w:r>
        <w:rPr>
          <w:rFonts w:ascii="黑体" w:hAnsi="黑体" w:eastAsia="黑体"/>
          <w:color w:val="1A3C6E"/>
          <w:sz w:val="30"/>
        </w:rPr>
        <w:t>2.2  特殊食品与全链条责任体系的标书表达</w:t>
      </w:r>
    </w:p>
    <w:p>
      <w:pPr>
        <w:spacing w:line="480" w:lineRule="exact" w:after="120"/>
        <w:ind w:firstLine="420"/>
      </w:pPr>
      <w:r>
        <w:rPr>
          <w:rFonts w:ascii="宋体" w:hAnsi="宋体" w:eastAsia="宋体"/>
          <w:sz w:val="24"/>
        </w:rPr>
        <w:t>除了液态食品运输，新修订的食品安全法在第八十一条、第八十二条等条款中，将"婴幼儿配方液态乳"正式纳入注册管理范畴。当遇到医院、妇幼保健院或特定福利机构的食材配送招标时，系统需自动调用特殊食品准入审核模板，明确承诺严格审查供应商的注册产品配方与生产工艺技术要求，确保不采购、不配送未经合法注册的婴幼儿配方液态乳。</w:t>
      </w:r>
    </w:p>
    <w:p>
      <w:r>
        <w:br w:type="page"/>
      </w:r>
    </w:p>
    <w:p>
      <w:pPr>
        <w:pStyle w:val="Heading1"/>
      </w:pPr>
      <w:r>
        <w:rPr>
          <w:rFonts w:ascii="黑体" w:hAnsi="黑体" w:eastAsia="黑体"/>
          <w:color w:val="1A3C6E"/>
          <w:sz w:val="36"/>
        </w:rPr>
        <w:t>第三章  强制性技术壁垒：国家食品安全标准（GB系列）的深度整合</w:t>
      </w:r>
    </w:p>
    <w:p>
      <w:pPr>
        <w:spacing w:line="480" w:lineRule="exact" w:after="120"/>
        <w:ind w:firstLine="420"/>
      </w:pPr>
      <w:r>
        <w:rPr>
          <w:rFonts w:ascii="宋体" w:hAnsi="宋体" w:eastAsia="宋体"/>
          <w:sz w:val="24"/>
        </w:rPr>
        <w:t>截至2025年9月，我国已经发布了共计1725项食品安全国家标准，形成了一个庞大且严密的标准矩阵。在生鲜配送的技术标评审中，"质量检验保障方案"占据了极高的分值权重（通常在15-20分左右）。评标专家在审阅此类方案时，最看重的是投标方引用的检测标准是否最新、是否准确无误。如果标书中还在引用已经废止的标准，将直接面临严重的扣分甚至废标。因此，标书生成平台必须内嵌一个实时更新的GB标准匹配引擎。</w:t>
      </w:r>
    </w:p>
    <w:p>
      <w:pPr>
        <w:pStyle w:val="Heading2"/>
      </w:pPr>
      <w:r>
        <w:rPr>
          <w:rFonts w:ascii="黑体" w:hAnsi="黑体" w:eastAsia="黑体"/>
          <w:color w:val="1A3C6E"/>
          <w:sz w:val="30"/>
        </w:rPr>
        <w:t>3.1  GB 2763-2026《食品中农药最大残留限量》的落地应用</w:t>
      </w:r>
    </w:p>
    <w:p>
      <w:pPr>
        <w:spacing w:line="480" w:lineRule="exact" w:after="120"/>
        <w:ind w:firstLine="420"/>
      </w:pPr>
      <w:r>
        <w:rPr>
          <w:rFonts w:ascii="宋体" w:hAnsi="宋体" w:eastAsia="宋体"/>
          <w:sz w:val="24"/>
        </w:rPr>
        <w:t>农药残留检测是生鲜蔬菜水果配送中最核心的安全控制节点。由国家卫生健康委员会和国家市场监督管理总局发布的GB 2763-2026《食品中农药最大残留限量》标准于2026年3月1日正式实施，全面替代了之前的2021版及相关补充文件。这部标准的实施标志着我国农残标准体系进一步与国际接轨，是平台生成品控方案的基石。</w:t>
      </w:r>
    </w:p>
    <w:p>
      <w:pPr>
        <w:spacing w:line="480" w:lineRule="exact" w:after="120"/>
        <w:ind w:firstLine="420"/>
      </w:pPr>
      <w:r>
        <w:rPr>
          <w:rFonts w:ascii="宋体" w:hAnsi="宋体" w:eastAsia="宋体"/>
          <w:sz w:val="24"/>
        </w:rPr>
        <w:t>新版GB 2763-2026标准在总量上实现了巨大的扩容，农残限量总数历史性地突破万项，达到10,749项，覆盖了包括2,4-滴丁酸在内的585种农药，新增了370项最大残留限量。更为关键的是，新标对草铵膦等三种农药的残留物定义进行了科学更新，明确要求农药残留的检测不仅要包含农药母体，还必须涵盖其有毒代谢物和降解产物。此外，新标根据最新的风险评估数据，对23项农药的限量值进行了科学调整（部分指标大幅收紧），并将113种此前的临时限量转为正式限量。</w:t>
      </w:r>
    </w:p>
    <w:p>
      <w:pPr>
        <w:spacing w:line="480" w:lineRule="exact" w:after="120"/>
        <w:ind w:firstLine="420"/>
      </w:pPr>
      <w:r>
        <w:rPr>
          <w:rFonts w:ascii="宋体" w:hAnsi="宋体" w:eastAsia="宋体"/>
          <w:sz w:val="24"/>
        </w:rPr>
        <w:t>在检测技术支撑方面，新标还新增了包括GB 23200.121-2026在内的14项检测方法标准。例如，对于大米中吡唑醚菌酯的残留限量设定为0.03mg/kg，对于玉米中草甘膦的残留限量调整为5mg/kg。</w:t>
      </w:r>
    </w:p>
    <w:p>
      <w:pPr>
        <w:spacing w:line="480" w:lineRule="exact" w:after="120"/>
      </w:pPr>
      <w:r>
        <w:rPr>
          <w:rFonts w:ascii="宋体" w:hAnsi="宋体" w:eastAsia="宋体"/>
          <w:b/>
          <w:sz w:val="24"/>
        </w:rPr>
        <w:t>平台智能生成逻辑：</w:t>
      </w:r>
    </w:p>
    <w:p>
      <w:pPr>
        <w:spacing w:line="440" w:lineRule="exact" w:after="160"/>
        <w:ind w:left="567" w:right="283"/>
        <w:pBdr>
          <w:left w:val="single" w:sz="12" w:color="2E75B6" w:space="8"/>
        </w:pBdr>
      </w:pPr>
      <w:r>
        <w:rPr>
          <w:rFonts w:ascii="宋体" w:hAnsi="宋体" w:eastAsia="宋体"/>
          <w:color w:val="333333"/>
          <w:sz w:val="22"/>
        </w:rPr>
        <w:t>传统的模板化标书往往只会写一句空泛的"我司保证所有蔬菜农药残留检测合格"。而一流的标书生成平台则会根据采购清单中的具体菜品，自动生成具有压倒性专业度的检测方案文本。例如，当系统识别到清单中包含大米、玉米和常见蔬菜时，系统将生成如下专业描述：</w:t>
        <w:br/>
        <w:br/>
        <w:t>"本企业自建的CNAS认可食品检测实验室已全面实施2026年3月1日生效的最新强制性标准GB 2763-2026。针对贵方需求，我司承诺使用新标规定的GB 23200.121-2026等最新检测方法，对供应的各类农产品实施覆盖10,749项限量的靶向筛查。特别针对草铵膦等农药，我司不仅检测其母体，更将其有毒代谢物纳入日常批批检验范畴。对于大米类大宗物资，我司严格执行吡唑醚菌酯不超过0.03mg/kg的最严限值，从物理源头切断一切农残超标风险，构建坚不可摧的食品安全防线。"</w:t>
      </w:r>
    </w:p>
    <w:p>
      <w:pPr>
        <w:pStyle w:val="Heading2"/>
      </w:pPr>
      <w:r>
        <w:rPr>
          <w:rFonts w:ascii="黑体" w:hAnsi="黑体" w:eastAsia="黑体"/>
          <w:color w:val="1A3C6E"/>
          <w:sz w:val="30"/>
        </w:rPr>
        <w:t>3.2  1725项GB标准矩阵的智能调用与匹配</w:t>
      </w:r>
    </w:p>
    <w:p>
      <w:pPr>
        <w:spacing w:line="480" w:lineRule="exact" w:after="120"/>
        <w:ind w:firstLine="420"/>
      </w:pPr>
      <w:r>
        <w:rPr>
          <w:rFonts w:ascii="宋体" w:hAnsi="宋体" w:eastAsia="宋体"/>
          <w:sz w:val="24"/>
        </w:rPr>
        <w:t>除了农残标准，平台还需要结构化地管理和调用其他1700余项国家标准，主要分为通用标准和食品产品标准两大类。</w:t>
      </w:r>
    </w:p>
    <w:tbl>
      <w:tblPr>
        <w:tblStyle w:val="TableGrid"/>
        <w:tblW w:type="auto" w:w="0"/>
        <w:jc w:val="center"/>
        <w:tblLook w:firstColumn="1" w:firstRow="1" w:lastColumn="0" w:lastRow="0" w:noHBand="0" w:noVBand="1" w:val="04A0"/>
      </w:tblPr>
      <w:tblGrid>
        <w:gridCol w:w="2878"/>
        <w:gridCol w:w="2878"/>
        <w:gridCol w:w="2878"/>
      </w:tblGrid>
      <w:tr>
        <w:tc>
          <w:tcPr>
            <w:tcW w:type="dxa" w:w="2268"/>
            <w:shd w:fill="1A3C6E" w:val="clear"/>
          </w:tcPr>
          <w:p>
            <w:pPr>
              <w:jc w:val="center"/>
            </w:pPr>
            <w:r/>
            <w:r>
              <w:rPr>
                <w:rFonts w:ascii="黑体" w:hAnsi="黑体" w:eastAsia="黑体"/>
                <w:b/>
                <w:color w:val="FFFFFF"/>
                <w:sz w:val="22"/>
              </w:rPr>
              <w:t>标准类别</w:t>
            </w:r>
          </w:p>
        </w:tc>
        <w:tc>
          <w:tcPr>
            <w:tcW w:type="dxa" w:w="3118"/>
            <w:shd w:fill="1A3C6E" w:val="clear"/>
          </w:tcPr>
          <w:p>
            <w:pPr>
              <w:jc w:val="center"/>
            </w:pPr>
            <w:r/>
            <w:r>
              <w:rPr>
                <w:rFonts w:ascii="黑体" w:hAnsi="黑体" w:eastAsia="黑体"/>
                <w:b/>
                <w:color w:val="FFFFFF"/>
                <w:sz w:val="22"/>
              </w:rPr>
              <w:t>核心标准号及名称</w:t>
            </w:r>
          </w:p>
        </w:tc>
        <w:tc>
          <w:tcPr>
            <w:tcW w:type="dxa" w:w="3685"/>
            <w:shd w:fill="1A3C6E" w:val="clear"/>
          </w:tcPr>
          <w:p>
            <w:pPr>
              <w:jc w:val="center"/>
            </w:pPr>
            <w:r/>
            <w:r>
              <w:rPr>
                <w:rFonts w:ascii="黑体" w:hAnsi="黑体" w:eastAsia="黑体"/>
                <w:b/>
                <w:color w:val="FFFFFF"/>
                <w:sz w:val="22"/>
              </w:rPr>
              <w:t>标书生成应用场景</w:t>
            </w:r>
          </w:p>
        </w:tc>
      </w:tr>
      <w:tr>
        <w:tc>
          <w:tcPr>
            <w:tcW w:type="dxa" w:w="2268"/>
          </w:tcPr>
          <w:p>
            <w:r/>
            <w:r>
              <w:rPr>
                <w:rFonts w:ascii="宋体" w:hAnsi="宋体" w:eastAsia="宋体"/>
                <w:sz w:val="21"/>
              </w:rPr>
              <w:t>通用污染物及毒素限量</w:t>
            </w:r>
          </w:p>
        </w:tc>
        <w:tc>
          <w:tcPr>
            <w:tcW w:type="dxa" w:w="3118"/>
          </w:tcPr>
          <w:p>
            <w:r/>
            <w:r>
              <w:rPr>
                <w:rFonts w:ascii="宋体" w:hAnsi="宋体" w:eastAsia="宋体"/>
                <w:sz w:val="21"/>
              </w:rPr>
              <w:t>GB 2761-2017《食品中真菌毒素限量》</w:t>
              <w:br/>
              <w:t>GB 2762-2025《食品中污染物限量》</w:t>
            </w:r>
          </w:p>
        </w:tc>
        <w:tc>
          <w:tcPr>
            <w:tcW w:type="dxa" w:w="3685"/>
          </w:tcPr>
          <w:p>
            <w:r/>
            <w:r>
              <w:rPr>
                <w:rFonts w:ascii="宋体" w:hAnsi="宋体" w:eastAsia="宋体"/>
                <w:sz w:val="21"/>
              </w:rPr>
              <w:t>生成粮油、干货等大宗食材的重金属与黄曲霉毒素检测方案，强调批批出具符合GB 2762-2025新标的合格报告</w:t>
            </w:r>
          </w:p>
        </w:tc>
      </w:tr>
      <w:tr>
        <w:tc>
          <w:tcPr>
            <w:tcW w:type="dxa" w:w="2268"/>
            <w:shd w:fill="EBF0F7" w:val="clear"/>
          </w:tcPr>
          <w:p>
            <w:r/>
            <w:r>
              <w:rPr>
                <w:rFonts w:ascii="宋体" w:hAnsi="宋体" w:eastAsia="宋体"/>
                <w:sz w:val="21"/>
              </w:rPr>
              <w:t>致病菌限量规范</w:t>
            </w:r>
          </w:p>
        </w:tc>
        <w:tc>
          <w:tcPr>
            <w:tcW w:type="dxa" w:w="3118"/>
            <w:shd w:fill="EBF0F7" w:val="clear"/>
          </w:tcPr>
          <w:p>
            <w:r/>
            <w:r>
              <w:rPr>
                <w:rFonts w:ascii="宋体" w:hAnsi="宋体" w:eastAsia="宋体"/>
                <w:sz w:val="21"/>
              </w:rPr>
              <w:t>GB 29921-2021《预包装食品中致病菌限量》</w:t>
              <w:br/>
              <w:t>GB 31607-2021《散装即食食品中致病菌限量》</w:t>
            </w:r>
          </w:p>
        </w:tc>
        <w:tc>
          <w:tcPr>
            <w:tcW w:type="dxa" w:w="3685"/>
            <w:shd w:fill="EBF0F7" w:val="clear"/>
          </w:tcPr>
          <w:p>
            <w:r/>
            <w:r>
              <w:rPr>
                <w:rFonts w:ascii="宋体" w:hAnsi="宋体" w:eastAsia="宋体"/>
                <w:sz w:val="21"/>
              </w:rPr>
              <w:t>针对学生及教职工食堂招标中的"熟食加工"或"散装即食配菜"环节，生成防沙门氏菌、金黄色葡萄球菌的洁净车间管控方案</w:t>
            </w:r>
          </w:p>
        </w:tc>
      </w:tr>
      <w:tr>
        <w:tc>
          <w:tcPr>
            <w:tcW w:type="dxa" w:w="2268"/>
          </w:tcPr>
          <w:p>
            <w:r/>
            <w:r>
              <w:rPr>
                <w:rFonts w:ascii="宋体" w:hAnsi="宋体" w:eastAsia="宋体"/>
                <w:sz w:val="21"/>
              </w:rPr>
              <w:t>食品添加剂使用规范</w:t>
            </w:r>
          </w:p>
        </w:tc>
        <w:tc>
          <w:tcPr>
            <w:tcW w:type="dxa" w:w="3118"/>
          </w:tcPr>
          <w:p>
            <w:r/>
            <w:r>
              <w:rPr>
                <w:rFonts w:ascii="宋体" w:hAnsi="宋体" w:eastAsia="宋体"/>
                <w:sz w:val="21"/>
              </w:rPr>
              <w:t>GB 2760-2024《食品添加剂使用标准》</w:t>
            </w:r>
          </w:p>
        </w:tc>
        <w:tc>
          <w:tcPr>
            <w:tcW w:type="dxa" w:w="3685"/>
          </w:tcPr>
          <w:p>
            <w:r/>
            <w:r>
              <w:rPr>
                <w:rFonts w:ascii="宋体" w:hAnsi="宋体" w:eastAsia="宋体"/>
                <w:sz w:val="21"/>
              </w:rPr>
              <w:t>在针对半成品净菜、调味品采购的标书中，植入关于坚决抵制超范围、超限量使用食品添加剂的承诺函及供应商抽检计划</w:t>
            </w:r>
          </w:p>
        </w:tc>
      </w:tr>
      <w:tr>
        <w:tc>
          <w:tcPr>
            <w:tcW w:type="dxa" w:w="2268"/>
            <w:shd w:fill="EBF0F7" w:val="clear"/>
          </w:tcPr>
          <w:p>
            <w:r/>
            <w:r>
              <w:rPr>
                <w:rFonts w:ascii="宋体" w:hAnsi="宋体" w:eastAsia="宋体"/>
                <w:sz w:val="21"/>
              </w:rPr>
              <w:t>专用食品产品分类标准</w:t>
            </w:r>
          </w:p>
        </w:tc>
        <w:tc>
          <w:tcPr>
            <w:tcW w:type="dxa" w:w="3118"/>
            <w:shd w:fill="EBF0F7" w:val="clear"/>
          </w:tcPr>
          <w:p>
            <w:r/>
            <w:r>
              <w:rPr>
                <w:rFonts w:ascii="宋体" w:hAnsi="宋体" w:eastAsia="宋体"/>
                <w:sz w:val="21"/>
              </w:rPr>
              <w:t>GB 19301-2010《生乳》</w:t>
              <w:br/>
              <w:t>GB 19645-2010《巴氏杀菌乳》</w:t>
              <w:br/>
              <w:t>GB 2712-2014《豆制品》</w:t>
              <w:br/>
              <w:t>GB 7096-2014《食用菌及其制品》</w:t>
            </w:r>
          </w:p>
        </w:tc>
        <w:tc>
          <w:tcPr>
            <w:tcW w:type="dxa" w:w="3685"/>
            <w:shd w:fill="EBF0F7" w:val="clear"/>
          </w:tcPr>
          <w:p>
            <w:r/>
            <w:r>
              <w:rPr>
                <w:rFonts w:ascii="宋体" w:hAnsi="宋体" w:eastAsia="宋体"/>
                <w:sz w:val="21"/>
              </w:rPr>
              <w:t>当识别到特定采购品类时，在"验收标准细则"表格中自动填入对应的国标编号及理化指标要求，杜绝笼统的"符合国家规定"字眼</w:t>
            </w:r>
          </w:p>
        </w:tc>
      </w:tr>
    </w:tbl>
    <w:p/>
    <w:p>
      <w:pPr>
        <w:spacing w:line="480" w:lineRule="exact" w:after="120"/>
        <w:ind w:firstLine="420"/>
      </w:pPr>
      <w:r>
        <w:rPr>
          <w:rFonts w:ascii="宋体" w:hAnsi="宋体" w:eastAsia="宋体"/>
          <w:sz w:val="24"/>
        </w:rPr>
        <w:t>在此基础上，2025年度国家卫生健康委员会办公厅还发布了《关于印发2025年度食品安全国家标准第二批立项计划的通知》（国卫办食品函〔2025〕455号），要求标准研制必须以保障人民健康为宗旨，充分考虑我国经济发展水平和客观实际需要，并强调项目承担单位对所制定标准文本负全责。这一动态信息提示平台，必须建立长效的政策爬虫机制，一旦新标立项或发布，立即同步至标书模板的知识库中。</w:t>
      </w:r>
    </w:p>
    <w:p>
      <w:r>
        <w:br w:type="page"/>
      </w:r>
    </w:p>
    <w:p>
      <w:pPr>
        <w:pStyle w:val="Heading1"/>
      </w:pPr>
      <w:r>
        <w:rPr>
          <w:rFonts w:ascii="黑体" w:hAnsi="黑体" w:eastAsia="黑体"/>
          <w:color w:val="1A3C6E"/>
          <w:sz w:val="36"/>
        </w:rPr>
        <w:t>第四章  配送履约护城河：冷链物流与应急管理的法规化构建</w:t>
      </w:r>
    </w:p>
    <w:p>
      <w:pPr>
        <w:spacing w:line="480" w:lineRule="exact" w:after="120"/>
        <w:ind w:firstLine="420"/>
      </w:pPr>
      <w:r>
        <w:rPr>
          <w:rFonts w:ascii="宋体" w:hAnsi="宋体" w:eastAsia="宋体"/>
          <w:sz w:val="24"/>
        </w:rPr>
        <w:t>生鲜食材具有极强的易腐易损特征。据行业白皮书分析，不同品类的存储条件和生命周期差异巨大。例如，蔬菜水果类的储存温度需严格控制在0-4摄氏度，存储周期一般在20-30天左右；新鲜肉类的存储温度需保持在0-3摄氏度，保鲜周期通常在一周以内，而冷冻肉类则需在-18摄氏度下储存，周期可达6至9个月；海鲜水产若是新鲜状态需要全程掺水供氧，若是冷冻状态则需-25摄氏度深冷环境；至于禽蛋和鲜奶类更是极易腐败，鲜奶在2-6摄氏度下的保质周期常常不超过72小时。由于生鲜食品在脱离特定温湿度环境后极易滋生细菌并变质，冷链物流能力成为了评标标准中区分供应商实力的核心分水岭。</w:t>
      </w:r>
    </w:p>
    <w:p>
      <w:pPr>
        <w:pStyle w:val="Heading2"/>
      </w:pPr>
      <w:r>
        <w:rPr>
          <w:rFonts w:ascii="黑体" w:hAnsi="黑体" w:eastAsia="黑体"/>
          <w:color w:val="1A3C6E"/>
          <w:sz w:val="30"/>
        </w:rPr>
        <w:t>4.1  冷链物流卫生规范（GB 31605与GB/T 28577）的系统级落实</w:t>
      </w:r>
    </w:p>
    <w:p>
      <w:pPr>
        <w:spacing w:line="480" w:lineRule="exact" w:after="120"/>
        <w:ind w:firstLine="420"/>
      </w:pPr>
      <w:r>
        <w:rPr>
          <w:rFonts w:ascii="宋体" w:hAnsi="宋体" w:eastAsia="宋体"/>
          <w:sz w:val="24"/>
        </w:rPr>
        <w:t>在配送物流方案的撰写中，平台必须深度贯彻GB/T 28577-2021《冷链物流分类与基本要求》以及更为关键的GB 31605-2020《食品安全国家标准 食品冷链物流卫生规范》。GB 31605-2020标准适用于各类食品出厂后到销售前需要温度控制的所有物流过程，对基础设施、交接、运输、储存、人员健康乃至追溯及召回等维度提出了详尽的强制性要求。</w:t>
      </w:r>
    </w:p>
    <w:p>
      <w:pPr>
        <w:spacing w:line="480" w:lineRule="exact" w:after="120"/>
        <w:ind w:firstLine="420"/>
      </w:pPr>
      <w:r>
        <w:rPr>
          <w:rFonts w:ascii="宋体" w:hAnsi="宋体" w:eastAsia="宋体"/>
          <w:sz w:val="24"/>
        </w:rPr>
        <w:t>根据该标准的第7.3款规定，企业必须建立食品运输、储存、配送、交接等全环节的温湿度监控及操作要求制度；第7.4款要求建立有效的风险控制措施及应急预案；第8.1款和8.2款强调了受污染食品的追溯与召回处置程序；而在第9款文件管理中，标准强制要求相关记录文件的保存期限应不少于食品保质期满后6个月，对于没有明确保质期的食品，保存期限应不少于2年。</w:t>
      </w:r>
    </w:p>
    <w:p>
      <w:pPr>
        <w:spacing w:line="480" w:lineRule="exact" w:after="120"/>
      </w:pPr>
      <w:r>
        <w:rPr>
          <w:rFonts w:ascii="宋体" w:hAnsi="宋体" w:eastAsia="宋体"/>
          <w:b/>
          <w:sz w:val="24"/>
        </w:rPr>
        <w:t>平台智能生成逻辑：</w:t>
      </w:r>
    </w:p>
    <w:p>
      <w:pPr>
        <w:spacing w:line="440" w:lineRule="exact" w:after="160"/>
        <w:ind w:left="567" w:right="283"/>
        <w:pBdr>
          <w:left w:val="single" w:sz="12" w:color="2E75B6" w:space="8"/>
        </w:pBdr>
      </w:pPr>
      <w:r>
        <w:rPr>
          <w:rFonts w:ascii="宋体" w:hAnsi="宋体" w:eastAsia="宋体"/>
          <w:color w:val="333333"/>
          <w:sz w:val="22"/>
        </w:rPr>
        <w:t>平台应当将这些枯燥的法规条文转化为一套极具说服力的"数字化温控与标准化作业履约方案"。在"冷链配送体系"章节，系统自动生成如下详细内容：</w:t>
      </w:r>
    </w:p>
    <w:p>
      <w:pPr>
        <w:spacing w:line="480" w:lineRule="exact" w:after="120"/>
      </w:pPr>
      <w:r>
        <w:rPr>
          <w:rFonts w:ascii="宋体" w:hAnsi="宋体" w:eastAsia="宋体"/>
          <w:b/>
          <w:sz w:val="24"/>
        </w:rPr>
        <w:t>硬件配置描述：</w:t>
      </w:r>
    </w:p>
    <w:p>
      <w:pPr>
        <w:spacing w:line="440" w:lineRule="exact" w:after="160"/>
        <w:ind w:left="567" w:right="283"/>
        <w:pBdr>
          <w:left w:val="single" w:sz="12" w:color="2E75B6" w:space="8"/>
        </w:pBdr>
      </w:pPr>
      <w:r>
        <w:rPr>
          <w:rFonts w:ascii="宋体" w:hAnsi="宋体" w:eastAsia="宋体"/>
          <w:color w:val="333333"/>
          <w:sz w:val="22"/>
        </w:rPr>
        <w:t>"我司配送中心全面执行GB/T 28577-2021标准，配备独立的多温区冷藏库（常温区、0-4℃冷藏区、-18℃冷冻区严格物理隔离）。所有运输车辆均具有合法的冷藏运输资质，并加装车载GPS与北斗双模温控探头，实现分钟级温度数据盲区全覆盖。"</w:t>
      </w:r>
    </w:p>
    <w:p>
      <w:pPr>
        <w:spacing w:line="480" w:lineRule="exact" w:after="120"/>
      </w:pPr>
      <w:r>
        <w:rPr>
          <w:rFonts w:ascii="宋体" w:hAnsi="宋体" w:eastAsia="宋体"/>
          <w:b/>
          <w:sz w:val="24"/>
        </w:rPr>
        <w:t>交接与追溯SOP：</w:t>
      </w:r>
    </w:p>
    <w:p>
      <w:pPr>
        <w:spacing w:line="440" w:lineRule="exact" w:after="160"/>
        <w:ind w:left="567" w:right="283"/>
        <w:pBdr>
          <w:left w:val="single" w:sz="12" w:color="2E75B6" w:space="8"/>
        </w:pBdr>
      </w:pPr>
      <w:r>
        <w:rPr>
          <w:rFonts w:ascii="宋体" w:hAnsi="宋体" w:eastAsia="宋体"/>
          <w:color w:val="333333"/>
          <w:sz w:val="22"/>
        </w:rPr>
        <w:t>"严格遵守GB 31605-2020第7.3条及第8条追溯规定，实施电子面单与区块链双重追溯系统。生鲜食材在装车、卸车交接环节执行不间断冷链（断链15分钟自动触发总部声光报警）。所有进货查验台账、车辆消毒记录及交接温控记录，严格依据法规要求上传云端并保存至少2年，确保有据可查。"</w:t>
      </w:r>
    </w:p>
    <w:p>
      <w:pPr>
        <w:pStyle w:val="Heading2"/>
      </w:pPr>
      <w:r>
        <w:rPr>
          <w:rFonts w:ascii="黑体" w:hAnsi="黑体" w:eastAsia="黑体"/>
          <w:color w:val="1A3C6E"/>
          <w:sz w:val="30"/>
        </w:rPr>
        <w:t>4.2  突发事件应急预案与公共卫生事件响应</w:t>
      </w:r>
    </w:p>
    <w:p>
      <w:pPr>
        <w:spacing w:line="480" w:lineRule="exact" w:after="120"/>
        <w:ind w:firstLine="420"/>
      </w:pPr>
      <w:r>
        <w:rPr>
          <w:rFonts w:ascii="宋体" w:hAnsi="宋体" w:eastAsia="宋体"/>
          <w:sz w:val="24"/>
        </w:rPr>
        <w:t>在过去的招投标中，应急预案往往被当作走过场的附属文件。但在近年的评标细则中，应急预案的实操性与完备性直接关系到项目的成败。依据GB 31605-2020第7.5条及9.3条的规定，当食品冷链物流关系到公共卫生事件时，必须加强人员健康状况管理，根据岗位需要做好人员健康防护，并按照有关部门的特殊指令执行文件管理与受污染食品的处置。</w:t>
      </w:r>
    </w:p>
    <w:p>
      <w:pPr>
        <w:spacing w:line="480" w:lineRule="exact" w:after="120"/>
      </w:pPr>
      <w:r>
        <w:rPr>
          <w:rFonts w:ascii="宋体" w:hAnsi="宋体" w:eastAsia="宋体"/>
          <w:b/>
          <w:sz w:val="24"/>
        </w:rPr>
        <w:t>平台智能生成逻辑：</w:t>
      </w:r>
    </w:p>
    <w:p>
      <w:pPr>
        <w:spacing w:line="440" w:lineRule="exact" w:after="160"/>
        <w:ind w:left="567" w:right="283"/>
        <w:pBdr>
          <w:left w:val="single" w:sz="12" w:color="2E75B6" w:space="8"/>
        </w:pBdr>
      </w:pPr>
      <w:r>
        <w:rPr>
          <w:rFonts w:ascii="宋体" w:hAnsi="宋体" w:eastAsia="宋体"/>
          <w:color w:val="333333"/>
          <w:sz w:val="22"/>
        </w:rPr>
        <w:t>平台内部的AI引擎需构建一个多维度的"情景化应急预案生成器"。系统会针对"食材短缺与系统性价格剧烈波动"、"重大食品安全事故（如群体性食物中毒嫌疑）"、"自然灾害（如台风、暴雪导致的交通瘫痪）"以及"突发公共卫生事件"这四大核心场景，分别输出三级响应机制。例如，在公共卫生事件预案中，系统会自动编写："启动闭环管理机制，配送人员实施每日抗原或核酸抽检，全程佩戴N95口罩及二级防护装备进行无接触配送；对疫区来货实施多轮次消杀与核酸采样；建立备用分拣仓，确保主仓遭遇封控时，供应链能够在2小时内实现无缝切换，全力保障贵单位食堂的物资稳定供应。"这类基于国家标准延伸出的详尽预案，是获取技术标满分的关键。</w:t>
      </w:r>
    </w:p>
    <w:p>
      <w:r>
        <w:br w:type="page"/>
      </w:r>
    </w:p>
    <w:p>
      <w:pPr>
        <w:pStyle w:val="Heading1"/>
      </w:pPr>
      <w:r>
        <w:rPr>
          <w:rFonts w:ascii="黑体" w:hAnsi="黑体" w:eastAsia="黑体"/>
          <w:color w:val="1A3C6E"/>
          <w:sz w:val="36"/>
        </w:rPr>
        <w:t>第五章  ESG与低碳绿色供应链：高价值加分项的降维打击</w:t>
      </w:r>
    </w:p>
    <w:p>
      <w:pPr>
        <w:spacing w:line="480" w:lineRule="exact" w:after="120"/>
        <w:ind w:firstLine="420"/>
      </w:pPr>
      <w:r>
        <w:rPr>
          <w:rFonts w:ascii="宋体" w:hAnsi="宋体" w:eastAsia="宋体"/>
          <w:sz w:val="24"/>
        </w:rPr>
        <w:t>在2026年的前沿供应链管理中，新零售与消费者导向深刻改变了行业面貌，同时也带来了对环境、社会和公司治理（ESG）的空前关注。对于学校、机关单位和大型国企等采购主体，顺应国家绿色低碳战略和《中华人民共和国反食品浪费法》的响应方案，正在成为决定胜负的隐形加分项。</w:t>
      </w:r>
    </w:p>
    <w:p>
      <w:pPr>
        <w:pStyle w:val="Heading2"/>
      </w:pPr>
      <w:r>
        <w:rPr>
          <w:rFonts w:ascii="黑体" w:hAnsi="黑体" w:eastAsia="黑体"/>
          <w:color w:val="1A3C6E"/>
          <w:sz w:val="30"/>
        </w:rPr>
        <w:t>5.1  反食品浪费法的深度响应与食堂定制方案</w:t>
      </w:r>
    </w:p>
    <w:p>
      <w:pPr>
        <w:spacing w:line="480" w:lineRule="exact" w:after="120"/>
        <w:ind w:firstLine="420"/>
      </w:pPr>
      <w:r>
        <w:rPr>
          <w:rFonts w:ascii="宋体" w:hAnsi="宋体" w:eastAsia="宋体"/>
          <w:sz w:val="24"/>
        </w:rPr>
        <w:t>《中华人民共和国反食品浪费法》对餐饮行业及机关单位食堂的食品浪费行为做出了明确的规范与处罚界定。根据该法第二十九条规定，设有食堂的单位如果未制定或者未实施防止食品浪费措施的，将受到监管部门的警告及责令改正。这就意味着，采购方（食堂）本身就面临着巨大的反浪费合规压力。同时，该法第十二条也规定了食品经营者应当加强对临近保质期食品的分类管理。为了贯彻落实这些法律要求，国家积极深化"光盘行动"，并开展机关食堂反浪费专项行动。</w:t>
      </w:r>
    </w:p>
    <w:p>
      <w:pPr>
        <w:spacing w:line="480" w:lineRule="exact" w:after="120"/>
      </w:pPr>
      <w:r>
        <w:rPr>
          <w:rFonts w:ascii="宋体" w:hAnsi="宋体" w:eastAsia="宋体"/>
          <w:b/>
          <w:sz w:val="24"/>
        </w:rPr>
        <w:t>平台智能生成逻辑：</w:t>
      </w:r>
    </w:p>
    <w:p>
      <w:pPr>
        <w:spacing w:line="440" w:lineRule="exact" w:after="160"/>
        <w:ind w:left="567" w:right="283"/>
        <w:pBdr>
          <w:left w:val="single" w:sz="12" w:color="2E75B6" w:space="8"/>
        </w:pBdr>
      </w:pPr>
      <w:r>
        <w:rPr>
          <w:rFonts w:ascii="宋体" w:hAnsi="宋体" w:eastAsia="宋体"/>
          <w:color w:val="333333"/>
          <w:sz w:val="22"/>
        </w:rPr>
        <w:t>标书生成平台应当敏锐地捕捉到甲方的这一痛点，将供应商的义务前置化，转化为帮助甲方合规的服务亮点。当系统识别到采购主体为"机关单位食堂"或"学校食堂"时，会自动插入独立的《反食品浪费与绿色供餐协同保障方案》。</w:t>
      </w:r>
    </w:p>
    <w:p>
      <w:pPr>
        <w:pStyle w:val="ListNumber"/>
        <w:spacing w:line="440" w:lineRule="exact" w:after="80"/>
      </w:pPr>
      <w:r>
        <w:rPr>
          <w:rFonts w:ascii="宋体" w:hAnsi="宋体" w:eastAsia="宋体"/>
          <w:sz w:val="22"/>
        </w:rPr>
        <w:t>大数据精准预测与净菜供应：依托AI订单分析系统，精准预测师生或职工的就餐人数与口味偏好，从源头减少盲目采购。推行高出成率的标准化净菜配送服务，将原本在食堂厨房产生的烂叶、厨余废料留在源头产地，直接降低食堂的垃圾处理成本。</w:t>
      </w:r>
    </w:p>
    <w:p>
      <w:pPr>
        <w:pStyle w:val="ListNumber"/>
        <w:spacing w:line="440" w:lineRule="exact" w:after="80"/>
      </w:pPr>
      <w:r>
        <w:rPr>
          <w:rFonts w:ascii="宋体" w:hAnsi="宋体" w:eastAsia="宋体"/>
          <w:sz w:val="22"/>
        </w:rPr>
        <w:t>分级规格与临期管理：配合食堂推行分餐制和小份菜供应，提供多规格、小包装的定制化食材。建立严格的临期食品预警系统，对保质期不足三分之一的食材坚决拦截在出库前，从配送端阻断浪费风险。</w:t>
      </w:r>
    </w:p>
    <w:p>
      <w:pPr>
        <w:pStyle w:val="Heading2"/>
      </w:pPr>
      <w:r>
        <w:rPr>
          <w:rFonts w:ascii="黑体" w:hAnsi="黑体" w:eastAsia="黑体"/>
          <w:color w:val="1A3C6E"/>
          <w:sz w:val="30"/>
        </w:rPr>
        <w:t>5.2  碳中和与绿色物流前沿实践</w:t>
      </w:r>
    </w:p>
    <w:p>
      <w:pPr>
        <w:spacing w:line="480" w:lineRule="exact" w:after="120"/>
        <w:ind w:firstLine="420"/>
      </w:pPr>
      <w:r>
        <w:rPr>
          <w:rFonts w:ascii="宋体" w:hAnsi="宋体" w:eastAsia="宋体"/>
          <w:sz w:val="24"/>
        </w:rPr>
        <w:t>2026年，领先的第三方物流（3PL）企业正在大规模部署绿色物流倡议。将这些前沿概念植入标书，能够极大提升企业的品牌形象。</w:t>
      </w:r>
    </w:p>
    <w:p>
      <w:pPr>
        <w:spacing w:line="480" w:lineRule="exact" w:after="120"/>
      </w:pPr>
      <w:r>
        <w:rPr>
          <w:rFonts w:ascii="宋体" w:hAnsi="宋体" w:eastAsia="宋体"/>
          <w:b/>
          <w:sz w:val="24"/>
        </w:rPr>
        <w:t>平台智能生成逻辑：</w:t>
      </w:r>
    </w:p>
    <w:p>
      <w:pPr>
        <w:spacing w:line="440" w:lineRule="exact" w:after="160"/>
        <w:ind w:left="567" w:right="283"/>
        <w:pBdr>
          <w:left w:val="single" w:sz="12" w:color="2E75B6" w:space="8"/>
        </w:pBdr>
      </w:pPr>
      <w:r>
        <w:rPr>
          <w:rFonts w:ascii="宋体" w:hAnsi="宋体" w:eastAsia="宋体"/>
          <w:color w:val="333333"/>
          <w:sz w:val="22"/>
        </w:rPr>
        <w:t>平台内置一个"ESG绿色供应链模块"，允许投标企业根据自身实力进行勾选。勾选后，系统将在标书的加分项章节自动生成详实的图文报告。内容可涵盖：全面推进配送车队电气化（使用新能源冷链厢式货车减少尾气排放）；应用人工智能驱动的路线优化系统，在保证履约时效的前提下规划最短路径以降低能耗；实施智能包装减量计划，大面积推广使用可循环折叠周转筐替代一次性泡沫箱和纸箱，实现包装材料的绿色循环；甚至包括仓库太阳能发电应用及节水计划。这种具有前瞻性的ESG战略陈述，在面对注重社会责任的国企与外资企业招标时，将发挥降维打击的奇效。</w:t>
      </w:r>
    </w:p>
    <w:p>
      <w:r>
        <w:br w:type="page"/>
      </w:r>
    </w:p>
    <w:p>
      <w:pPr>
        <w:pStyle w:val="Heading1"/>
      </w:pPr>
      <w:r>
        <w:rPr>
          <w:rFonts w:ascii="黑体" w:hAnsi="黑体" w:eastAsia="黑体"/>
          <w:color w:val="1A3C6E"/>
          <w:sz w:val="36"/>
        </w:rPr>
        <w:t>第六章  评标细则反构与核心商务资质的"避坑"指南</w:t>
      </w:r>
    </w:p>
    <w:p>
      <w:pPr>
        <w:spacing w:line="480" w:lineRule="exact" w:after="120"/>
        <w:ind w:firstLine="420"/>
      </w:pPr>
      <w:r>
        <w:rPr>
          <w:rFonts w:ascii="宋体" w:hAnsi="宋体" w:eastAsia="宋体"/>
          <w:sz w:val="24"/>
        </w:rPr>
        <w:t>一份完美的标书不仅要有高屋建瓴的技术方案，更要在繁杂的资质审查与商务报价环节做到滴水不漏。评标委员会（通常由采购人代表和评审专家共5人及以上组成）会按照招标文件规定的评标方法进行极其严苛的审核。任何基础资质的缺失或格式的不符，都会触发"一票否决"机制。</w:t>
      </w:r>
    </w:p>
    <w:p>
      <w:pPr>
        <w:pStyle w:val="Heading2"/>
      </w:pPr>
      <w:r>
        <w:rPr>
          <w:rFonts w:ascii="黑体" w:hAnsi="黑体" w:eastAsia="黑体"/>
          <w:color w:val="1A3C6E"/>
          <w:sz w:val="30"/>
        </w:rPr>
        <w:t>6.1  资质前置审查与自动纠错防线</w:t>
      </w:r>
    </w:p>
    <w:p>
      <w:pPr>
        <w:spacing w:line="480" w:lineRule="exact" w:after="120"/>
        <w:ind w:firstLine="420"/>
      </w:pPr>
      <w:r>
        <w:rPr>
          <w:rFonts w:ascii="宋体" w:hAnsi="宋体" w:eastAsia="宋体"/>
          <w:sz w:val="24"/>
        </w:rPr>
        <w:t>生鲜配送项目的基础资质要求涉及多个法律维度，企业必须证明其合法合规的经营地位。</w:t>
      </w:r>
    </w:p>
    <w:tbl>
      <w:tblPr>
        <w:tblStyle w:val="TableGrid"/>
        <w:tblW w:type="auto" w:w="0"/>
        <w:jc w:val="center"/>
        <w:tblLook w:firstColumn="1" w:firstRow="1" w:lastColumn="0" w:lastRow="0" w:noHBand="0" w:noVBand="1" w:val="04A0"/>
      </w:tblPr>
      <w:tblGrid>
        <w:gridCol w:w="2878"/>
        <w:gridCol w:w="2878"/>
        <w:gridCol w:w="2878"/>
      </w:tblGrid>
      <w:tr>
        <w:tc>
          <w:tcPr>
            <w:tcW w:type="dxa" w:w="1984"/>
            <w:shd w:fill="1A3C6E" w:val="clear"/>
          </w:tcPr>
          <w:p>
            <w:pPr>
              <w:jc w:val="center"/>
            </w:pPr>
            <w:r/>
            <w:r>
              <w:rPr>
                <w:rFonts w:ascii="黑体" w:hAnsi="黑体" w:eastAsia="黑体"/>
                <w:b/>
                <w:color w:val="FFFFFF"/>
                <w:sz w:val="22"/>
              </w:rPr>
              <w:t>资质类型</w:t>
            </w:r>
          </w:p>
        </w:tc>
        <w:tc>
          <w:tcPr>
            <w:tcW w:type="dxa" w:w="3118"/>
            <w:shd w:fill="1A3C6E" w:val="clear"/>
          </w:tcPr>
          <w:p>
            <w:pPr>
              <w:jc w:val="center"/>
            </w:pPr>
            <w:r/>
            <w:r>
              <w:rPr>
                <w:rFonts w:ascii="黑体" w:hAnsi="黑体" w:eastAsia="黑体"/>
                <w:b/>
                <w:color w:val="FFFFFF"/>
                <w:sz w:val="22"/>
              </w:rPr>
              <w:t>具体证明文件与法规依据</w:t>
            </w:r>
          </w:p>
        </w:tc>
        <w:tc>
          <w:tcPr>
            <w:tcW w:type="dxa" w:w="3969"/>
            <w:shd w:fill="1A3C6E" w:val="clear"/>
          </w:tcPr>
          <w:p>
            <w:pPr>
              <w:jc w:val="center"/>
            </w:pPr>
            <w:r/>
            <w:r>
              <w:rPr>
                <w:rFonts w:ascii="黑体" w:hAnsi="黑体" w:eastAsia="黑体"/>
                <w:b/>
                <w:color w:val="FFFFFF"/>
                <w:sz w:val="22"/>
              </w:rPr>
              <w:t>平台自动核验与生成逻辑</w:t>
            </w:r>
          </w:p>
        </w:tc>
      </w:tr>
      <w:tr>
        <w:tc>
          <w:tcPr>
            <w:tcW w:type="dxa" w:w="1984"/>
          </w:tcPr>
          <w:p>
            <w:r/>
            <w:r>
              <w:rPr>
                <w:rFonts w:ascii="宋体" w:hAnsi="宋体" w:eastAsia="宋体"/>
                <w:sz w:val="21"/>
              </w:rPr>
              <w:t>基础合法身份</w:t>
            </w:r>
          </w:p>
        </w:tc>
        <w:tc>
          <w:tcPr>
            <w:tcW w:type="dxa" w:w="3118"/>
          </w:tcPr>
          <w:p>
            <w:r/>
            <w:r>
              <w:rPr>
                <w:rFonts w:ascii="宋体" w:hAnsi="宋体" w:eastAsia="宋体"/>
                <w:sz w:val="21"/>
              </w:rPr>
              <w:t>营业执照（含统一社会信用代码），且经营范围必须明确涵盖食品销售或食品配送业务</w:t>
            </w:r>
          </w:p>
        </w:tc>
        <w:tc>
          <w:tcPr>
            <w:tcW w:type="dxa" w:w="3969"/>
          </w:tcPr>
          <w:p>
            <w:r/>
            <w:r>
              <w:rPr>
                <w:rFonts w:ascii="宋体" w:hAnsi="宋体" w:eastAsia="宋体"/>
                <w:sz w:val="21"/>
              </w:rPr>
              <w:t>平台集成OCR模块，上传执照后自动比对招标文件的准入门槛。若经营范围不符，立即弹窗阻断生成并预警</w:t>
            </w:r>
          </w:p>
        </w:tc>
      </w:tr>
      <w:tr>
        <w:tc>
          <w:tcPr>
            <w:tcW w:type="dxa" w:w="1984"/>
            <w:shd w:fill="EBF0F7" w:val="clear"/>
          </w:tcPr>
          <w:p>
            <w:r/>
            <w:r>
              <w:rPr>
                <w:rFonts w:ascii="宋体" w:hAnsi="宋体" w:eastAsia="宋体"/>
                <w:sz w:val="21"/>
              </w:rPr>
              <w:t>行业准入核心凭证</w:t>
            </w:r>
          </w:p>
        </w:tc>
        <w:tc>
          <w:tcPr>
            <w:tcW w:type="dxa" w:w="3118"/>
            <w:shd w:fill="EBF0F7" w:val="clear"/>
          </w:tcPr>
          <w:p>
            <w:r/>
            <w:r>
              <w:rPr>
                <w:rFonts w:ascii="宋体" w:hAnsi="宋体" w:eastAsia="宋体"/>
                <w:sz w:val="21"/>
              </w:rPr>
              <w:t>《食品经营许可证》。依据《食品安全法》，从事食品销售为绝对的许可事项</w:t>
            </w:r>
          </w:p>
        </w:tc>
        <w:tc>
          <w:tcPr>
            <w:tcW w:type="dxa" w:w="3969"/>
            <w:shd w:fill="EBF0F7" w:val="clear"/>
          </w:tcPr>
          <w:p>
            <w:r/>
            <w:r>
              <w:rPr>
                <w:rFonts w:ascii="宋体" w:hAnsi="宋体" w:eastAsia="宋体"/>
                <w:sz w:val="21"/>
              </w:rPr>
              <w:t>系统自动抓取许可证有效日期，设置过期距离开标日不足30天的红色预警，防止"带病投标"</w:t>
            </w:r>
          </w:p>
        </w:tc>
      </w:tr>
      <w:tr>
        <w:tc>
          <w:tcPr>
            <w:tcW w:type="dxa" w:w="1984"/>
          </w:tcPr>
          <w:p>
            <w:r/>
            <w:r>
              <w:rPr>
                <w:rFonts w:ascii="宋体" w:hAnsi="宋体" w:eastAsia="宋体"/>
                <w:sz w:val="21"/>
              </w:rPr>
              <w:t>物流运输资质</w:t>
            </w:r>
          </w:p>
        </w:tc>
        <w:tc>
          <w:tcPr>
            <w:tcW w:type="dxa" w:w="3118"/>
          </w:tcPr>
          <w:p>
            <w:r/>
            <w:r>
              <w:rPr>
                <w:rFonts w:ascii="宋体" w:hAnsi="宋体" w:eastAsia="宋体"/>
                <w:sz w:val="21"/>
              </w:rPr>
              <w:t>《道路运输经营许可证》及重点液态食品"准运证"</w:t>
            </w:r>
          </w:p>
        </w:tc>
        <w:tc>
          <w:tcPr>
            <w:tcW w:type="dxa" w:w="3969"/>
          </w:tcPr>
          <w:p>
            <w:r/>
            <w:r>
              <w:rPr>
                <w:rFonts w:ascii="宋体" w:hAnsi="宋体" w:eastAsia="宋体"/>
                <w:sz w:val="21"/>
              </w:rPr>
              <w:t>自动生成包含所有自有及挂靠车辆牌照、营运证号、准运证号的结构化资产清单表格</w:t>
            </w:r>
          </w:p>
        </w:tc>
      </w:tr>
      <w:tr>
        <w:tc>
          <w:tcPr>
            <w:tcW w:type="dxa" w:w="1984"/>
            <w:shd w:fill="EBF0F7" w:val="clear"/>
          </w:tcPr>
          <w:p>
            <w:r/>
            <w:r>
              <w:rPr>
                <w:rFonts w:ascii="宋体" w:hAnsi="宋体" w:eastAsia="宋体"/>
                <w:sz w:val="21"/>
              </w:rPr>
              <w:t>源头合规凭证</w:t>
            </w:r>
          </w:p>
        </w:tc>
        <w:tc>
          <w:tcPr>
            <w:tcW w:type="dxa" w:w="3118"/>
            <w:shd w:fill="EBF0F7" w:val="clear"/>
          </w:tcPr>
          <w:p>
            <w:r/>
            <w:r>
              <w:rPr>
                <w:rFonts w:ascii="宋体" w:hAnsi="宋体" w:eastAsia="宋体"/>
                <w:sz w:val="21"/>
              </w:rPr>
              <w:t>动物检疫合格证原件及承诺达标合格证。依据《农产品质量安全法》全面落实</w:t>
            </w:r>
          </w:p>
        </w:tc>
        <w:tc>
          <w:tcPr>
            <w:tcW w:type="dxa" w:w="3969"/>
            <w:shd w:fill="EBF0F7" w:val="clear"/>
          </w:tcPr>
          <w:p>
            <w:r/>
            <w:r>
              <w:rPr>
                <w:rFonts w:ascii="宋体" w:hAnsi="宋体" w:eastAsia="宋体"/>
                <w:sz w:val="21"/>
              </w:rPr>
              <w:t>在标书的技术响应表及附件目录中，自动生成模板化的检疫合格证与达标合格证样张</w:t>
            </w:r>
          </w:p>
        </w:tc>
      </w:tr>
    </w:tbl>
    <w:p/>
    <w:p>
      <w:pPr>
        <w:pStyle w:val="Heading2"/>
      </w:pPr>
      <w:r>
        <w:rPr>
          <w:rFonts w:ascii="黑体" w:hAnsi="黑体" w:eastAsia="黑体"/>
          <w:color w:val="1A3C6E"/>
          <w:sz w:val="30"/>
        </w:rPr>
        <w:t>6.2  体系认证加分矩阵与中小微企业政策红利</w:t>
      </w:r>
    </w:p>
    <w:p>
      <w:pPr>
        <w:spacing w:line="480" w:lineRule="exact" w:after="120"/>
        <w:ind w:firstLine="420"/>
      </w:pPr>
      <w:r>
        <w:rPr>
          <w:rFonts w:ascii="宋体" w:hAnsi="宋体" w:eastAsia="宋体"/>
          <w:sz w:val="24"/>
        </w:rPr>
        <w:t>在商务标的评分细则中，企业所拥有的管理体系认证是拉开分差的关键。平台应引导企业上传并展示其获得的各项高级认证：</w:t>
      </w:r>
    </w:p>
    <w:p>
      <w:pPr>
        <w:pStyle w:val="ListBullet"/>
        <w:spacing w:line="440" w:lineRule="exact" w:after="80"/>
      </w:pPr>
      <w:r>
        <w:rPr>
          <w:rFonts w:ascii="宋体" w:hAnsi="宋体" w:eastAsia="宋体"/>
          <w:sz w:val="22"/>
        </w:rPr>
        <w:t>HACCP（危害分析与关键控制点认证）：作为食品安全管理体系的国际最高通用语言，是绝大多数政府采购项目的直接加分项。</w:t>
      </w:r>
    </w:p>
    <w:p>
      <w:pPr>
        <w:pStyle w:val="ListBullet"/>
        <w:spacing w:line="440" w:lineRule="exact" w:after="80"/>
      </w:pPr>
      <w:r>
        <w:rPr>
          <w:rFonts w:ascii="宋体" w:hAnsi="宋体" w:eastAsia="宋体"/>
          <w:sz w:val="22"/>
        </w:rPr>
        <w:t>ISO体系簇：包括ISO 22000食品安全管理体系、ISO 9001质量管理体系、ISO 14001环境管理体系及ISO 45001职业健康安全管理体系等。</w:t>
      </w:r>
    </w:p>
    <w:p>
      <w:pPr>
        <w:pStyle w:val="ListBullet"/>
        <w:spacing w:line="440" w:lineRule="exact" w:after="80"/>
      </w:pPr>
      <w:r>
        <w:rPr>
          <w:rFonts w:ascii="宋体" w:hAnsi="宋体" w:eastAsia="宋体"/>
          <w:sz w:val="22"/>
        </w:rPr>
        <w:t>特色认证：自有种植基地或加工厂的绿色食品/有机产品认证及SC生产许可认证。</w:t>
      </w:r>
    </w:p>
    <w:p>
      <w:pPr>
        <w:spacing w:line="480" w:lineRule="exact" w:after="120"/>
        <w:ind w:firstLine="420"/>
      </w:pPr>
      <w:r>
        <w:rPr>
          <w:rFonts w:ascii="宋体" w:hAnsi="宋体" w:eastAsia="宋体"/>
          <w:sz w:val="24"/>
        </w:rPr>
        <w:t>此外，在政府采购体系中，政策性倾斜是投标企业必须抓住的红利。例如，在某些地方的生鲜配送项目中，招标文件明确规定对小型和微型企业产品给予10%的价格扣除，用扣除后的价格参与最终评审。</w:t>
      </w:r>
    </w:p>
    <w:p>
      <w:pPr>
        <w:spacing w:line="480" w:lineRule="exact" w:after="120"/>
      </w:pPr>
      <w:r>
        <w:rPr>
          <w:rFonts w:ascii="宋体" w:hAnsi="宋体" w:eastAsia="宋体"/>
          <w:b/>
          <w:sz w:val="24"/>
        </w:rPr>
        <w:t>平台智能生成逻辑：</w:t>
      </w:r>
    </w:p>
    <w:p>
      <w:pPr>
        <w:spacing w:line="440" w:lineRule="exact" w:after="160"/>
        <w:ind w:left="567" w:right="283"/>
        <w:pBdr>
          <w:left w:val="single" w:sz="12" w:color="2E75B6" w:space="8"/>
        </w:pBdr>
      </w:pPr>
      <w:r>
        <w:rPr>
          <w:rFonts w:ascii="宋体" w:hAnsi="宋体" w:eastAsia="宋体"/>
          <w:color w:val="333333"/>
          <w:sz w:val="22"/>
        </w:rPr>
        <w:t>平台在引导用户录入企业基础数据（如上年营收、员工缴纳社保人数等）时，内置的算法引擎会自动对照国家工信部出台的中小微企业划型标准。一旦判定企业符合微型或小型企业资格，系统会在商务标卷首自动生成且排版符合财政部标准格式的《中小微企业声明函》，并结合历史数据及评标专家心理，给出指导性的下浮率报价区间建议，从而合法、合理地通过价格优势击败竞争对手。</w:t>
      </w:r>
    </w:p>
    <w:p>
      <w:pPr>
        <w:pStyle w:val="Heading2"/>
      </w:pPr>
      <w:r>
        <w:rPr>
          <w:rFonts w:ascii="黑体" w:hAnsi="黑体" w:eastAsia="黑体"/>
          <w:color w:val="1A3C6E"/>
          <w:sz w:val="30"/>
        </w:rPr>
        <w:t>6.3  废标红线的彻底封堵与文本终审逻辑</w:t>
      </w:r>
    </w:p>
    <w:p>
      <w:pPr>
        <w:spacing w:line="480" w:lineRule="exact" w:after="120"/>
        <w:ind w:firstLine="420"/>
      </w:pPr>
      <w:r>
        <w:rPr>
          <w:rFonts w:ascii="宋体" w:hAnsi="宋体" w:eastAsia="宋体"/>
          <w:sz w:val="24"/>
        </w:rPr>
        <w:t>在标书打印或生成最终PDF文件前的最后一刻，平台必须扮演冷酷的"审查官"角色。根据大数据总结，实质性条款未响应（如技术参数偏离、交货期未承诺）、投标文件格式不符（如页码缺失、未按要求密封、关键位置签章遗漏）以及报价异常（远低于成本价引发恶意竞争嫌疑或远高于市场指导价）是造成废标的三大元凶。</w:t>
      </w:r>
    </w:p>
    <w:p>
      <w:pPr>
        <w:spacing w:line="480" w:lineRule="exact" w:after="120"/>
        <w:ind w:firstLine="420"/>
      </w:pPr>
      <w:r>
        <w:rPr>
          <w:rFonts w:ascii="宋体" w:hAnsi="宋体" w:eastAsia="宋体"/>
          <w:sz w:val="24"/>
        </w:rPr>
        <w:t>系统底层需运行一个逻辑校验环：首先，利用自然语言处理技术对比招标文件中所有带有"应"、"须"、"必须"字眼的强制性条款，并反向搜索生成的标书内容，确保每一项都有明确的、无偏离的正面回应。其次，自动进行页码连续性编排与交叉引用检查，生成一份直观的"需盖章/签字页面清单"，指引投标人在最后阶段的物理操作，从而将人为失误率降至趋近于零。</w:t>
      </w:r>
    </w:p>
    <w:p>
      <w:r>
        <w:br w:type="page"/>
      </w:r>
    </w:p>
    <w:p>
      <w:pPr>
        <w:pStyle w:val="Heading1"/>
      </w:pPr>
      <w:r>
        <w:rPr>
          <w:rFonts w:ascii="黑体" w:hAnsi="黑体" w:eastAsia="黑体"/>
          <w:color w:val="1A3C6E"/>
          <w:sz w:val="36"/>
        </w:rPr>
        <w:t>第七章  平台赋能的终极愿景：从"文书制作"到"供应链整体升维"</w:t>
      </w:r>
    </w:p>
    <w:p>
      <w:pPr>
        <w:spacing w:line="480" w:lineRule="exact" w:after="120"/>
        <w:ind w:firstLine="420"/>
      </w:pPr>
      <w:r>
        <w:rPr>
          <w:rFonts w:ascii="宋体" w:hAnsi="宋体" w:eastAsia="宋体"/>
          <w:sz w:val="24"/>
        </w:rPr>
        <w:t>综上所述，一份高质量的生鲜食材投标标书绝不仅仅是一份简单的供货清单与报价表，它是投标企业供应链管理能力、食品安全风控体系、对国家宏观法律法规把控水平以及数字化运营实力的全方位、集中化呈现。在这个高度碎片化且竞争日趋白热化的赛道里，企业稍有不慎便会在严苛的评标标准下败下阵来。</w:t>
      </w:r>
    </w:p>
    <w:p>
      <w:pPr>
        <w:spacing w:line="480" w:lineRule="exact" w:after="120"/>
        <w:ind w:firstLine="420"/>
      </w:pPr>
      <w:r>
        <w:rPr>
          <w:rFonts w:ascii="宋体" w:hAnsi="宋体" w:eastAsia="宋体"/>
          <w:sz w:val="24"/>
        </w:rPr>
        <w:t>构建一个集成最新法律法规知识库（如2025版食品安全法新规、GB 2763-2026农残标准万项指标、反食品浪费法等）与大型语言模型的一站式生鲜配送标书生成平台，其核心价值在于实现"法规响应的零延迟"、"技术方案的降维打击"以及"商务资质的绝对合规"。</w:t>
      </w:r>
    </w:p>
    <w:p>
      <w:pPr>
        <w:spacing w:line="480" w:lineRule="exact" w:after="120"/>
        <w:ind w:firstLine="420"/>
      </w:pPr>
      <w:r>
        <w:rPr>
          <w:rFonts w:ascii="宋体" w:hAnsi="宋体" w:eastAsia="宋体"/>
          <w:sz w:val="24"/>
        </w:rPr>
        <w:t>对于该平台的未来迭代战略，建议不应仅仅止步于成为一个高效的"代写工具"，而应向纵深的供应链赋能平台演进。例如，通过接入中国采购与招标网（chinabidding.com.cn）、食堂招标网（shitangzhaobiao.com.cn）等各大公共资源交易数据源，为用户提供实时的招标商机匹配与前瞻性的市场行情动态分析；在企业中标后，能够一键将其标书中承诺的各项高级SOP（标准作业程序）、冷链监控参数与溯源机制无缝导入至其实际运作的SaaS ERP系统中，实现"所承诺即所交付"的完美履约闭环。</w:t>
      </w:r>
    </w:p>
    <w:p>
      <w:pPr>
        <w:spacing w:line="480" w:lineRule="exact" w:after="120"/>
        <w:ind w:firstLine="420"/>
      </w:pPr>
      <w:r>
        <w:rPr>
          <w:rFonts w:ascii="宋体" w:hAnsi="宋体" w:eastAsia="宋体"/>
          <w:sz w:val="24"/>
        </w:rPr>
        <w:t>这不仅将从根本上抹平中小优质供应商在"招投标文书制作"环节面临的技术鸿沟，更将成为推动整个中国生鲜食材配送行业走向合规化、标准化、数字化的关键基础设施。依托最严谨的法规标准基底和最前沿的AI生成技术，该平台必将助力广大生鲜配送企业在错综复杂的招投标博弈中脱颖而出，以无可挑剔的顶级标书赢得市场信赖与长远发展的制高点。</w:t>
      </w:r>
    </w:p>
    <w:p/>
    <w:p/>
    <w:p>
      <w:pPr>
        <w:jc w:val="center"/>
      </w:pPr>
      <w:r>
        <w:rPr>
          <w:color w:val="2E75B6"/>
          <w:sz w:val="24"/>
        </w:rPr>
        <w:t>━━━━━━━━━━━━━━━━━━━━</w:t>
      </w:r>
    </w:p>
    <w:p>
      <w:pPr>
        <w:jc w:val="center"/>
      </w:pPr>
      <w:r>
        <w:rPr>
          <w:i/>
          <w:color w:val="999999"/>
          <w:sz w:val="20"/>
        </w:rPr>
        <w:t>本蓝皮书基于公开法律法规、行业标准及市场信息整理，仅供战略研究参考。</w:t>
        <w:br/>
        <w:t>具体投标时请以最新招标文件及现行法规实际要求为准。</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