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color w:val="2E75B6"/>
          <w:sz w:val="28"/>
        </w:rPr>
        <w:t>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黑体" w:hAnsi="黑体" w:eastAsia="黑体"/>
          <w:b/>
          <w:color w:val="1A3C6E"/>
          <w:sz w:val="52"/>
        </w:rPr>
        <w:t>通用投标AI框架</w:t>
        <w:br/>
        <w:t>(BidEngine)</w:t>
        <w:br/>
        <w:t>合并实施方案</w:t>
      </w:r>
    </w:p>
    <w:p/>
    <w:p>
      <w:pPr>
        <w:jc w:val="center"/>
      </w:pPr>
      <w:r>
        <w:rPr>
          <w:color w:val="2E75B6"/>
          <w:sz w:val="28"/>
        </w:rPr>
        <w:t>━━━━━━━━━━━━━━━━━━━━━━━━━━━━━━━━━━━━━━━━</w:t>
      </w:r>
    </w:p>
    <w:p/>
    <w:p/>
    <w:p>
      <w:pPr>
        <w:jc w:val="center"/>
      </w:pPr>
      <w:r>
        <w:rPr>
          <w:color w:val="555555"/>
          <w:sz w:val="24"/>
        </w:rPr>
        <w:t>鲜标智投 (底座) + 标标AI (引擎) → BidEngine (通用框架)</w:t>
        <w:br/>
        <w:t>Phase 0-4 全阶段技术实施路线图</w:t>
      </w:r>
    </w:p>
    <w:p/>
    <w:p/>
    <w:p/>
    <w:p>
      <w:pPr>
        <w:jc w:val="center"/>
      </w:pPr>
      <w:r>
        <w:rPr>
          <w:color w:val="999999"/>
          <w:sz w:val="26"/>
        </w:rPr>
        <w:t>2026年3月 · V1.0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3C6E"/>
          <w:sz w:val="36"/>
        </w:rPr>
        <w:t>目  录</w:t>
      </w:r>
    </w:p>
    <w:p>
      <w:pPr>
        <w:spacing w:line="520" w:lineRule="exact"/>
      </w:pPr>
      <w:r>
        <w:rPr>
          <w:b/>
          <w:color w:val="1A3C6E"/>
          <w:sz w:val="24"/>
        </w:rPr>
        <w:t xml:space="preserve">一  </w:t>
      </w:r>
      <w:r>
        <w:rPr>
          <w:color w:val="333333"/>
          <w:sz w:val="24"/>
        </w:rPr>
        <w:t>前置决策与技术选型</w:t>
      </w:r>
    </w:p>
    <w:p>
      <w:pPr>
        <w:spacing w:line="520" w:lineRule="exact"/>
      </w:pPr>
      <w:r>
        <w:rPr>
          <w:b/>
          <w:color w:val="1A3C6E"/>
          <w:sz w:val="24"/>
        </w:rPr>
        <w:t xml:space="preserve">二  </w:t>
      </w:r>
      <w:r>
        <w:rPr>
          <w:color w:val="333333"/>
          <w:sz w:val="24"/>
        </w:rPr>
        <w:t>Phase 0：准备工作（第1周）</w:t>
      </w:r>
    </w:p>
    <w:p>
      <w:pPr>
        <w:spacing w:line="520" w:lineRule="exact"/>
      </w:pPr>
      <w:r>
        <w:rPr>
          <w:b/>
          <w:color w:val="1A3C6E"/>
          <w:sz w:val="24"/>
        </w:rPr>
        <w:t xml:space="preserve">三  </w:t>
      </w:r>
      <w:r>
        <w:rPr>
          <w:color w:val="333333"/>
          <w:sz w:val="24"/>
        </w:rPr>
        <w:t>Phase 1：引擎层移植（第2-3周）</w:t>
      </w:r>
    </w:p>
    <w:p>
      <w:pPr>
        <w:spacing w:line="520" w:lineRule="exact"/>
      </w:pPr>
      <w:r>
        <w:rPr>
          <w:b w:val="0"/>
          <w:color w:val="555555"/>
          <w:sz w:val="24"/>
        </w:rPr>
        <w:t xml:space="preserve">  1.1  </w:t>
      </w:r>
      <w:r>
        <w:rPr>
          <w:color w:val="333333"/>
          <w:sz w:val="22"/>
        </w:rPr>
        <w:t>LLM路由层重构</w:t>
      </w:r>
    </w:p>
    <w:p>
      <w:pPr>
        <w:spacing w:line="520" w:lineRule="exact"/>
      </w:pPr>
      <w:r>
        <w:rPr>
          <w:b w:val="0"/>
          <w:color w:val="555555"/>
          <w:sz w:val="24"/>
        </w:rPr>
        <w:t xml:space="preserve">  1.2  </w:t>
      </w:r>
      <w:r>
        <w:rPr>
          <w:color w:val="333333"/>
          <w:sz w:val="22"/>
        </w:rPr>
        <w:t>移植7节点生成流水线</w:t>
      </w:r>
    </w:p>
    <w:p>
      <w:pPr>
        <w:spacing w:line="520" w:lineRule="exact"/>
      </w:pPr>
      <w:r>
        <w:rPr>
          <w:b w:val="0"/>
          <w:color w:val="555555"/>
          <w:sz w:val="24"/>
        </w:rPr>
        <w:t xml:space="preserve">  1.3  </w:t>
      </w:r>
      <w:r>
        <w:rPr>
          <w:color w:val="333333"/>
          <w:sz w:val="22"/>
        </w:rPr>
        <w:t>移植反AI检测引擎</w:t>
      </w:r>
    </w:p>
    <w:p>
      <w:pPr>
        <w:spacing w:line="520" w:lineRule="exact"/>
      </w:pPr>
      <w:r>
        <w:rPr>
          <w:b w:val="0"/>
          <w:color w:val="555555"/>
          <w:sz w:val="24"/>
        </w:rPr>
        <w:t xml:space="preserve">  1.4  </w:t>
      </w:r>
      <w:r>
        <w:rPr>
          <w:color w:val="333333"/>
          <w:sz w:val="22"/>
        </w:rPr>
        <w:t>移植数据脱敏系统</w:t>
      </w:r>
    </w:p>
    <w:p>
      <w:pPr>
        <w:spacing w:line="520" w:lineRule="exact"/>
      </w:pPr>
      <w:r>
        <w:rPr>
          <w:b/>
          <w:color w:val="1A3C6E"/>
          <w:sz w:val="24"/>
        </w:rPr>
        <w:t xml:space="preserve">四  </w:t>
      </w:r>
      <w:r>
        <w:rPr>
          <w:color w:val="333333"/>
          <w:sz w:val="24"/>
        </w:rPr>
        <w:t>Phase 2：行业插件化抽象（第4-5周）</w:t>
      </w:r>
    </w:p>
    <w:p>
      <w:pPr>
        <w:spacing w:line="520" w:lineRule="exact"/>
      </w:pPr>
      <w:r>
        <w:rPr>
          <w:b w:val="0"/>
          <w:color w:val="555555"/>
          <w:sz w:val="24"/>
        </w:rPr>
        <w:t xml:space="preserve">  2.1  </w:t>
      </w:r>
      <w:r>
        <w:rPr>
          <w:color w:val="333333"/>
          <w:sz w:val="22"/>
        </w:rPr>
        <w:t>定义行业插件接口</w:t>
      </w:r>
    </w:p>
    <w:p>
      <w:pPr>
        <w:spacing w:line="520" w:lineRule="exact"/>
      </w:pPr>
      <w:r>
        <w:rPr>
          <w:b w:val="0"/>
          <w:color w:val="555555"/>
          <w:sz w:val="24"/>
        </w:rPr>
        <w:t xml:space="preserve">  2.2  </w:t>
      </w:r>
      <w:r>
        <w:rPr>
          <w:color w:val="333333"/>
          <w:sz w:val="22"/>
        </w:rPr>
        <w:t>实现两个行业插件</w:t>
      </w:r>
    </w:p>
    <w:p>
      <w:pPr>
        <w:spacing w:line="520" w:lineRule="exact"/>
      </w:pPr>
      <w:r>
        <w:rPr>
          <w:b w:val="0"/>
          <w:color w:val="555555"/>
          <w:sz w:val="24"/>
        </w:rPr>
        <w:t xml:space="preserve">  2.3  </w:t>
      </w:r>
      <w:r>
        <w:rPr>
          <w:color w:val="333333"/>
          <w:sz w:val="22"/>
        </w:rPr>
        <w:t>改造核心服务使用插件</w:t>
      </w:r>
    </w:p>
    <w:p>
      <w:pPr>
        <w:spacing w:line="520" w:lineRule="exact"/>
      </w:pPr>
      <w:r>
        <w:rPr>
          <w:b w:val="0"/>
          <w:color w:val="555555"/>
          <w:sz w:val="24"/>
        </w:rPr>
        <w:t xml:space="preserve">  2.4  </w:t>
      </w:r>
      <w:r>
        <w:rPr>
          <w:color w:val="333333"/>
          <w:sz w:val="22"/>
        </w:rPr>
        <w:t>数据库适配</w:t>
      </w:r>
    </w:p>
    <w:p>
      <w:pPr>
        <w:spacing w:line="520" w:lineRule="exact"/>
      </w:pPr>
      <w:r>
        <w:rPr>
          <w:b/>
          <w:color w:val="1A3C6E"/>
          <w:sz w:val="24"/>
        </w:rPr>
        <w:t xml:space="preserve">五  </w:t>
      </w:r>
      <w:r>
        <w:rPr>
          <w:color w:val="333333"/>
          <w:sz w:val="24"/>
        </w:rPr>
        <w:t>Phase 3：前端统一+评分驱动目录（第5-6周）</w:t>
      </w:r>
    </w:p>
    <w:p>
      <w:pPr>
        <w:spacing w:line="520" w:lineRule="exact"/>
      </w:pPr>
      <w:r>
        <w:rPr>
          <w:b w:val="0"/>
          <w:color w:val="555555"/>
          <w:sz w:val="24"/>
        </w:rPr>
        <w:t xml:space="preserve">  3.1  </w:t>
      </w:r>
      <w:r>
        <w:rPr>
          <w:color w:val="333333"/>
          <w:sz w:val="22"/>
        </w:rPr>
        <w:t>移植评分点提取</w:t>
      </w:r>
    </w:p>
    <w:p>
      <w:pPr>
        <w:spacing w:line="520" w:lineRule="exact"/>
      </w:pPr>
      <w:r>
        <w:rPr>
          <w:b w:val="0"/>
          <w:color w:val="555555"/>
          <w:sz w:val="24"/>
        </w:rPr>
        <w:t xml:space="preserve">  3.2  </w:t>
      </w:r>
      <w:r>
        <w:rPr>
          <w:color w:val="333333"/>
          <w:sz w:val="22"/>
        </w:rPr>
        <w:t>移植变体生成引擎</w:t>
      </w:r>
    </w:p>
    <w:p>
      <w:pPr>
        <w:spacing w:line="520" w:lineRule="exact"/>
      </w:pPr>
      <w:r>
        <w:rPr>
          <w:b w:val="0"/>
          <w:color w:val="555555"/>
          <w:sz w:val="24"/>
        </w:rPr>
        <w:t xml:space="preserve">  3.3  </w:t>
      </w:r>
      <w:r>
        <w:rPr>
          <w:color w:val="333333"/>
          <w:sz w:val="22"/>
        </w:rPr>
        <w:t>前端工作台融合</w:t>
      </w:r>
    </w:p>
    <w:p>
      <w:pPr>
        <w:spacing w:line="520" w:lineRule="exact"/>
      </w:pPr>
      <w:r>
        <w:rPr>
          <w:b/>
          <w:color w:val="1A3C6E"/>
          <w:sz w:val="24"/>
        </w:rPr>
        <w:t xml:space="preserve">六  </w:t>
      </w:r>
      <w:r>
        <w:rPr>
          <w:color w:val="333333"/>
          <w:sz w:val="24"/>
        </w:rPr>
        <w:t>Phase 4：新行业验证+稳定化（第7-8周）</w:t>
      </w:r>
    </w:p>
    <w:p>
      <w:pPr>
        <w:spacing w:line="520" w:lineRule="exact"/>
      </w:pPr>
      <w:r>
        <w:rPr>
          <w:b/>
          <w:color w:val="1A3C6E"/>
          <w:sz w:val="24"/>
        </w:rPr>
        <w:t xml:space="preserve">七  </w:t>
      </w:r>
      <w:r>
        <w:rPr>
          <w:color w:val="333333"/>
          <w:sz w:val="24"/>
        </w:rPr>
        <w:t>整体时间线与里程碑</w:t>
      </w:r>
    </w:p>
    <w:p>
      <w:pPr>
        <w:spacing w:line="520" w:lineRule="exact"/>
      </w:pPr>
      <w:r>
        <w:rPr>
          <w:b/>
          <w:color w:val="1A3C6E"/>
          <w:sz w:val="24"/>
        </w:rPr>
        <w:t xml:space="preserve">八  </w:t>
      </w:r>
      <w:r>
        <w:rPr>
          <w:color w:val="333333"/>
          <w:sz w:val="24"/>
        </w:rPr>
        <w:t>风险清单与应对策略</w:t>
      </w:r>
    </w:p>
    <w:p>
      <w:pPr>
        <w:spacing w:line="520" w:lineRule="exact"/>
      </w:pPr>
      <w:r>
        <w:rPr>
          <w:b/>
          <w:color w:val="1A3C6E"/>
          <w:sz w:val="24"/>
        </w:rPr>
        <w:t xml:space="preserve">九  </w:t>
      </w:r>
      <w:r>
        <w:rPr>
          <w:color w:val="333333"/>
          <w:sz w:val="24"/>
        </w:rPr>
        <w:t>待讨论决策项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3C6E"/>
          <w:sz w:val="36"/>
        </w:rPr>
        <w:t>一、前置决策与技术选型</w:t>
      </w:r>
    </w:p>
    <w:p>
      <w:pPr>
        <w:spacing w:line="440" w:lineRule="exact" w:after="80"/>
        <w:ind w:firstLine="420"/>
      </w:pPr>
      <w:r>
        <w:rPr>
          <w:rFonts w:ascii="宋体" w:hAnsi="宋体" w:eastAsia="宋体"/>
          <w:sz w:val="22"/>
        </w:rPr>
        <w:t>在启动合并实施前，需要确定以下关键技术决策。这些决策将直接影响后续所有阶段的实施路径。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17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决策项</w:t>
            </w:r>
          </w:p>
        </w:tc>
        <w:tc>
          <w:tcPr>
            <w:tcW w:type="dxa" w:w="2268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建议方案</w:t>
            </w:r>
          </w:p>
        </w:tc>
        <w:tc>
          <w:tcPr>
            <w:tcW w:type="dxa" w:w="4252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决策依据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代码基座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鲜标智投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20"/>
              </w:rPr>
              <w:t>23张表、80+ API、业务完整度高，改造成本远低于反向移植</w:t>
            </w:r>
          </w:p>
        </w:tc>
      </w:tr>
      <w:tr>
        <w:tc>
          <w:tcPr>
            <w:tcW w:type="dxa" w:w="1417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生成引擎</w:t>
            </w:r>
          </w:p>
        </w:tc>
        <w:tc>
          <w:tcPr>
            <w:tcW w:type="dxa" w:w="2268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标标AI的7节点流水线</w:t>
            </w:r>
          </w:p>
        </w:tc>
        <w:tc>
          <w:tcPr>
            <w:tcW w:type="dxa" w:w="4252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质量控制远优于鲜标的单次LLM调用，是核心竞争力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LLM路由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合并：鲜标的多供应商 + 标标的Provider抽象类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20"/>
              </w:rPr>
              <w:t>鲜标支持4家供应商但架构不够清晰，标标架构好但只支持2家</w:t>
            </w:r>
          </w:p>
        </w:tc>
      </w:tr>
      <w:tr>
        <w:tc>
          <w:tcPr>
            <w:tcW w:type="dxa" w:w="1417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主键策略</w:t>
            </w:r>
          </w:p>
        </w:tc>
        <w:tc>
          <w:tcPr>
            <w:tcW w:type="dxa" w:w="2268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保持Int（鲜标现状）</w:t>
            </w:r>
          </w:p>
        </w:tc>
        <w:tc>
          <w:tcPr>
            <w:tcW w:type="dxa" w:w="4252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UUID迁移代价大，Int对现有数据库兼容性好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租户隔离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鲜标现有方案（所有表强制tenant_id）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20"/>
              </w:rPr>
              <w:t>已经是最佳实践，无需改动</w:t>
            </w:r>
          </w:p>
        </w:tc>
      </w:tr>
      <w:tr>
        <w:tc>
          <w:tcPr>
            <w:tcW w:type="dxa" w:w="1417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向量维度</w:t>
            </w:r>
          </w:p>
        </w:tc>
        <w:tc>
          <w:tcPr>
            <w:tcW w:type="dxa" w:w="2268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统一为1536维（鲜标方案）</w:t>
            </w:r>
          </w:p>
        </w:tc>
        <w:tc>
          <w:tcPr>
            <w:tcW w:type="dxa" w:w="4252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Gemini embedding-004标准维度，语义精度更高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文档导出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合并：标标的格式检测 + 鲜标的图片嵌入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sz w:val="20"/>
              </w:rPr>
              <w:t>取两者之长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3C6E"/>
          <w:sz w:val="36"/>
        </w:rPr>
        <w:t>二、Phase 0：准备工作（第1周）</w:t>
      </w:r>
    </w:p>
    <w:p>
      <w:pPr>
        <w:spacing w:line="440" w:lineRule="exact" w:after="80"/>
      </w:pPr>
      <w:r>
        <w:rPr>
          <w:rFonts w:ascii="宋体" w:hAnsi="宋体" w:eastAsia="宋体"/>
          <w:b/>
          <w:color w:val="2E75B6"/>
          <w:sz w:val="22"/>
        </w:rPr>
        <w:t>目标：建立新仓库 + 统一开发环境 + 建立回归测试基线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50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任务编号</w:t>
            </w:r>
          </w:p>
        </w:tc>
        <w:tc>
          <w:tcPr>
            <w:tcW w:type="dxa" w:w="1701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3118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具体操作</w:t>
            </w:r>
          </w:p>
        </w:tc>
        <w:tc>
          <w:tcPr>
            <w:tcW w:type="dxa" w:w="1984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产出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0.1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创建新仓库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bid-engine新仓库，从鲜标fork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干净的起点</w:t>
            </w:r>
          </w:p>
        </w:tc>
      </w:tr>
      <w:tr>
        <w:tc>
          <w:tcPr>
            <w:tcW w:type="dxa" w:w="850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0.2</w:t>
            </w:r>
          </w:p>
        </w:tc>
        <w:tc>
          <w:tcPr>
            <w:tcW w:type="dxa" w:w="1701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清理鲜标代码</w:t>
            </w:r>
          </w:p>
        </w:tc>
        <w:tc>
          <w:tcPr>
            <w:tcW w:type="dxa" w:w="3118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移除食材硬编码（6品类报价、冷链字段名等），保留结构</w:t>
            </w:r>
          </w:p>
        </w:tc>
        <w:tc>
          <w:tcPr>
            <w:tcW w:type="dxa" w:w="1984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行业无关的骨架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0.3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复制标标关键文件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将标标的7个核心服务复制到staging/biaobiao/目录备用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待移植的代码就位</w:t>
            </w:r>
          </w:p>
        </w:tc>
      </w:tr>
      <w:tr>
        <w:tc>
          <w:tcPr>
            <w:tcW w:type="dxa" w:w="850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0.4</w:t>
            </w:r>
          </w:p>
        </w:tc>
        <w:tc>
          <w:tcPr>
            <w:tcW w:type="dxa" w:w="1701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统一Docker环境</w:t>
            </w:r>
          </w:p>
        </w:tc>
        <w:tc>
          <w:tcPr>
            <w:tcW w:type="dxa" w:w="3118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合并两个docker-compose.yml，统一端口/资源限制</w:t>
            </w:r>
          </w:p>
        </w:tc>
        <w:tc>
          <w:tcPr>
            <w:tcW w:type="dxa" w:w="1984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单一开发环境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0.5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建立测试基线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当前鲜标所有功能跑通一遍，记录基准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回归测试基准</w:t>
            </w:r>
          </w:p>
        </w:tc>
      </w:tr>
      <w:tr>
        <w:tc>
          <w:tcPr>
            <w:tcW w:type="dxa" w:w="850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0.6</w:t>
            </w:r>
          </w:p>
        </w:tc>
        <w:tc>
          <w:tcPr>
            <w:tcW w:type="dxa" w:w="1701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统一Alembic迁移</w:t>
            </w:r>
          </w:p>
        </w:tc>
        <w:tc>
          <w:tcPr>
            <w:tcW w:type="dxa" w:w="3118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将两个项目的迁移历史合并为统一迁移线</w:t>
            </w:r>
          </w:p>
        </w:tc>
        <w:tc>
          <w:tcPr>
            <w:tcW w:type="dxa" w:w="1984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避免后续冲突</w:t>
            </w:r>
          </w:p>
        </w:tc>
      </w:tr>
    </w:tbl>
    <w:p/>
    <w:p>
      <w:pPr>
        <w:spacing w:line="440" w:lineRule="exact" w:after="80"/>
      </w:pPr>
      <w:r>
        <w:rPr>
          <w:rFonts w:ascii="宋体" w:hAnsi="宋体" w:eastAsia="宋体"/>
          <w:b/>
          <w:sz w:val="22"/>
        </w:rPr>
        <w:t>Phase 0验收标准：</w:t>
      </w:r>
    </w:p>
    <w:p>
      <w:pPr>
        <w:pStyle w:val="ListBullet"/>
        <w:spacing w:line="400" w:lineRule="exact" w:after="40"/>
      </w:pPr>
      <w:r>
        <w:rPr>
          <w:rFonts w:ascii="宋体" w:hAnsi="宋体" w:eastAsia="宋体"/>
          <w:sz w:val="21"/>
        </w:rPr>
        <w:t>新仓库创建完成，fork自鲜标智投代码</w:t>
      </w:r>
    </w:p>
    <w:p>
      <w:pPr>
        <w:pStyle w:val="ListBullet"/>
        <w:spacing w:line="400" w:lineRule="exact" w:after="40"/>
      </w:pPr>
      <w:r>
        <w:rPr>
          <w:rFonts w:ascii="宋体" w:hAnsi="宋体" w:eastAsia="宋体"/>
          <w:sz w:val="21"/>
        </w:rPr>
        <w:t>食材硬编码已标记或移除，不影响现有功能运行</w:t>
      </w:r>
    </w:p>
    <w:p>
      <w:pPr>
        <w:pStyle w:val="ListBullet"/>
        <w:spacing w:line="400" w:lineRule="exact" w:after="40"/>
      </w:pPr>
      <w:r>
        <w:rPr>
          <w:rFonts w:ascii="宋体" w:hAnsi="宋体" w:eastAsia="宋体"/>
          <w:sz w:val="21"/>
        </w:rPr>
        <w:t>标标关键服务文件已复制到staging目录</w:t>
      </w:r>
    </w:p>
    <w:p>
      <w:pPr>
        <w:pStyle w:val="ListBullet"/>
        <w:spacing w:line="400" w:lineRule="exact" w:after="40"/>
      </w:pPr>
      <w:r>
        <w:rPr>
          <w:rFonts w:ascii="宋体" w:hAnsi="宋体" w:eastAsia="宋体"/>
          <w:sz w:val="21"/>
        </w:rPr>
        <w:t>Docker环境一键启动成功，所有鲜标功能回归测试通过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3C6E"/>
          <w:sz w:val="36"/>
        </w:rPr>
        <w:t>三、Phase 1：引擎层移植（第2-3周）</w:t>
      </w:r>
    </w:p>
    <w:p>
      <w:pPr>
        <w:spacing w:line="440" w:lineRule="exact" w:after="80"/>
      </w:pPr>
      <w:r>
        <w:rPr>
          <w:rFonts w:ascii="宋体" w:hAnsi="宋体" w:eastAsia="宋体"/>
          <w:b/>
          <w:color w:val="2E75B6"/>
          <w:sz w:val="22"/>
        </w:rPr>
        <w:t>目标：把标标的AI生成质量引擎嫁接到鲜标骨架上</w:t>
      </w:r>
    </w:p>
    <w:p>
      <w:pPr>
        <w:pStyle w:val="Heading2"/>
      </w:pPr>
      <w:r>
        <w:rPr>
          <w:rFonts w:ascii="黑体" w:hAnsi="黑体" w:eastAsia="黑体"/>
          <w:color w:val="1A3C6E"/>
          <w:sz w:val="28"/>
        </w:rPr>
        <w:t>1.1 LLM路由层重构</w:t>
      </w:r>
    </w:p>
    <w:p>
      <w:pPr>
        <w:spacing w:line="440" w:lineRule="exact" w:after="80"/>
        <w:ind w:firstLine="420"/>
      </w:pPr>
      <w:r>
        <w:rPr>
          <w:rFonts w:ascii="宋体" w:hAnsi="宋体" w:eastAsia="宋体"/>
          <w:sz w:val="22"/>
        </w:rPr>
        <w:t>当前两个项目的LLM路由层设计思路相似但实现差异较大，需要合并为统一方案：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34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对比维度</w:t>
            </w:r>
          </w:p>
        </w:tc>
        <w:tc>
          <w:tcPr>
            <w:tcW w:type="dxa" w:w="1984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鲜标现状</w:t>
            </w:r>
          </w:p>
        </w:tc>
        <w:tc>
          <w:tcPr>
            <w:tcW w:type="dxa" w:w="1984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标标现状</w:t>
            </w:r>
          </w:p>
        </w:tc>
        <w:tc>
          <w:tcPr>
            <w:tcW w:type="dxa" w:w="2551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合并目标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架构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静态方法，返回config dict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单例，BaseLLMProvider抽象类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Provider抽象 + 单例</w:t>
            </w:r>
          </w:p>
        </w:tc>
      </w:tr>
      <w:tr>
        <w:tc>
          <w:tcPr>
            <w:tcW w:type="dxa" w:w="1134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供应商</w:t>
            </w:r>
          </w:p>
        </w:tc>
        <w:tc>
          <w:tcPr>
            <w:tcW w:type="dxa" w:w="1984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OpenAI/Gemini/DeepSeek/Qwen</w:t>
            </w:r>
          </w:p>
        </w:tc>
        <w:tc>
          <w:tcPr>
            <w:tcW w:type="dxa" w:w="1984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Gemini/OpenAI</w:t>
            </w:r>
          </w:p>
        </w:tc>
        <w:tc>
          <w:tcPr>
            <w:tcW w:type="dxa" w:w="2551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4家供应商全部保留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客户端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每次创建AsyncOpenAI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复用Provider实例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复用Provider实例</w:t>
            </w:r>
          </w:p>
        </w:tc>
      </w:tr>
      <w:tr>
        <w:tc>
          <w:tcPr>
            <w:tcW w:type="dxa" w:w="1134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调用方式</w:t>
            </w:r>
          </w:p>
        </w:tc>
        <w:tc>
          <w:tcPr>
            <w:tcW w:type="dxa" w:w="1984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cfg→手动创建client→调用</w:t>
            </w:r>
          </w:p>
        </w:tc>
        <w:tc>
          <w:tcPr>
            <w:tcW w:type="dxa" w:w="1984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selector.generate(task,...)</w:t>
            </w:r>
          </w:p>
        </w:tc>
        <w:tc>
          <w:tcPr>
            <w:tcW w:type="dxa" w:w="2551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selector.generate(task,...)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流式支持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手动处理SSE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selector.stream(task,...)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selector.stream(task,...)</w:t>
            </w:r>
          </w:p>
        </w:tc>
      </w:tr>
    </w:tbl>
    <w:p/>
    <w:p>
      <w:pPr>
        <w:spacing w:line="440" w:lineRule="exact" w:after="80"/>
      </w:pPr>
      <w:r>
        <w:rPr>
          <w:rFonts w:ascii="宋体" w:hAnsi="宋体" w:eastAsia="宋体"/>
          <w:b/>
          <w:sz w:val="22"/>
        </w:rPr>
        <w:t>需要新建/修改的文件：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18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文件路径</w:t>
            </w:r>
          </w:p>
        </w:tc>
        <w:tc>
          <w:tcPr>
            <w:tcW w:type="dxa" w:w="850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3969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backend/app/core/llm_selector.py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重写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20"/>
              </w:rPr>
              <w:t>引入标标的BaseLLMProvider抽象类，保留鲜标的4供应商配置</w:t>
            </w:r>
          </w:p>
        </w:tc>
      </w:tr>
      <w:tr>
        <w:tc>
          <w:tcPr>
            <w:tcW w:type="dxa" w:w="3118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backend/app/core/providers/__init__.py</w:t>
            </w:r>
          </w:p>
        </w:tc>
        <w:tc>
          <w:tcPr>
            <w:tcW w:type="dxa" w:w="850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新建</w:t>
            </w:r>
          </w:p>
        </w:tc>
        <w:tc>
          <w:tcPr>
            <w:tcW w:type="dxa" w:w="3969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Provider包初始化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backend/app/core/providers/gemini.py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新建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20"/>
              </w:rPr>
              <w:t>Gemini Provider实现</w:t>
            </w:r>
          </w:p>
        </w:tc>
      </w:tr>
      <w:tr>
        <w:tc>
          <w:tcPr>
            <w:tcW w:type="dxa" w:w="3118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backend/app/core/providers/openai_compat.py</w:t>
            </w:r>
          </w:p>
        </w:tc>
        <w:tc>
          <w:tcPr>
            <w:tcW w:type="dxa" w:w="850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新建</w:t>
            </w:r>
          </w:p>
        </w:tc>
        <w:tc>
          <w:tcPr>
            <w:tcW w:type="dxa" w:w="3969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OpenAI兼容Provider（覆盖OpenAI/DeepSeek/Qwen）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backend/llm_registry.yaml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合并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20"/>
              </w:rPr>
              <w:t>增加标标的polish/bid_extract/bid_outline/anti_rewrite等任务</w:t>
            </w:r>
          </w:p>
        </w:tc>
      </w:tr>
    </w:tbl>
    <w:p/>
    <w:p>
      <w:pPr>
        <w:spacing w:line="440" w:lineRule="exact" w:after="80"/>
      </w:pPr>
      <w:r>
        <w:rPr>
          <w:rFonts w:ascii="宋体" w:hAnsi="宋体" w:eastAsia="宋体"/>
          <w:b/>
          <w:sz w:val="22"/>
        </w:rPr>
        <w:t>改造前后对比：</w:t>
      </w:r>
    </w:p>
    <w:p>
      <w:pPr>
        <w:spacing w:line="400" w:lineRule="exact" w:after="120"/>
        <w:ind w:left="454"/>
        <w:pBdr>
          <w:left w:val="single" w:sz="12" w:color="2E75B6" w:space="8"/>
        </w:pBdr>
      </w:pPr>
      <w:r>
        <w:rPr>
          <w:rFonts w:ascii="宋体" w:hAnsi="宋体" w:eastAsia="宋体"/>
          <w:color w:val="333333"/>
          <w:sz w:val="21"/>
        </w:rPr>
        <w:t>改造前（鲜标）：</w:t>
        <w:br/>
        <w:t>cfg = LLMSelector.get_client_config("bid_section_generate")</w:t>
        <w:br/>
        <w:t>client = AsyncOpenAI(api_key=cfg["api_key"], base_url=cfg["base_url"])</w:t>
        <w:br/>
        <w:t>response = await client.chat.completions.create(...)</w:t>
        <w:br/>
        <w:br/>
        <w:t>改造后（统一）：</w:t>
        <w:br/>
        <w:t>selector = LLMSelector.instance()</w:t>
        <w:br/>
        <w:t>response = await selector.generate("bid_section_generate", system_prompt, user_prompt)</w:t>
        <w:br/>
        <w:t># 或流式</w:t>
        <w:br/>
        <w:t>async for chunk in selector.stream("bid_section_generate", system_prompt, user_prompt):</w:t>
        <w:br/>
        <w:t xml:space="preserve">    yield chunk</w:t>
      </w:r>
    </w:p>
    <w:p>
      <w:pPr>
        <w:pStyle w:val="Heading2"/>
      </w:pPr>
      <w:r>
        <w:rPr>
          <w:rFonts w:ascii="黑体" w:hAnsi="黑体" w:eastAsia="黑体"/>
          <w:color w:val="1A3C6E"/>
          <w:sz w:val="28"/>
        </w:rPr>
        <w:t>1.2 移植7节点生成流水线</w:t>
      </w:r>
    </w:p>
    <w:p>
      <w:pPr>
        <w:spacing w:line="440" w:lineRule="exact" w:after="80"/>
        <w:ind w:firstLine="420"/>
      </w:pPr>
      <w:r>
        <w:rPr>
          <w:rFonts w:ascii="宋体" w:hAnsi="宋体" w:eastAsia="宋体"/>
          <w:b/>
          <w:sz w:val="22"/>
        </w:rPr>
        <w:t>这是Phase 1最关键的改造。将标标的generate_service.py（541行）适配到鲜标的数据模型上。</w:t>
      </w:r>
    </w:p>
    <w:p>
      <w:pPr>
        <w:spacing w:line="440" w:lineRule="exact" w:after="80"/>
      </w:pPr>
      <w:r>
        <w:rPr>
          <w:rFonts w:ascii="宋体" w:hAnsi="宋体" w:eastAsia="宋体"/>
          <w:b/>
          <w:sz w:val="22"/>
        </w:rPr>
        <w:t>适配后流程设计：</w:t>
      </w:r>
    </w:p>
    <w:p>
      <w:pPr>
        <w:spacing w:line="400" w:lineRule="exact" w:after="120"/>
        <w:ind w:left="454"/>
        <w:pBdr>
          <w:left w:val="single" w:sz="12" w:color="2E75B6" w:space="8"/>
        </w:pBdr>
      </w:pPr>
      <w:r>
        <w:rPr>
          <w:rFonts w:ascii="宋体" w:hAnsi="宋体" w:eastAsia="宋体"/>
          <w:color w:val="333333"/>
          <w:sz w:val="21"/>
        </w:rPr>
        <w:t>输入：BidProject + BidChapter + TenderRequirement + Enterprise + Credential + ImageAsset （全部使用鲜标数据模型）</w:t>
        <w:br/>
        <w:br/>
        <w:t>Node 1: Planner → 生成章节大纲 + 知识检索查询词</w:t>
        <w:br/>
        <w:t>Node 2: Retriever → RAG三层检索（StdClause + ChapterSnippet + BidCase，鲜标知识库）</w:t>
        <w:br/>
        <w:t>Node 3: Writer → 结合企业画像+RAG结果+评分要求生成草稿</w:t>
        <w:br/>
        <w:t>Node 4: ComplianceGate → 格式规则(L1) + LLM语义(L2) + 废标检测(L3)</w:t>
        <w:br/>
        <w:t xml:space="preserve">  → critical: 回到Node 3（最多3轮）</w:t>
        <w:br/>
        <w:t xml:space="preserve">  → passed: 继续</w:t>
        <w:br/>
        <w:t>Node 5: PolishPipeline → 术语→文风→逻辑→专业→亮点（3-5轮）</w:t>
        <w:br/>
        <w:t>Node 6: Reviewer → 评分点覆盖校验（对照TenderRequirement.max_score）</w:t>
        <w:br/>
        <w:t xml:space="preserve">  → failed: 回到Node 3</w:t>
        <w:br/>
        <w:t xml:space="preserve">  → passed: 继续</w:t>
        <w:br/>
        <w:t>Node 7: Formatter → 输出到BidChapter.content + SSE流式推送</w:t>
      </w:r>
    </w:p>
    <w:p>
      <w:pPr>
        <w:spacing w:line="440" w:lineRule="exact" w:after="80"/>
      </w:pPr>
      <w:r>
        <w:rPr>
          <w:rFonts w:ascii="宋体" w:hAnsi="宋体" w:eastAsia="宋体"/>
          <w:b/>
          <w:sz w:val="22"/>
        </w:rPr>
        <w:t>需要新建的文件：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文件路径</w:t>
            </w:r>
          </w:p>
        </w:tc>
        <w:tc>
          <w:tcPr>
            <w:tcW w:type="dxa" w:w="1134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850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3402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适配要点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backend/app/services/generation/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新建目录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7节点流水线独立模块</w:t>
            </w:r>
          </w:p>
        </w:tc>
      </w:tr>
      <w:tr>
        <w:tc>
          <w:tcPr>
            <w:tcW w:type="dxa" w:w="2268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├── planner.py</w:t>
            </w:r>
          </w:p>
        </w:tc>
        <w:tc>
          <w:tcPr>
            <w:tcW w:type="dxa" w:w="1134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新建</w:t>
            </w:r>
          </w:p>
        </w:tc>
        <w:tc>
          <w:tcPr>
            <w:tcW w:type="dxa" w:w="850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标标</w:t>
            </w:r>
          </w:p>
        </w:tc>
        <w:tc>
          <w:tcPr>
            <w:tcW w:type="dxa" w:w="3402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Node 1：大纲规划，JSON结构化输出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├── retriever.py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新建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标标+鲜标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Node 2：复用鲜标的embedding_service</w:t>
            </w:r>
          </w:p>
        </w:tc>
      </w:tr>
      <w:tr>
        <w:tc>
          <w:tcPr>
            <w:tcW w:type="dxa" w:w="2268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├── writer.py</w:t>
            </w:r>
          </w:p>
        </w:tc>
        <w:tc>
          <w:tcPr>
            <w:tcW w:type="dxa" w:w="1134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新建</w:t>
            </w:r>
          </w:p>
        </w:tc>
        <w:tc>
          <w:tcPr>
            <w:tcW w:type="dxa" w:w="850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合并</w:t>
            </w:r>
          </w:p>
        </w:tc>
        <w:tc>
          <w:tcPr>
            <w:tcW w:type="dxa" w:w="3402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Node 3：合并两者Prompt，注入企业画像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├── compliance_gate.py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新建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标标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Node 4：对接鲜标的TenderRequirement</w:t>
            </w:r>
          </w:p>
        </w:tc>
      </w:tr>
      <w:tr>
        <w:tc>
          <w:tcPr>
            <w:tcW w:type="dxa" w:w="2268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├── polish_pipeline.py</w:t>
            </w:r>
          </w:p>
        </w:tc>
        <w:tc>
          <w:tcPr>
            <w:tcW w:type="dxa" w:w="1134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新建</w:t>
            </w:r>
          </w:p>
        </w:tc>
        <w:tc>
          <w:tcPr>
            <w:tcW w:type="dxa" w:w="850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标标</w:t>
            </w:r>
          </w:p>
        </w:tc>
        <w:tc>
          <w:tcPr>
            <w:tcW w:type="dxa" w:w="3402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Node 5：术语库改为从插件加载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├── reviewer.py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新建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标标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Node 6：对接鲜标的max_score字段</w:t>
            </w:r>
          </w:p>
        </w:tc>
      </w:tr>
      <w:tr>
        <w:tc>
          <w:tcPr>
            <w:tcW w:type="dxa" w:w="2268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└── formatter.py</w:t>
            </w:r>
          </w:p>
        </w:tc>
        <w:tc>
          <w:tcPr>
            <w:tcW w:type="dxa" w:w="1134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新建</w:t>
            </w:r>
          </w:p>
        </w:tc>
        <w:tc>
          <w:tcPr>
            <w:tcW w:type="dxa" w:w="850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标标</w:t>
            </w:r>
          </w:p>
        </w:tc>
        <w:tc>
          <w:tcPr>
            <w:tcW w:type="dxa" w:w="3402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Node 7：输出到BidChapter.content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bid_generation_service.py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重写核心方法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合并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替换generate_single_chapter()为7节点</w:t>
            </w:r>
          </w:p>
        </w:tc>
      </w:tr>
      <w:tr>
        <w:tc>
          <w:tcPr>
            <w:tcW w:type="dxa" w:w="2268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bid_critic_service.py</w:t>
            </w:r>
          </w:p>
        </w:tc>
        <w:tc>
          <w:tcPr>
            <w:tcW w:type="dxa" w:w="1134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保留</w:t>
            </w:r>
          </w:p>
        </w:tc>
        <w:tc>
          <w:tcPr>
            <w:tcW w:type="dxa" w:w="850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鲜标</w:t>
            </w:r>
          </w:p>
        </w:tc>
        <w:tc>
          <w:tcPr>
            <w:tcW w:type="dxa" w:w="3402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作为Node 4的补充校验层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1A3C6E"/>
          <w:sz w:val="28"/>
        </w:rPr>
        <w:t>1.3 移植反AI检测引擎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02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文件路径</w:t>
            </w:r>
          </w:p>
        </w:tc>
        <w:tc>
          <w:tcPr>
            <w:tcW w:type="dxa" w:w="850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3685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backend/app/services/anti_review_service.py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新建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20"/>
              </w:rPr>
              <w:t>从标标移植L1统计特征+L2 N-gram基线检测</w:t>
            </w:r>
          </w:p>
        </w:tc>
      </w:tr>
      <w:tr>
        <w:tc>
          <w:tcPr>
            <w:tcW w:type="dxa" w:w="3402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backend/app/api/v1/anti_review.py</w:t>
            </w:r>
          </w:p>
        </w:tc>
        <w:tc>
          <w:tcPr>
            <w:tcW w:type="dxa" w:w="850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新建</w:t>
            </w:r>
          </w:p>
        </w:tc>
        <w:tc>
          <w:tcPr>
            <w:tcW w:type="dxa" w:w="3685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POST /anti-review/check + POST /anti-review/batch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frontend/src/app/dashboard/anti-review/page.tsx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新建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20"/>
              </w:rPr>
              <w:t>AI检测页面UI</w:t>
            </w:r>
          </w:p>
        </w:tc>
      </w:tr>
    </w:tbl>
    <w:p/>
    <w:p>
      <w:pPr>
        <w:spacing w:line="440" w:lineRule="exact" w:after="80"/>
      </w:pPr>
      <w:r>
        <w:rPr>
          <w:rFonts w:ascii="宋体" w:hAnsi="宋体" w:eastAsia="宋体"/>
          <w:b/>
          <w:sz w:val="22"/>
        </w:rPr>
        <w:t>核心算法移植要点：</w:t>
      </w:r>
    </w:p>
    <w:p>
      <w:pPr>
        <w:pStyle w:val="ListBullet"/>
        <w:spacing w:line="400" w:lineRule="exact" w:after="40"/>
      </w:pPr>
      <w:r>
        <w:rPr>
          <w:rFonts w:ascii="宋体" w:hAnsi="宋体" w:eastAsia="宋体"/>
          <w:sz w:val="21"/>
        </w:rPr>
        <w:t>L1统计特征（权重60%）：句长方差、词汇丰富度TTR、连接词密度、重复率</w:t>
      </w:r>
    </w:p>
    <w:p>
      <w:pPr>
        <w:pStyle w:val="ListBullet"/>
        <w:spacing w:line="400" w:lineRule="exact" w:after="40"/>
      </w:pPr>
      <w:r>
        <w:rPr>
          <w:rFonts w:ascii="宋体" w:hAnsi="宋体" w:eastAsia="宋体"/>
          <w:sz w:val="21"/>
        </w:rPr>
        <w:t>L2 N-gram基线（权重40%）：从鲜标知识库中采样人工撰写文本作为基线</w:t>
      </w:r>
    </w:p>
    <w:p>
      <w:pPr>
        <w:pStyle w:val="ListBullet"/>
        <w:spacing w:line="400" w:lineRule="exact" w:after="40"/>
      </w:pPr>
      <w:r>
        <w:rPr>
          <w:rFonts w:ascii="宋体" w:hAnsi="宋体" w:eastAsia="宋体"/>
          <w:sz w:val="21"/>
        </w:rPr>
        <w:t>风险等级：&lt;20低风险 / 20-40中 / 40-60高 / ≥60极高</w:t>
      </w:r>
    </w:p>
    <w:p>
      <w:pPr>
        <w:pStyle w:val="ListBullet"/>
        <w:spacing w:line="400" w:lineRule="exact" w:after="40"/>
      </w:pPr>
      <w:r>
        <w:rPr>
          <w:rFonts w:ascii="宋体" w:hAnsi="宋体" w:eastAsia="宋体"/>
          <w:sz w:val="21"/>
        </w:rPr>
        <w:t>自动生成改进建议：混合长短句、复用领域术语、用编号替代连接词等</w:t>
      </w:r>
    </w:p>
    <w:p>
      <w:pPr>
        <w:pStyle w:val="Heading2"/>
      </w:pPr>
      <w:r>
        <w:rPr>
          <w:rFonts w:ascii="黑体" w:hAnsi="黑体" w:eastAsia="黑体"/>
          <w:color w:val="1A3C6E"/>
          <w:sz w:val="28"/>
        </w:rPr>
        <w:t>1.4 移植数据脱敏系统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18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文件路径</w:t>
            </w:r>
          </w:p>
        </w:tc>
        <w:tc>
          <w:tcPr>
            <w:tcW w:type="dxa" w:w="850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3969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backend/app/services/desensitize_service.py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新建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20"/>
              </w:rPr>
              <w:t>Regex+NER双引擎，mask/unmask round-trip</w:t>
            </w:r>
          </w:p>
        </w:tc>
      </w:tr>
      <w:tr>
        <w:tc>
          <w:tcPr>
            <w:tcW w:type="dxa" w:w="3118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backend/app/models/desensitize_dict.py</w:t>
            </w:r>
          </w:p>
        </w:tc>
        <w:tc>
          <w:tcPr>
            <w:tcW w:type="dxa" w:w="850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新建</w:t>
            </w:r>
          </w:p>
        </w:tc>
        <w:tc>
          <w:tcPr>
            <w:tcW w:type="dxa" w:w="3969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脱敏映射表（original↔placeholder per tenant）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7节点流水线中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集成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20"/>
              </w:rPr>
              <w:t>Writer节点调用前mask()，返回后unmask()</w:t>
            </w:r>
          </w:p>
        </w:tc>
      </w:tr>
    </w:tbl>
    <w:p/>
    <w:p>
      <w:pPr>
        <w:spacing w:line="440" w:lineRule="exact" w:after="80"/>
      </w:pPr>
      <w:r>
        <w:rPr>
          <w:rFonts w:ascii="宋体" w:hAnsi="宋体" w:eastAsia="宋体"/>
          <w:b/>
          <w:color w:val="27AE60"/>
          <w:sz w:val="22"/>
        </w:rPr>
        <w:t>Phase 1验收标准：</w:t>
      </w:r>
    </w:p>
    <w:p>
      <w:pPr>
        <w:pStyle w:val="ListBullet"/>
        <w:spacing w:line="400" w:lineRule="exact" w:after="40"/>
      </w:pPr>
      <w:r>
        <w:rPr>
          <w:rFonts w:ascii="宋体" w:hAnsi="宋体" w:eastAsia="宋体"/>
          <w:sz w:val="21"/>
        </w:rPr>
        <w:t>用鲜标的食材配送测试数据，走通7节点流水线生成一个完整章节</w:t>
      </w:r>
    </w:p>
    <w:p>
      <w:pPr>
        <w:pStyle w:val="ListBullet"/>
        <w:spacing w:line="400" w:lineRule="exact" w:after="40"/>
      </w:pPr>
      <w:r>
        <w:rPr>
          <w:rFonts w:ascii="宋体" w:hAnsi="宋体" w:eastAsia="宋体"/>
          <w:sz w:val="21"/>
        </w:rPr>
        <w:t>生成内容经过合规校验 + 润色 + 评分覆盖检查</w:t>
      </w:r>
    </w:p>
    <w:p>
      <w:pPr>
        <w:pStyle w:val="ListBullet"/>
        <w:spacing w:line="400" w:lineRule="exact" w:after="40"/>
      </w:pPr>
      <w:r>
        <w:rPr>
          <w:rFonts w:ascii="宋体" w:hAnsi="宋体" w:eastAsia="宋体"/>
          <w:sz w:val="21"/>
        </w:rPr>
        <w:t>反AI检测引擎可对生成内容输出风险评分</w:t>
      </w:r>
    </w:p>
    <w:p>
      <w:pPr>
        <w:pStyle w:val="ListBullet"/>
        <w:spacing w:line="400" w:lineRule="exact" w:after="40"/>
      </w:pPr>
      <w:r>
        <w:rPr>
          <w:rFonts w:ascii="宋体" w:hAnsi="宋体" w:eastAsia="宋体"/>
          <w:sz w:val="21"/>
        </w:rPr>
        <w:t>敏感数据（企业名、金额等）在LLM调用时被正确掩码</w:t>
      </w:r>
    </w:p>
    <w:p>
      <w:pPr>
        <w:pStyle w:val="ListBullet"/>
        <w:spacing w:line="400" w:lineRule="exact" w:after="40"/>
      </w:pPr>
      <w:r>
        <w:rPr>
          <w:rFonts w:ascii="宋体" w:hAnsi="宋体" w:eastAsia="宋体"/>
          <w:sz w:val="21"/>
        </w:rPr>
        <w:t>SSE流式输出正常工作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3C6E"/>
          <w:sz w:val="36"/>
        </w:rPr>
        <w:t>四、Phase 2：行业插件化抽象（第4-5周）</w:t>
      </w:r>
    </w:p>
    <w:p>
      <w:pPr>
        <w:spacing w:line="440" w:lineRule="exact" w:after="80"/>
      </w:pPr>
      <w:r>
        <w:rPr>
          <w:rFonts w:ascii="宋体" w:hAnsi="宋体" w:eastAsia="宋体"/>
          <w:b/>
          <w:color w:val="2E75B6"/>
          <w:sz w:val="22"/>
        </w:rPr>
        <w:t>目标：将行业特定逻辑从硬编码变为可配置插件</w:t>
      </w:r>
    </w:p>
    <w:p>
      <w:pPr>
        <w:pStyle w:val="Heading2"/>
      </w:pPr>
      <w:r>
        <w:rPr>
          <w:rFonts w:ascii="黑体" w:hAnsi="黑体" w:eastAsia="黑体"/>
          <w:color w:val="1A3C6E"/>
          <w:sz w:val="28"/>
        </w:rPr>
        <w:t>2.1 定义行业插件接口</w:t>
      </w:r>
    </w:p>
    <w:p>
      <w:pPr>
        <w:spacing w:line="440" w:lineRule="exact" w:after="80"/>
        <w:ind w:firstLine="420"/>
      </w:pPr>
      <w:r>
        <w:rPr>
          <w:rFonts w:ascii="宋体" w:hAnsi="宋体" w:eastAsia="宋体"/>
          <w:sz w:val="22"/>
        </w:rPr>
        <w:t>所有行业特定逻辑通过统一的IndustryPlugin抽象基类封装：</w:t>
      </w:r>
    </w:p>
    <w:p>
      <w:pPr>
        <w:spacing w:line="400" w:lineRule="exact" w:after="120"/>
        <w:ind w:left="454"/>
        <w:pBdr>
          <w:left w:val="single" w:sz="12" w:color="2E75B6" w:space="8"/>
        </w:pBdr>
      </w:pPr>
      <w:r>
        <w:rPr>
          <w:rFonts w:ascii="宋体" w:hAnsi="宋体" w:eastAsia="宋体"/>
          <w:color w:val="333333"/>
          <w:sz w:val="21"/>
        </w:rPr>
        <w:t>class IndustryPlugin(ABC):</w:t>
        <w:br/>
        <w:t xml:space="preserve">    """行业插件基类 — 所有行业特定逻辑的抽象"""</w:t>
        <w:br/>
        <w:br/>
        <w:t xml:space="preserve">    @property</w:t>
        <w:br/>
        <w:t xml:space="preserve">    @abstractmethod</w:t>
        <w:br/>
        <w:t xml:space="preserve">    def industry_code(self) -&gt; str: ...          # "fresh_food" / "construction"</w:t>
        <w:br/>
        <w:br/>
        <w:t xml:space="preserve">    @property</w:t>
        <w:br/>
        <w:t xml:space="preserve">    @abstractmethod</w:t>
        <w:br/>
        <w:t xml:space="preserve">    def industry_name(self) -&gt; str: ...          # "生鲜食材配送" / "建筑工程"</w:t>
        <w:br/>
        <w:br/>
        <w:t xml:space="preserve">    @abstractmethod</w:t>
        <w:br/>
        <w:t xml:space="preserve">    def get_chapter_templates(self, customer_type: str) -&gt; list[ChapterTemplate]: ...</w:t>
        <w:br/>
        <w:br/>
        <w:t xml:space="preserve">    @abstractmethod</w:t>
        <w:br/>
        <w:t xml:space="preserve">    def get_customer_types(self) -&gt; list[CustomerTypeDef]: ...</w:t>
        <w:br/>
        <w:br/>
        <w:t xml:space="preserve">    @abstractmethod</w:t>
        <w:br/>
        <w:t xml:space="preserve">    def get_compliance_rules(self) -&gt; list[ComplianceRule]: ...</w:t>
        <w:br/>
        <w:br/>
        <w:t xml:space="preserve">    @abstractmethod</w:t>
        <w:br/>
        <w:t xml:space="preserve">    def get_industry_keywords(self) -&gt; dict: ...</w:t>
        <w:br/>
        <w:br/>
        <w:t xml:space="preserve">    @abstractmethod</w:t>
        <w:br/>
        <w:t xml:space="preserve">    def get_quotation_engine(self) -&gt; QuotationEngine | None: ...</w:t>
        <w:br/>
        <w:br/>
        <w:t xml:space="preserve">    @abstractmethod</w:t>
        <w:br/>
        <w:t xml:space="preserve">    def get_enterprise_fields(self) -&gt; list[FieldDef]: ...</w:t>
        <w:br/>
        <w:br/>
        <w:t xml:space="preserve">    @abstractmethod</w:t>
        <w:br/>
        <w:t xml:space="preserve">    def get_credential_types(self) -&gt; list[CredentialTypeDef]: ...</w:t>
        <w:br/>
        <w:br/>
        <w:t xml:space="preserve">    @abstractmethod</w:t>
        <w:br/>
        <w:t xml:space="preserve">    def get_domain_prompts(self) -&gt; dict[str, str]: ...</w:t>
      </w:r>
    </w:p>
    <w:p>
      <w:pPr>
        <w:pStyle w:val="Heading2"/>
      </w:pPr>
      <w:r>
        <w:rPr>
          <w:rFonts w:ascii="黑体" w:hAnsi="黑体" w:eastAsia="黑体"/>
          <w:color w:val="1A3C6E"/>
          <w:sz w:val="28"/>
        </w:rPr>
        <w:t>2.2 实现两个行业插件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18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文件路径</w:t>
            </w:r>
          </w:p>
        </w:tc>
        <w:tc>
          <w:tcPr>
            <w:tcW w:type="dxa" w:w="850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3969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backend/app/plugins/fresh_food/plugin.py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鲜标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20"/>
              </w:rPr>
              <w:t>FreshFoodPlugin(IndustryPlugin)</w:t>
            </w:r>
          </w:p>
        </w:tc>
      </w:tr>
      <w:tr>
        <w:tc>
          <w:tcPr>
            <w:tcW w:type="dxa" w:w="3118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├── chapter_templates.json</w:t>
            </w:r>
          </w:p>
        </w:tc>
        <w:tc>
          <w:tcPr>
            <w:tcW w:type="dxa" w:w="850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鲜标</w:t>
            </w:r>
          </w:p>
        </w:tc>
        <w:tc>
          <w:tcPr>
            <w:tcW w:type="dxa" w:w="3969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9章模板（from bid_chapter_engine.py）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├── quotation_engine.py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鲜标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20"/>
              </w:rPr>
              <w:t>6品类报价引擎（from bid_quotation_service.py）</w:t>
            </w:r>
          </w:p>
        </w:tc>
      </w:tr>
      <w:tr>
        <w:tc>
          <w:tcPr>
            <w:tcW w:type="dxa" w:w="3118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├── compliance_rules.yaml</w:t>
            </w:r>
          </w:p>
        </w:tc>
        <w:tc>
          <w:tcPr>
            <w:tcW w:type="dxa" w:w="850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鲜标</w:t>
            </w:r>
          </w:p>
        </w:tc>
        <w:tc>
          <w:tcPr>
            <w:tcW w:type="dxa" w:w="3969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食品安全合规规则（废标项/资质/技术/商务）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├── keywords.json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鲜标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20"/>
              </w:rPr>
              <w:t>食材配送领域关键词</w:t>
            </w:r>
          </w:p>
        </w:tc>
      </w:tr>
      <w:tr>
        <w:tc>
          <w:tcPr>
            <w:tcW w:type="dxa" w:w="3118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└── prompts.yaml</w:t>
            </w:r>
          </w:p>
        </w:tc>
        <w:tc>
          <w:tcPr>
            <w:tcW w:type="dxa" w:w="850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鲜标</w:t>
            </w:r>
          </w:p>
        </w:tc>
        <w:tc>
          <w:tcPr>
            <w:tcW w:type="dxa" w:w="3969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冷链/配送/食品安全等领域Prompt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backend/app/plugins/construction/plugin.py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标标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20"/>
              </w:rPr>
              <w:t>ConstructionPlugin(IndustryPlugin)</w:t>
            </w:r>
          </w:p>
        </w:tc>
      </w:tr>
      <w:tr>
        <w:tc>
          <w:tcPr>
            <w:tcW w:type="dxa" w:w="3118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├── chapter_templates.json</w:t>
            </w:r>
          </w:p>
        </w:tc>
        <w:tc>
          <w:tcPr>
            <w:tcW w:type="dxa" w:w="850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标标</w:t>
            </w:r>
          </w:p>
        </w:tc>
        <w:tc>
          <w:tcPr>
            <w:tcW w:type="dxa" w:w="3969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评分驱动模板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├── craft_tree.json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标标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20"/>
              </w:rPr>
              <w:t>工艺知识树（from seed data）</w:t>
            </w:r>
          </w:p>
        </w:tc>
      </w:tr>
      <w:tr>
        <w:tc>
          <w:tcPr>
            <w:tcW w:type="dxa" w:w="3118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├── compliance_rules.yaml</w:t>
            </w:r>
          </w:p>
        </w:tc>
        <w:tc>
          <w:tcPr>
            <w:tcW w:type="dxa" w:w="850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标标</w:t>
            </w:r>
          </w:p>
        </w:tc>
        <w:tc>
          <w:tcPr>
            <w:tcW w:type="dxa" w:w="3969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建筑工程合规规则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├── keywords.json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标标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20"/>
              </w:rPr>
              <w:t>industry_keywords.json（6工程类型）</w:t>
            </w:r>
          </w:p>
        </w:tc>
      </w:tr>
      <w:tr>
        <w:tc>
          <w:tcPr>
            <w:tcW w:type="dxa" w:w="3118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└── prompts.yaml</w:t>
            </w:r>
          </w:p>
        </w:tc>
        <w:tc>
          <w:tcPr>
            <w:tcW w:type="dxa" w:w="850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标标</w:t>
            </w:r>
          </w:p>
        </w:tc>
        <w:tc>
          <w:tcPr>
            <w:tcW w:type="dxa" w:w="3969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施工组织/质量管理等Prompt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1A3C6E"/>
          <w:sz w:val="28"/>
        </w:rPr>
        <w:t>2.3 改造核心服务使用插件</w:t>
      </w:r>
    </w:p>
    <w:p>
      <w:pPr>
        <w:spacing w:line="440" w:lineRule="exact" w:after="80"/>
        <w:ind w:firstLine="420"/>
      </w:pPr>
      <w:r>
        <w:rPr>
          <w:rFonts w:ascii="宋体" w:hAnsi="宋体" w:eastAsia="宋体"/>
          <w:sz w:val="22"/>
        </w:rPr>
        <w:t>核心改造思路：将所有硬编码的行业逻辑替换为插件接口调用。</w:t>
      </w:r>
    </w:p>
    <w:p>
      <w:pPr>
        <w:spacing w:line="400" w:lineRule="exact" w:after="120"/>
        <w:ind w:left="454"/>
        <w:pBdr>
          <w:left w:val="single" w:sz="12" w:color="2E75B6" w:space="8"/>
        </w:pBdr>
      </w:pPr>
      <w:r>
        <w:rPr>
          <w:rFonts w:ascii="宋体" w:hAnsi="宋体" w:eastAsia="宋体"/>
          <w:color w:val="333333"/>
          <w:sz w:val="21"/>
        </w:rPr>
        <w:t># 改造前（硬编码食材配送）</w:t>
        <w:br/>
        <w:t>class BidGenerationService:</w:t>
        <w:br/>
        <w:t xml:space="preserve">    def _get_domain_requirements(self, chapter_title):</w:t>
        <w:br/>
        <w:t xml:space="preserve">        if "冷链" in chapter_title:</w:t>
        <w:br/>
        <w:t xml:space="preserve">            return "冷链运输温度控制在2-8℃..."</w:t>
        <w:br/>
        <w:br/>
        <w:t># 改造后（插件化）</w:t>
        <w:br/>
        <w:t>class BidGenerationService:</w:t>
        <w:br/>
        <w:t xml:space="preserve">    def __init__(self, session, industry_plugin: IndustryPlugin):</w:t>
        <w:br/>
        <w:t xml:space="preserve">        self.plugin = industry_plugin</w:t>
        <w:br/>
        <w:br/>
        <w:t xml:space="preserve">    def _get_domain_requirements(self, chapter_title):</w:t>
        <w:br/>
        <w:t xml:space="preserve">        return self.plugin.get_domain_prompts().get(chapter_title, "")</w:t>
      </w:r>
    </w:p>
    <w:p>
      <w:pPr>
        <w:spacing w:line="440" w:lineRule="exact" w:after="80"/>
      </w:pPr>
      <w:r>
        <w:rPr>
          <w:rFonts w:ascii="宋体" w:hAnsi="宋体" w:eastAsia="宋体"/>
          <w:b/>
          <w:sz w:val="22"/>
        </w:rPr>
        <w:t>需要改造的核心服务清单：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51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服务文件</w:t>
            </w:r>
          </w:p>
        </w:tc>
        <w:tc>
          <w:tcPr>
            <w:tcW w:type="dxa" w:w="5386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改造点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bid_generation_service.py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sz w:val="20"/>
              </w:rPr>
              <w:t>章节模板、领域Prompt、RAG检索过滤均从插件加载</w:t>
            </w:r>
          </w:p>
        </w:tc>
      </w:tr>
      <w:tr>
        <w:tc>
          <w:tcPr>
            <w:tcW w:type="dxa" w:w="2551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bid_compliance_service.py</w:t>
            </w:r>
          </w:p>
        </w:tc>
        <w:tc>
          <w:tcPr>
            <w:tcW w:type="dxa" w:w="5386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合规规则来源从插件加载（废标项/资质要求/技术标准）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bid_quotation_service.py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sz w:val="20"/>
              </w:rPr>
              <w:t>报价引擎由插件提供（食材有报价，建筑用工程量清单）</w:t>
            </w:r>
          </w:p>
        </w:tc>
      </w:tr>
      <w:tr>
        <w:tc>
          <w:tcPr>
            <w:tcW w:type="dxa" w:w="2551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bid_chapter_engine.py</w:t>
            </w:r>
          </w:p>
        </w:tc>
        <w:tc>
          <w:tcPr>
            <w:tcW w:type="dxa" w:w="5386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章节结构由插件定义（固定9章 vs 评分驱动动态目录）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capability_graph_service.py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sz w:val="20"/>
              </w:rPr>
              <w:t>企业能力维度由插件定义（冷链资产 vs 施工资质）</w:t>
            </w:r>
          </w:p>
        </w:tc>
      </w:tr>
      <w:tr>
        <w:tc>
          <w:tcPr>
            <w:tcW w:type="dxa" w:w="2551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tender_aggregator_service.py</w:t>
            </w:r>
          </w:p>
        </w:tc>
        <w:tc>
          <w:tcPr>
            <w:tcW w:type="dxa" w:w="5386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关键词过滤由插件提供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bid_doc_exporter.py</w:t>
            </w:r>
          </w:p>
        </w:tc>
        <w:tc>
          <w:tcPr>
            <w:tcW w:type="dxa" w:w="5386"/>
          </w:tcPr>
          <w:p>
            <w:r/>
            <w:r>
              <w:rPr>
                <w:rFonts w:ascii="宋体" w:hAnsi="宋体" w:eastAsia="宋体"/>
                <w:sz w:val="20"/>
              </w:rPr>
              <w:t>文档格式由插件可选定制（中文编号格式等）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1A3C6E"/>
          <w:sz w:val="28"/>
        </w:rPr>
        <w:t>2.4 数据库适配</w:t>
      </w:r>
    </w:p>
    <w:p>
      <w:pPr>
        <w:spacing w:line="440" w:lineRule="exact" w:after="80"/>
        <w:ind w:firstLine="420"/>
      </w:pPr>
      <w:r>
        <w:rPr>
          <w:rFonts w:ascii="宋体" w:hAnsi="宋体" w:eastAsia="宋体"/>
          <w:sz w:val="22"/>
        </w:rPr>
        <w:t>为支持多行业，需要对数据库做最小化改动：</w:t>
      </w:r>
    </w:p>
    <w:p>
      <w:pPr>
        <w:spacing w:line="400" w:lineRule="exact" w:after="120"/>
        <w:ind w:left="454"/>
        <w:pBdr>
          <w:left w:val="single" w:sz="12" w:color="2E75B6" w:space="8"/>
        </w:pBdr>
      </w:pPr>
      <w:r>
        <w:rPr>
          <w:rFonts w:ascii="宋体" w:hAnsi="宋体" w:eastAsia="宋体"/>
          <w:color w:val="333333"/>
          <w:sz w:val="21"/>
        </w:rPr>
        <w:t>-- bid_project表增加行业字段</w:t>
        <w:br/>
        <w:t>ALTER TABLE bid_project ADD COLUMN industry_code VARCHAR(50) DEFAULT 'fresh_food';</w:t>
        <w:br/>
        <w:br/>
        <w:t>-- enterprise表拆分行业特定字段到JSONB</w:t>
        <w:br/>
        <w:t>ALTER TABLE enterprise ADD COLUMN industry_data JSONB DEFAULT '{}';</w:t>
        <w:br/>
        <w:t>-- 食材: {"cold_chain_vehicles": 5, "warehouse_area": 200, "cold_storage_temp": "2-8℃"}</w:t>
        <w:br/>
        <w:t>-- 建筑: {"safety_permit": "xxx", "qualification_level": "一级", "registered_capital": 5000}</w:t>
      </w:r>
    </w:p>
    <w:p>
      <w:pPr>
        <w:spacing w:line="440" w:lineRule="exact" w:after="80"/>
      </w:pPr>
      <w:r>
        <w:rPr>
          <w:rFonts w:ascii="宋体" w:hAnsi="宋体" w:eastAsia="宋体"/>
          <w:b/>
          <w:color w:val="27AE60"/>
          <w:sz w:val="22"/>
        </w:rPr>
        <w:t>Phase 2验收标准：</w:t>
      </w:r>
    </w:p>
    <w:p>
      <w:pPr>
        <w:pStyle w:val="ListBullet"/>
        <w:spacing w:line="400" w:lineRule="exact" w:after="40"/>
      </w:pPr>
      <w:r>
        <w:rPr>
          <w:rFonts w:ascii="宋体" w:hAnsi="宋体" w:eastAsia="宋体"/>
          <w:sz w:val="21"/>
        </w:rPr>
        <w:t>同一套代码，切换industry_code=fresh_food生成食材配送投标书</w:t>
      </w:r>
    </w:p>
    <w:p>
      <w:pPr>
        <w:pStyle w:val="ListBullet"/>
        <w:spacing w:line="400" w:lineRule="exact" w:after="40"/>
      </w:pPr>
      <w:r>
        <w:rPr>
          <w:rFonts w:ascii="宋体" w:hAnsi="宋体" w:eastAsia="宋体"/>
          <w:sz w:val="21"/>
        </w:rPr>
        <w:t>切换industry_code=construction生成建筑工程投标书</w:t>
      </w:r>
    </w:p>
    <w:p>
      <w:pPr>
        <w:pStyle w:val="ListBullet"/>
        <w:spacing w:line="400" w:lineRule="exact" w:after="40"/>
      </w:pPr>
      <w:r>
        <w:rPr>
          <w:rFonts w:ascii="宋体" w:hAnsi="宋体" w:eastAsia="宋体"/>
          <w:sz w:val="21"/>
        </w:rPr>
        <w:t>两个行业的合规检查规则不同，各自正确运行</w:t>
      </w:r>
    </w:p>
    <w:p>
      <w:pPr>
        <w:pStyle w:val="ListBullet"/>
        <w:spacing w:line="400" w:lineRule="exact" w:after="40"/>
      </w:pPr>
      <w:r>
        <w:rPr>
          <w:rFonts w:ascii="宋体" w:hAnsi="宋体" w:eastAsia="宋体"/>
          <w:sz w:val="21"/>
        </w:rPr>
        <w:t>新增行业只需编写一个Plugin类+配置文件，无需修改核心引擎代码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3C6E"/>
          <w:sz w:val="36"/>
        </w:rPr>
        <w:t>五、Phase 3：前端统一+评分驱动目录（第5-6周）</w:t>
      </w:r>
    </w:p>
    <w:p>
      <w:pPr>
        <w:spacing w:line="440" w:lineRule="exact" w:after="80"/>
      </w:pPr>
      <w:r>
        <w:rPr>
          <w:rFonts w:ascii="宋体" w:hAnsi="宋体" w:eastAsia="宋体"/>
          <w:b/>
          <w:color w:val="2E75B6"/>
          <w:sz w:val="22"/>
        </w:rPr>
        <w:t>目标：合并前端工作台，移植评分点提取和变体生成引擎</w:t>
      </w:r>
    </w:p>
    <w:p>
      <w:pPr>
        <w:pStyle w:val="Heading2"/>
      </w:pPr>
      <w:r>
        <w:rPr>
          <w:rFonts w:ascii="黑体" w:hAnsi="黑体" w:eastAsia="黑体"/>
          <w:color w:val="1A3C6E"/>
          <w:sz w:val="28"/>
        </w:rPr>
        <w:t>3.1 移植评分点提取</w:t>
      </w:r>
    </w:p>
    <w:p>
      <w:pPr>
        <w:spacing w:line="440" w:lineRule="exact" w:after="80"/>
        <w:ind w:firstLine="420"/>
      </w:pPr>
      <w:r>
        <w:rPr>
          <w:rFonts w:ascii="宋体" w:hAnsi="宋体" w:eastAsia="宋体"/>
          <w:sz w:val="22"/>
        </w:rPr>
        <w:t>标标AI的核心优势之一——从招标文件自动提取评分标准，驱动目录生成。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18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文件路径</w:t>
            </w:r>
          </w:p>
        </w:tc>
        <w:tc>
          <w:tcPr>
            <w:tcW w:type="dxa" w:w="850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3969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backend/app/services/scoring_extract_service.py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新建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20"/>
              </w:rPr>
              <w:t>从标标移植评分点提取逻辑</w:t>
            </w:r>
          </w:p>
        </w:tc>
      </w:tr>
      <w:tr>
        <w:tc>
          <w:tcPr>
            <w:tcW w:type="dxa" w:w="3118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backend/app/api/v1/scoring.py</w:t>
            </w:r>
          </w:p>
        </w:tc>
        <w:tc>
          <w:tcPr>
            <w:tcW w:type="dxa" w:w="850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新建</w:t>
            </w:r>
          </w:p>
        </w:tc>
        <w:tc>
          <w:tcPr>
            <w:tcW w:type="dxa" w:w="3969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POST /scoring/extract + POST /scoring/outline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前端评分提取页面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新建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20"/>
              </w:rPr>
              <w:t>上传招标文件→显示提取的评分项→生成目录</w:t>
            </w:r>
          </w:p>
        </w:tc>
      </w:tr>
    </w:tbl>
    <w:p/>
    <w:p>
      <w:pPr>
        <w:spacing w:line="440" w:lineRule="exact" w:after="80"/>
      </w:pPr>
      <w:r>
        <w:rPr>
          <w:rFonts w:ascii="宋体" w:hAnsi="宋体" w:eastAsia="宋体"/>
          <w:b/>
          <w:sz w:val="22"/>
        </w:rPr>
        <w:t>对接鲜标TenderRequirement模型：</w:t>
      </w:r>
    </w:p>
    <w:p>
      <w:pPr>
        <w:spacing w:line="400" w:lineRule="exact" w:after="120"/>
        <w:ind w:left="454"/>
        <w:pBdr>
          <w:left w:val="single" w:sz="12" w:color="2E75B6" w:space="8"/>
        </w:pBdr>
      </w:pPr>
      <w:r>
        <w:rPr>
          <w:rFonts w:ascii="宋体" w:hAnsi="宋体" w:eastAsia="宋体"/>
          <w:color w:val="333333"/>
          <w:sz w:val="21"/>
        </w:rPr>
        <w:t># 提取结果 → 自动写入 TenderRequirement</w:t>
        <w:br/>
        <w:t>for item in extracted_scoring_points:</w:t>
        <w:br/>
        <w:t xml:space="preserve">    req = TenderRequirement(</w:t>
        <w:br/>
        <w:t xml:space="preserve">        bid_project_id=project_id,</w:t>
        <w:br/>
        <w:t xml:space="preserve">        category="scoring",</w:t>
        <w:br/>
        <w:t xml:space="preserve">        content=item["description"],</w:t>
        <w:br/>
        <w:t xml:space="preserve">        max_score=item["max_score"],</w:t>
        <w:br/>
        <w:t xml:space="preserve">        score_weight=item["weight"],</w:t>
        <w:br/>
        <w:t xml:space="preserve">    )</w:t>
      </w:r>
    </w:p>
    <w:p>
      <w:pPr>
        <w:pStyle w:val="Heading2"/>
      </w:pPr>
      <w:r>
        <w:rPr>
          <w:rFonts w:ascii="黑体" w:hAnsi="黑体" w:eastAsia="黑体"/>
          <w:color w:val="1A3C6E"/>
          <w:sz w:val="28"/>
        </w:rPr>
        <w:t>3.2 移植变体生成引擎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18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文件路径</w:t>
            </w:r>
          </w:p>
        </w:tc>
        <w:tc>
          <w:tcPr>
            <w:tcW w:type="dxa" w:w="850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3969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backend/app/services/variant_service.py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新建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20"/>
              </w:rPr>
              <w:t>从标标移植多维变体生成</w:t>
            </w:r>
          </w:p>
        </w:tc>
      </w:tr>
      <w:tr>
        <w:tc>
          <w:tcPr>
            <w:tcW w:type="dxa" w:w="3118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backend/app/api/v1/variant.py</w:t>
            </w:r>
          </w:p>
        </w:tc>
        <w:tc>
          <w:tcPr>
            <w:tcW w:type="dxa" w:w="850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新建</w:t>
            </w:r>
          </w:p>
        </w:tc>
        <w:tc>
          <w:tcPr>
            <w:tcW w:type="dxa" w:w="3969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生成/列表/相似度矩阵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20"/>
              </w:rPr>
              <w:t>前端变体对比页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新建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20"/>
              </w:rPr>
              <w:t>多版本并排对比UI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1A3C6E"/>
          <w:sz w:val="28"/>
        </w:rPr>
        <w:t>3.3 前端工作台融合</w:t>
      </w:r>
    </w:p>
    <w:p>
      <w:pPr>
        <w:spacing w:line="440" w:lineRule="exact" w:after="80"/>
        <w:ind w:firstLine="420"/>
      </w:pPr>
      <w:r>
        <w:rPr>
          <w:rFonts w:ascii="宋体" w:hAnsi="宋体" w:eastAsia="宋体"/>
          <w:sz w:val="22"/>
        </w:rPr>
        <w:t>将两个项目的前端工作流合并为统一的7步工作台：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50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1984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1417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3402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功能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Step 1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项目信息 + 上传招标文件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鲜标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创建项目、上传PDF/DOCX招标文件</w:t>
            </w:r>
          </w:p>
        </w:tc>
      </w:tr>
      <w:tr>
        <w:tc>
          <w:tcPr>
            <w:tcW w:type="dxa" w:w="850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Step 2</w:t>
            </w:r>
          </w:p>
        </w:tc>
        <w:tc>
          <w:tcPr>
            <w:tcW w:type="dxa" w:w="1984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评分点提取 + 需求解析</w:t>
            </w:r>
          </w:p>
        </w:tc>
        <w:tc>
          <w:tcPr>
            <w:tcW w:type="dxa" w:w="1417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标标（新增）</w:t>
            </w:r>
          </w:p>
        </w:tc>
        <w:tc>
          <w:tcPr>
            <w:tcW w:type="dxa" w:w="3402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自动提取评分标准和需求分类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Step 3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目录大纲生成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标标（新增）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基于评分点驱动生成章节大纲</w:t>
            </w:r>
          </w:p>
        </w:tc>
      </w:tr>
      <w:tr>
        <w:tc>
          <w:tcPr>
            <w:tcW w:type="dxa" w:w="850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Step 4</w:t>
            </w:r>
          </w:p>
        </w:tc>
        <w:tc>
          <w:tcPr>
            <w:tcW w:type="dxa" w:w="1984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AI章节生成</w:t>
            </w:r>
          </w:p>
        </w:tc>
        <w:tc>
          <w:tcPr>
            <w:tcW w:type="dxa" w:w="1417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合并</w:t>
            </w:r>
          </w:p>
        </w:tc>
        <w:tc>
          <w:tcPr>
            <w:tcW w:type="dxa" w:w="3402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7节点流水线+实时进度+章节编辑器+AI对话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Step 5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报价管理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鲜标（插件化）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行业特定的报价编制</w:t>
            </w:r>
          </w:p>
        </w:tc>
      </w:tr>
      <w:tr>
        <w:tc>
          <w:tcPr>
            <w:tcW w:type="dxa" w:w="850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Step 6</w:t>
            </w:r>
          </w:p>
        </w:tc>
        <w:tc>
          <w:tcPr>
            <w:tcW w:type="dxa" w:w="1984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风险报告 + 反AI检测</w:t>
            </w:r>
          </w:p>
        </w:tc>
        <w:tc>
          <w:tcPr>
            <w:tcW w:type="dxa" w:w="1417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合并（新增）</w:t>
            </w:r>
          </w:p>
        </w:tc>
        <w:tc>
          <w:tcPr>
            <w:tcW w:type="dxa" w:w="3402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合规报告+AI痕迹检测+改进建议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Step 7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导出 + 变体对比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标标（新增）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20"/>
              </w:rPr>
              <w:t>Word导出+多版本变体并排对比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3C6E"/>
          <w:sz w:val="36"/>
        </w:rPr>
        <w:t>六、Phase 4：新行业验证+稳定化（第7-8周）</w:t>
      </w:r>
    </w:p>
    <w:p>
      <w:pPr>
        <w:spacing w:line="440" w:lineRule="exact" w:after="80"/>
      </w:pPr>
      <w:r>
        <w:rPr>
          <w:rFonts w:ascii="宋体" w:hAnsi="宋体" w:eastAsia="宋体"/>
          <w:b/>
          <w:color w:val="2E75B6"/>
          <w:sz w:val="22"/>
        </w:rPr>
        <w:t>目标：用第三个行业验证框架通用性，完成稳定化</w:t>
      </w:r>
    </w:p>
    <w:p>
      <w:pPr>
        <w:pStyle w:val="Heading2"/>
      </w:pPr>
      <w:r>
        <w:rPr>
          <w:rFonts w:ascii="黑体" w:hAnsi="黑体" w:eastAsia="黑体"/>
          <w:color w:val="1A3C6E"/>
          <w:sz w:val="28"/>
        </w:rPr>
        <w:t>4.1 新增IT服务行业插件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01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6236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编写ITServicePlugin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章节模板（技术方案/人员配置/SLA/应急预案）、资质类型（CMMI/ISO27001）、关键词</w:t>
            </w:r>
          </w:p>
        </w:tc>
      </w:tr>
      <w:tr>
        <w:tc>
          <w:tcPr>
            <w:tcW w:type="dxa" w:w="1701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编写行业Prompt</w:t>
            </w:r>
          </w:p>
        </w:tc>
        <w:tc>
          <w:tcPr>
            <w:tcW w:type="dxa" w:w="6236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IT服务领域的专业Prompt（系统集成/运维/开发/安全等）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编写合规规则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IT投标的废标项/资格要求（如信息安全等级保护资质）</w:t>
            </w:r>
          </w:p>
        </w:tc>
      </w:tr>
      <w:tr>
        <w:tc>
          <w:tcPr>
            <w:tcW w:type="dxa" w:w="1701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报价引擎</w:t>
            </w:r>
          </w:p>
        </w:tc>
        <w:tc>
          <w:tcPr>
            <w:tcW w:type="dxa" w:w="6236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人天报价模型（角色×单价×工时）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端到端测试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20"/>
              </w:rPr>
              <w:t>用真实IT招标文件走通全流程</w:t>
            </w:r>
          </w:p>
        </w:tc>
      </w:tr>
    </w:tbl>
    <w:p/>
    <w:p>
      <w:pPr>
        <w:spacing w:line="440" w:lineRule="exact" w:after="80"/>
      </w:pPr>
      <w:r>
        <w:rPr>
          <w:rFonts w:ascii="宋体" w:hAnsi="宋体" w:eastAsia="宋体"/>
          <w:b/>
          <w:sz w:val="22"/>
        </w:rPr>
        <w:t>通用性验证检查清单：</w:t>
      </w:r>
    </w:p>
    <w:p>
      <w:pPr>
        <w:pStyle w:val="ListBullet"/>
        <w:spacing w:line="400" w:lineRule="exact" w:after="40"/>
      </w:pPr>
      <w:r>
        <w:rPr>
          <w:rFonts w:ascii="宋体" w:hAnsi="宋体" w:eastAsia="宋体"/>
          <w:sz w:val="21"/>
        </w:rPr>
        <w:t>新行业插件开发不需要修改核心引擎代码</w:t>
      </w:r>
    </w:p>
    <w:p>
      <w:pPr>
        <w:pStyle w:val="ListBullet"/>
        <w:spacing w:line="400" w:lineRule="exact" w:after="40"/>
      </w:pPr>
      <w:r>
        <w:rPr>
          <w:rFonts w:ascii="宋体" w:hAnsi="宋体" w:eastAsia="宋体"/>
          <w:sz w:val="21"/>
        </w:rPr>
        <w:t>章节模板、合规规则、关键词通过配置文件即可定义</w:t>
      </w:r>
    </w:p>
    <w:p>
      <w:pPr>
        <w:pStyle w:val="ListBullet"/>
        <w:spacing w:line="400" w:lineRule="exact" w:after="40"/>
      </w:pPr>
      <w:r>
        <w:rPr>
          <w:rFonts w:ascii="宋体" w:hAnsi="宋体" w:eastAsia="宋体"/>
          <w:sz w:val="21"/>
        </w:rPr>
        <w:t>评分点提取Prompt适配新行业</w:t>
      </w:r>
    </w:p>
    <w:p>
      <w:pPr>
        <w:pStyle w:val="ListBullet"/>
        <w:spacing w:line="400" w:lineRule="exact" w:after="40"/>
      </w:pPr>
      <w:r>
        <w:rPr>
          <w:rFonts w:ascii="宋体" w:hAnsi="宋体" w:eastAsia="宋体"/>
          <w:sz w:val="21"/>
        </w:rPr>
        <w:t>报价引擎可选（IT服务用人天报价，与食材下浮率/工程量清单均不同）</w:t>
      </w:r>
    </w:p>
    <w:p>
      <w:pPr>
        <w:pStyle w:val="ListBullet"/>
        <w:spacing w:line="400" w:lineRule="exact" w:after="40"/>
      </w:pPr>
      <w:r>
        <w:rPr>
          <w:rFonts w:ascii="宋体" w:hAnsi="宋体" w:eastAsia="宋体"/>
          <w:sz w:val="21"/>
        </w:rPr>
        <w:t>文档导出格式正确</w:t>
      </w:r>
    </w:p>
    <w:p>
      <w:pPr>
        <w:pStyle w:val="Heading2"/>
      </w:pPr>
      <w:r>
        <w:rPr>
          <w:rFonts w:ascii="黑体" w:hAnsi="黑体" w:eastAsia="黑体"/>
          <w:color w:val="1A3C6E"/>
          <w:sz w:val="28"/>
        </w:rPr>
        <w:t>4.2 性能与稳定性加固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68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5669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7节点流水线超时处理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sz w:val="20"/>
              </w:rPr>
              <w:t>单节点超时30s，整体超时180s，优雅降级</w:t>
            </w:r>
          </w:p>
        </w:tc>
      </w:tr>
      <w:tr>
        <w:tc>
          <w:tcPr>
            <w:tcW w:type="dxa" w:w="2268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LLM并发控制</w:t>
            </w:r>
          </w:p>
        </w:tc>
        <w:tc>
          <w:tcPr>
            <w:tcW w:type="dxa" w:w="5669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信号量控制同时生成的章节数（Semaphore(5)）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错误恢复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sz w:val="20"/>
              </w:rPr>
              <w:t>某个节点失败后可从断点重试</w:t>
            </w:r>
          </w:p>
        </w:tc>
      </w:tr>
      <w:tr>
        <w:tc>
          <w:tcPr>
            <w:tcW w:type="dxa" w:w="2268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LangFuse集成</w:t>
            </w:r>
          </w:p>
        </w:tc>
        <w:tc>
          <w:tcPr>
            <w:tcW w:type="dxa" w:w="5669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从标标移植，全链路追踪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回归测试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sz w:val="20"/>
              </w:rPr>
              <w:t>食材配送+建筑工程+IT服务三个场景E2E测试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3C6E"/>
          <w:sz w:val="36"/>
        </w:rPr>
        <w:t>七、整体时间线与里程碑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34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周次</w:t>
            </w:r>
          </w:p>
        </w:tc>
        <w:tc>
          <w:tcPr>
            <w:tcW w:type="dxa" w:w="1417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551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核心交付</w:t>
            </w:r>
          </w:p>
        </w:tc>
        <w:tc>
          <w:tcPr>
            <w:tcW w:type="dxa" w:w="2551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里程碑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Week 1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Phase 0 准备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新仓库+环境+测试基线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开发环境就绪</w:t>
            </w:r>
          </w:p>
        </w:tc>
      </w:tr>
      <w:tr>
        <w:tc>
          <w:tcPr>
            <w:tcW w:type="dxa" w:w="1134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Week 2-3</w:t>
            </w:r>
          </w:p>
        </w:tc>
        <w:tc>
          <w:tcPr>
            <w:tcW w:type="dxa" w:w="1417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Phase 1 引擎移植</w:t>
            </w:r>
          </w:p>
        </w:tc>
        <w:tc>
          <w:tcPr>
            <w:tcW w:type="dxa" w:w="2551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7节点流水线+反AI+脱敏</w:t>
            </w:r>
          </w:p>
        </w:tc>
        <w:tc>
          <w:tcPr>
            <w:tcW w:type="dxa" w:w="2551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单章节生成走通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Week 4-5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Phase 2 插件化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插件接口+两行业插件+核心服务改造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双行业切换运行</w:t>
            </w:r>
          </w:p>
        </w:tc>
      </w:tr>
      <w:tr>
        <w:tc>
          <w:tcPr>
            <w:tcW w:type="dxa" w:w="1134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Week 5-6</w:t>
            </w:r>
          </w:p>
        </w:tc>
        <w:tc>
          <w:tcPr>
            <w:tcW w:type="dxa" w:w="1417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Phase 3 前端+评分</w:t>
            </w:r>
          </w:p>
        </w:tc>
        <w:tc>
          <w:tcPr>
            <w:tcW w:type="dxa" w:w="2551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评分提取+变体引擎+7步工作台</w:t>
            </w:r>
          </w:p>
        </w:tc>
        <w:tc>
          <w:tcPr>
            <w:tcW w:type="dxa" w:w="2551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完整工作流走通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Week 7-8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Phase 4 验证+稳定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IT服务插件+性能加固+E2E测试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sz w:val="20"/>
              </w:rPr>
              <w:t>三行业通过验证</w:t>
            </w:r>
          </w:p>
        </w:tc>
      </w:tr>
    </w:tbl>
    <w:p/>
    <w:p>
      <w:pPr>
        <w:spacing w:line="440" w:lineRule="exact" w:after="80"/>
      </w:pPr>
      <w:r>
        <w:rPr>
          <w:rFonts w:ascii="宋体" w:hAnsi="宋体" w:eastAsia="宋体"/>
          <w:b/>
          <w:sz w:val="22"/>
        </w:rPr>
        <w:t>人力投入估算：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134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850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Phase 0</w:t>
            </w:r>
          </w:p>
        </w:tc>
        <w:tc>
          <w:tcPr>
            <w:tcW w:type="dxa" w:w="850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Phase 1</w:t>
            </w:r>
          </w:p>
        </w:tc>
        <w:tc>
          <w:tcPr>
            <w:tcW w:type="dxa" w:w="850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Phase 2</w:t>
            </w:r>
          </w:p>
        </w:tc>
        <w:tc>
          <w:tcPr>
            <w:tcW w:type="dxa" w:w="850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Phase 3</w:t>
            </w:r>
          </w:p>
        </w:tc>
        <w:tc>
          <w:tcPr>
            <w:tcW w:type="dxa" w:w="850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Phase 4</w:t>
            </w:r>
          </w:p>
        </w:tc>
        <w:tc>
          <w:tcPr>
            <w:tcW w:type="dxa" w:w="850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总计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后端架构师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0.5人周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2人周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2人周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1人周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1人周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6.5人周</w:t>
            </w:r>
          </w:p>
        </w:tc>
      </w:tr>
      <w:tr>
        <w:tc>
          <w:tcPr>
            <w:tcW w:type="dxa" w:w="1134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后端开发</w:t>
            </w:r>
          </w:p>
        </w:tc>
        <w:tc>
          <w:tcPr>
            <w:tcW w:type="dxa" w:w="850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1人周</w:t>
            </w:r>
          </w:p>
        </w:tc>
        <w:tc>
          <w:tcPr>
            <w:tcW w:type="dxa" w:w="850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4人周</w:t>
            </w:r>
          </w:p>
        </w:tc>
        <w:tc>
          <w:tcPr>
            <w:tcW w:type="dxa" w:w="850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4人周</w:t>
            </w:r>
          </w:p>
        </w:tc>
        <w:tc>
          <w:tcPr>
            <w:tcW w:type="dxa" w:w="850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2人周</w:t>
            </w:r>
          </w:p>
        </w:tc>
        <w:tc>
          <w:tcPr>
            <w:tcW w:type="dxa" w:w="850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2人周</w:t>
            </w:r>
          </w:p>
        </w:tc>
        <w:tc>
          <w:tcPr>
            <w:tcW w:type="dxa" w:w="850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13人周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前端开发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0.5人周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1人周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1人周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3人周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1人周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6.5人周</w:t>
            </w:r>
          </w:p>
        </w:tc>
      </w:tr>
      <w:tr>
        <w:tc>
          <w:tcPr>
            <w:tcW w:type="dxa" w:w="1134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AI/NLP工程师</w:t>
            </w:r>
          </w:p>
        </w:tc>
        <w:tc>
          <w:tcPr>
            <w:tcW w:type="dxa" w:w="850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850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2人周</w:t>
            </w:r>
          </w:p>
        </w:tc>
        <w:tc>
          <w:tcPr>
            <w:tcW w:type="dxa" w:w="850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2人周</w:t>
            </w:r>
          </w:p>
        </w:tc>
        <w:tc>
          <w:tcPr>
            <w:tcW w:type="dxa" w:w="850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1人周</w:t>
            </w:r>
          </w:p>
        </w:tc>
        <w:tc>
          <w:tcPr>
            <w:tcW w:type="dxa" w:w="850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2人周</w:t>
            </w:r>
          </w:p>
        </w:tc>
        <w:tc>
          <w:tcPr>
            <w:tcW w:type="dxa" w:w="850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7人周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行业专家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1人周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0.5人周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2人周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3.5人周</w:t>
            </w:r>
          </w:p>
        </w:tc>
      </w:tr>
      <w:tr>
        <w:tc>
          <w:tcPr>
            <w:tcW w:type="dxa" w:w="1134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QA测试</w:t>
            </w:r>
          </w:p>
        </w:tc>
        <w:tc>
          <w:tcPr>
            <w:tcW w:type="dxa" w:w="850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0.5人周</w:t>
            </w:r>
          </w:p>
        </w:tc>
        <w:tc>
          <w:tcPr>
            <w:tcW w:type="dxa" w:w="850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1人周</w:t>
            </w:r>
          </w:p>
        </w:tc>
        <w:tc>
          <w:tcPr>
            <w:tcW w:type="dxa" w:w="850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1人周</w:t>
            </w:r>
          </w:p>
        </w:tc>
        <w:tc>
          <w:tcPr>
            <w:tcW w:type="dxa" w:w="850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1人周</w:t>
            </w:r>
          </w:p>
        </w:tc>
        <w:tc>
          <w:tcPr>
            <w:tcW w:type="dxa" w:w="850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2人周</w:t>
            </w:r>
          </w:p>
        </w:tc>
        <w:tc>
          <w:tcPr>
            <w:tcW w:type="dxa" w:w="850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5.5人周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20"/>
              </w:rPr>
              <w:t>合计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2.5人周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10人周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11人周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8.5人周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10人周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sz w:val="20"/>
              </w:rPr>
              <w:t>42人周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3C6E"/>
          <w:sz w:val="36"/>
        </w:rPr>
        <w:t>八、风险清单与应对策略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567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1417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3685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应对策略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7节点流水线与鲜标数据模型不兼容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20"/>
              </w:rPr>
              <w:t>高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导致Phase 1延期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20"/>
              </w:rPr>
              <w:t>P1先做最小可用版（3节点：Writer+Compliance+Polish），逐步加节点</w:t>
            </w:r>
          </w:p>
        </w:tc>
      </w:tr>
      <w:tr>
        <w:tc>
          <w:tcPr>
            <w:tcW w:type="dxa" w:w="2268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行业Prompt编写需要领域专家</w:t>
            </w:r>
          </w:p>
        </w:tc>
        <w:tc>
          <w:tcPr>
            <w:tcW w:type="dxa" w:w="567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高</w:t>
            </w:r>
          </w:p>
        </w:tc>
        <w:tc>
          <w:tcPr>
            <w:tcW w:type="dxa" w:w="1417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新行业冷启动慢</w:t>
            </w:r>
          </w:p>
        </w:tc>
        <w:tc>
          <w:tcPr>
            <w:tcW w:type="dxa" w:w="3685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先用AI生成初版Prompt，再用真实招标文件迭代调优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前端工作台改动量大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20"/>
              </w:rPr>
              <w:t>中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影响用户体验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20"/>
              </w:rPr>
              <w:t>P3可先不改前端，后端先跑通；前端渐进式重构</w:t>
            </w:r>
          </w:p>
        </w:tc>
      </w:tr>
      <w:tr>
        <w:tc>
          <w:tcPr>
            <w:tcW w:type="dxa" w:w="2268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两个项目Alembic迁移冲突</w:t>
            </w:r>
          </w:p>
        </w:tc>
        <w:tc>
          <w:tcPr>
            <w:tcW w:type="dxa" w:w="567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低</w:t>
            </w:r>
          </w:p>
        </w:tc>
        <w:tc>
          <w:tcPr>
            <w:tcW w:type="dxa" w:w="1417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数据库升级受阻</w:t>
            </w:r>
          </w:p>
        </w:tc>
        <w:tc>
          <w:tcPr>
            <w:tcW w:type="dxa" w:w="3685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P0统一到一个迁移线，手动合并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sz w:val="20"/>
              </w:rPr>
              <w:t>LLM API费用激增</w:t>
            </w:r>
          </w:p>
        </w:tc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20"/>
              </w:rPr>
              <w:t>中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7节点=7倍调用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20"/>
              </w:rPr>
              <w:t>合理设置缓存策略，L1/L3合规检查用规则引擎替代LLM</w:t>
            </w:r>
          </w:p>
        </w:tc>
      </w:tr>
      <w:tr>
        <w:tc>
          <w:tcPr>
            <w:tcW w:type="dxa" w:w="2268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知识库冷启动</w:t>
            </w:r>
          </w:p>
        </w:tc>
        <w:tc>
          <w:tcPr>
            <w:tcW w:type="dxa" w:w="567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中</w:t>
            </w:r>
          </w:p>
        </w:tc>
        <w:tc>
          <w:tcPr>
            <w:tcW w:type="dxa" w:w="1417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新行业无高质量语料</w:t>
            </w:r>
          </w:p>
        </w:tc>
        <w:tc>
          <w:tcPr>
            <w:tcW w:type="dxa" w:w="3685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预留人工标注流程+飞轮数据快速积累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3C6E"/>
          <w:sz w:val="36"/>
        </w:rPr>
        <w:t>九、待讨论决策项</w:t>
      </w:r>
    </w:p>
    <w:p>
      <w:pPr>
        <w:spacing w:line="440" w:lineRule="exact" w:after="80"/>
        <w:ind w:firstLine="420"/>
      </w:pPr>
      <w:r>
        <w:rPr>
          <w:rFonts w:ascii="宋体" w:hAnsi="宋体" w:eastAsia="宋体"/>
          <w:sz w:val="22"/>
        </w:rPr>
        <w:t>以下事项需要团队共同讨论确认后方可推进：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67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417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决策项</w:t>
            </w:r>
          </w:p>
        </w:tc>
        <w:tc>
          <w:tcPr>
            <w:tcW w:type="dxa" w:w="1701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选项A</w:t>
            </w:r>
          </w:p>
        </w:tc>
        <w:tc>
          <w:tcPr>
            <w:tcW w:type="dxa" w:w="1984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选项B</w:t>
            </w:r>
          </w:p>
        </w:tc>
        <w:tc>
          <w:tcPr>
            <w:tcW w:type="dxa" w:w="1984"/>
            <w:shd w:fill="1A3C6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建议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20"/>
              </w:rPr>
              <w:t>D1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新仓库策略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从鲜标fork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全新仓库拷贝代码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A — 保留git历史</w:t>
            </w:r>
          </w:p>
        </w:tc>
      </w:tr>
      <w:tr>
        <w:tc>
          <w:tcPr>
            <w:tcW w:type="dxa" w:w="567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D2</w:t>
            </w:r>
          </w:p>
        </w:tc>
        <w:tc>
          <w:tcPr>
            <w:tcW w:type="dxa" w:w="1417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Phase顺序</w:t>
            </w:r>
          </w:p>
        </w:tc>
        <w:tc>
          <w:tcPr>
            <w:tcW w:type="dxa" w:w="1701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先P1引擎移植</w:t>
            </w:r>
          </w:p>
        </w:tc>
        <w:tc>
          <w:tcPr>
            <w:tcW w:type="dxa" w:w="1984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先P2插件化</w:t>
            </w:r>
          </w:p>
        </w:tc>
        <w:tc>
          <w:tcPr>
            <w:tcW w:type="dxa" w:w="1984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A — 引擎是核心价值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20"/>
              </w:rPr>
              <w:t>D3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第三个验证行业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IT服务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物业管理 / 医疗器械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根据市场需求决定</w:t>
            </w:r>
          </w:p>
        </w:tc>
      </w:tr>
      <w:tr>
        <w:tc>
          <w:tcPr>
            <w:tcW w:type="dxa" w:w="567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D4</w:t>
            </w:r>
          </w:p>
        </w:tc>
        <w:tc>
          <w:tcPr>
            <w:tcW w:type="dxa" w:w="1417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时间节奏</w:t>
            </w:r>
          </w:p>
        </w:tc>
        <w:tc>
          <w:tcPr>
            <w:tcW w:type="dxa" w:w="1701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8周标准节奏</w:t>
            </w:r>
          </w:p>
        </w:tc>
        <w:tc>
          <w:tcPr>
            <w:tcW w:type="dxa" w:w="1984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压缩至6周 / 延长至10周</w:t>
            </w:r>
          </w:p>
        </w:tc>
        <w:tc>
          <w:tcPr>
            <w:tcW w:type="dxa" w:w="1984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8周合理，预留buffer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sz w:val="20"/>
              </w:rPr>
              <w:t>D5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20"/>
              </w:rPr>
              <w:t>是否先做P0+P1原型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20"/>
              </w:rPr>
              <w:t>是，先验证可行性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否，按计划全量推进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20"/>
              </w:rPr>
              <w:t>A — 降低风险</w:t>
            </w:r>
          </w:p>
        </w:tc>
      </w:tr>
      <w:tr>
        <w:tc>
          <w:tcPr>
            <w:tcW w:type="dxa" w:w="567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D6</w:t>
            </w:r>
          </w:p>
        </w:tc>
        <w:tc>
          <w:tcPr>
            <w:tcW w:type="dxa" w:w="1417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开源策略</w:t>
            </w:r>
          </w:p>
        </w:tc>
        <w:tc>
          <w:tcPr>
            <w:tcW w:type="dxa" w:w="1701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核心引擎开源</w:t>
            </w:r>
          </w:p>
        </w:tc>
        <w:tc>
          <w:tcPr>
            <w:tcW w:type="dxa" w:w="1984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全部闭源</w:t>
            </w:r>
          </w:p>
        </w:tc>
        <w:tc>
          <w:tcPr>
            <w:tcW w:type="dxa" w:w="1984"/>
            <w:shd w:fill="EBF0F7" w:val="clear"/>
          </w:tcPr>
          <w:p>
            <w:r/>
            <w:r>
              <w:rPr>
                <w:rFonts w:ascii="宋体" w:hAnsi="宋体" w:eastAsia="宋体"/>
                <w:sz w:val="20"/>
              </w:rPr>
              <w:t>待商业模式确定后决定</w:t>
            </w:r>
          </w:p>
        </w:tc>
      </w:tr>
    </w:tbl>
    <w:p/>
    <w:p/>
    <w:p>
      <w:pPr>
        <w:jc w:val="center"/>
      </w:pPr>
      <w:r>
        <w:rPr>
          <w:color w:val="2E75B6"/>
          <w:sz w:val="24"/>
        </w:rPr>
        <w:t>━━━━━━━━━━━━━━━━━━━━</w:t>
      </w:r>
    </w:p>
    <w:p>
      <w:pPr>
        <w:jc w:val="center"/>
      </w:pPr>
      <w:r>
        <w:rPr>
          <w:i/>
          <w:color w:val="999999"/>
          <w:sz w:val="20"/>
        </w:rPr>
        <w:t>本方案基于代码级深度分析制定，数据截止至2026年3月31日。</w:t>
        <w:br/>
        <w:t>具体实施时请根据团队实际情况和资源调整节奏。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00" w:lineRule="exact" w:after="8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