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E42881" w:rsidP="00210E85">
      <w:r w:rsidRPr="00E42881">
        <w:rPr>
          <w:noProof/>
        </w:rPr>
        <w:drawing>
          <wp:inline distT="0" distB="0" distL="0" distR="0">
            <wp:extent cx="5274310" cy="42085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208563"/>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EA6FBA" w:rsidRDefault="00EA6FBA" w:rsidP="00EA6FBA">
      <w:pPr>
        <w:pStyle w:val="2"/>
      </w:pPr>
      <w:r>
        <w:rPr>
          <w:rFonts w:hint="eastAsia"/>
        </w:rPr>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lastRenderedPageBreak/>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BE49D1" w:rsidP="0015682A">
      <w:pPr>
        <w:jc w:val="center"/>
      </w:pPr>
      <w:r w:rsidRPr="00BE49D1">
        <w:rPr>
          <w:noProof/>
        </w:rPr>
        <w:lastRenderedPageBreak/>
        <w:drawing>
          <wp:inline distT="0" distB="0" distL="0" distR="0">
            <wp:extent cx="3441319" cy="8803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61596" cy="8855634"/>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Pr="00A911D8" w:rsidRDefault="00801A6E" w:rsidP="002831DC">
      <w:pPr>
        <w:rPr>
          <w:rFonts w:hint="eastAsia"/>
        </w:rPr>
      </w:pPr>
      <w:r>
        <w:rPr>
          <w:rFonts w:hint="eastAsia"/>
        </w:rPr>
        <w:t>17</w:t>
      </w:r>
      <w:r>
        <w:rPr>
          <w:rFonts w:hint="eastAsia"/>
        </w:rPr>
        <w:t>、</w:t>
      </w:r>
      <w:r>
        <w:t>通过</w:t>
      </w:r>
      <w:r w:rsidRPr="00801A6E">
        <w:t>@Async</w:t>
      </w:r>
      <w:r>
        <w:rPr>
          <w:rFonts w:hint="eastAsia"/>
        </w:rPr>
        <w:t>可实现异步</w:t>
      </w:r>
      <w:r>
        <w:t>监听；</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D33315" w:rsidRDefault="00D33315" w:rsidP="00D33315">
      <w:pPr>
        <w:pStyle w:val="3"/>
      </w:pPr>
      <w:r>
        <w:rPr>
          <w:rFonts w:hint="eastAsia"/>
        </w:rPr>
        <w:t>登陆</w:t>
      </w:r>
    </w:p>
    <w:p w:rsidR="00DB198E" w:rsidRDefault="00977DAC" w:rsidP="00D33315">
      <w:pPr>
        <w:rPr>
          <w:rFonts w:hint="eastAsia"/>
        </w:rPr>
      </w:pPr>
      <w:r w:rsidRPr="00977DAC">
        <w:t>/login/user/{userId}/org/{orgId}/dept/{deptId}/role/{roleIds}</w:t>
      </w:r>
      <w:r>
        <w:rPr>
          <w:rFonts w:hint="eastAsia"/>
        </w:rPr>
        <w:t xml:space="preserve"> </w:t>
      </w:r>
      <w:r w:rsidRPr="00700A1B">
        <w:t>GET/POST</w:t>
      </w:r>
      <w:bookmarkStart w:id="0" w:name="_GoBack"/>
      <w:bookmarkEnd w:id="0"/>
    </w:p>
    <w:p w:rsidR="00DB198E" w:rsidRDefault="00DB198E" w:rsidP="00DB198E">
      <w:pPr>
        <w:pStyle w:val="3"/>
      </w:pPr>
      <w:r>
        <w:rPr>
          <w:rFonts w:hint="eastAsia"/>
        </w:rPr>
        <w:lastRenderedPageBreak/>
        <w:t>生成</w:t>
      </w:r>
      <w:r>
        <w:t>部门分数</w:t>
      </w:r>
    </w:p>
    <w:p w:rsidR="00DB198E" w:rsidRPr="00AF426F" w:rsidRDefault="00DB198E" w:rsidP="00DB198E">
      <w:pPr>
        <w:rPr>
          <w:rFonts w:hint="eastAsia"/>
        </w:rPr>
      </w:pPr>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pPr>
        <w:rPr>
          <w:rFonts w:hint="eastAsia"/>
        </w:rPr>
      </w:pPr>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lastRenderedPageBreak/>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A30" w:rsidRDefault="00410A30" w:rsidP="00A54CF1">
      <w:r>
        <w:separator/>
      </w:r>
    </w:p>
  </w:endnote>
  <w:endnote w:type="continuationSeparator" w:id="0">
    <w:p w:rsidR="00410A30" w:rsidRDefault="00410A30"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A30" w:rsidRDefault="00410A30" w:rsidP="00A54CF1">
      <w:r>
        <w:separator/>
      </w:r>
    </w:p>
  </w:footnote>
  <w:footnote w:type="continuationSeparator" w:id="0">
    <w:p w:rsidR="00410A30" w:rsidRDefault="00410A30"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314AC5"/>
    <w:rsid w:val="003A3C19"/>
    <w:rsid w:val="003C079D"/>
    <w:rsid w:val="003C45DD"/>
    <w:rsid w:val="003E548C"/>
    <w:rsid w:val="003F1CC5"/>
    <w:rsid w:val="00401552"/>
    <w:rsid w:val="00410A30"/>
    <w:rsid w:val="00426CD9"/>
    <w:rsid w:val="00436F3D"/>
    <w:rsid w:val="00443B06"/>
    <w:rsid w:val="004A0177"/>
    <w:rsid w:val="004B7A6A"/>
    <w:rsid w:val="004E5370"/>
    <w:rsid w:val="004F3D88"/>
    <w:rsid w:val="004F7BD5"/>
    <w:rsid w:val="00501AFB"/>
    <w:rsid w:val="005474A5"/>
    <w:rsid w:val="0058519A"/>
    <w:rsid w:val="0058790E"/>
    <w:rsid w:val="0059408F"/>
    <w:rsid w:val="005D5C0D"/>
    <w:rsid w:val="005F240A"/>
    <w:rsid w:val="00617463"/>
    <w:rsid w:val="0063107B"/>
    <w:rsid w:val="00636723"/>
    <w:rsid w:val="00677942"/>
    <w:rsid w:val="006945F7"/>
    <w:rsid w:val="006C6A39"/>
    <w:rsid w:val="006D69F4"/>
    <w:rsid w:val="006E1F49"/>
    <w:rsid w:val="006F2EA7"/>
    <w:rsid w:val="00700A1B"/>
    <w:rsid w:val="0073478F"/>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B198E"/>
    <w:rsid w:val="00DD0022"/>
    <w:rsid w:val="00E160B7"/>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7749</TotalTime>
  <Pages>34</Pages>
  <Words>450</Words>
  <Characters>2568</Characters>
  <Application>Microsoft Office Word</Application>
  <DocSecurity>0</DocSecurity>
  <Lines>21</Lines>
  <Paragraphs>6</Paragraphs>
  <ScaleCrop>false</ScaleCrop>
  <Company>china</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152</cp:revision>
  <dcterms:created xsi:type="dcterms:W3CDTF">2016-05-14T02:49:00Z</dcterms:created>
  <dcterms:modified xsi:type="dcterms:W3CDTF">2016-06-06T07:09:00Z</dcterms:modified>
</cp:coreProperties>
</file>