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[PLACEHOLDER — non-filed identifier attachment; replace with final layout]</w:t>
      </w:r>
    </w:p>
    <w:p>
      <w:r>
        <w:t xml:space="preserve"/>
      </w:r>
    </w:p>
    <w:p>
      <w:r>
        <w:t xml:space="preserve">{{attachment.case_caption_line}}</w:t>
      </w:r>
    </w:p>
    <w:p>
      <w:r>
        <w:t xml:space="preserve">{{attachment.county_court_line}}</w:t>
      </w:r>
    </w:p>
    <w:p>
      <w:r>
        <w:t xml:space="preserve"/>
      </w:r>
    </w:p>
    <w:p>
      <w:r>
        <w:t xml:space="preserve">{{attachment.petitioner_heading}}</w:t>
      </w:r>
    </w:p>
    <w:p>
      <w:r>
        <w:t xml:space="preserve">{{attachment.respondent_heading}}</w:t>
      </w:r>
    </w:p>
    <w:p>
      <w:r>
        <w:t xml:space="preserve"/>
      </w:r>
    </w:p>
    <w:p>
      <w:r>
        <w:t xml:space="preserve">{{attachment.identifiers_intro}}</w:t>
      </w:r>
    </w:p>
    <w:p>
      <w:r>
        <w:t xml:space="preserve"/>
      </w:r>
    </w:p>
    <w:p>
      <w:r>
        <w:t xml:space="preserve">{{attachment.identifiers_block}}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/>
</file>