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54B38A" w14:textId="2443B589" w:rsidR="001C05BB" w:rsidRDefault="001B4A30">
      <w:r>
        <w:t>A document for testing Zotero citations.</w:t>
      </w:r>
    </w:p>
    <w:p w14:paraId="6991A211" w14:textId="05BB3FAE" w:rsidR="001B4A30" w:rsidRDefault="001B4A30">
      <w:r>
        <w:fldChar w:fldCharType="begin"/>
      </w:r>
      <w:r>
        <w:instrText xml:space="preserve"> ADDIN ZOTERO_ITEM CSL_CITATION {"citationID":"pXG1RWxI","properties":{"unsorted":false,"formattedCitation":"(Smyth &amp; Blitshteyn, 2025)","plainCitation":"(Smyth &amp; Blitshteyn, 2025)","noteIndex":0},"citationItems":[{"id":31599,"uris":["http://zotero.org/users/local/dfgFbn5u/items/QZY3FJ6C"],"itemData":{"id":31599,"type":"article-journal","abstract":"People with Long COVID, myalgic encephalomyelitis/chronic fatigue syndrome (ME/CFS), and other complex chronic disorders consistently report having difficulty obtaining effective and compassionate medical care and being disbelieved, judged, gaslighted, and even dismissed by healthcare professionals. We believe that these adversarial interactions and language are more likely to arise when healthcare professionals are confronting complex chronic illnesses without proper training, diagnostic biomarkers, or FDA-approved therapies. These problematic conversations between practitioners and patients often involve specific words and phrases—termed the “never-words”—can leave patients in significant emotional distress and negatively impact the clinician–patient relationship and recovery. Seeking to prevent these destructive interactions, we review key literature on best practices for difficult clinical conversations and discuss the application of these practices for people with Long COVID, ME/CFS, dysautonomia, and other complex chronic disorders. We provide recommendations for alternative, preferred phrasing to the never-words, which can enhance therapeutic relationship and chronic illness patient care via compassionate, encouraging, and non-judgmental language.","citation-key":"smyth2025","container-title":"International Journal of Environmental Research and Public Health","DOI":"10.3390/ijerph22020275","ISSN":"1660-4601","issue":"2","language":"en","license":"http://creativecommons.org/licenses/by/3.0/","note":"number: 2","page":"275","publisher":"Multidisciplinary Digital Publishing Institute","source":"www.mdpi.com","title":"Language Matters: What Not to Say to Patients with Long COVID, Myalgic Encephalomyelitis/Chronic Fatigue Syndrome, and Other Complex Chronic Disorders","title-short":"Language Matters","URL":"https://www.mdpi.com/1660-4601/22/2/275","volume":"22","author":[{"family":"Smyth","given":"Nancy J."},{"family":"Blitshteyn","given":"Svetlana"}],"accessed":{"date-parts":[["2025",4,7]]},"issued":{"date-parts":[["2025",2]]}}}],"schema":"https://github.com/citation-style-language/schema/raw/master/csl-citation.json"} </w:instrText>
      </w:r>
      <w:r>
        <w:fldChar w:fldCharType="separate"/>
      </w:r>
      <w:r>
        <w:rPr>
          <w:noProof/>
        </w:rPr>
        <w:t>(Smyth &amp; Blitshteyn, 2025)</w:t>
      </w:r>
      <w:r>
        <w:fldChar w:fldCharType="end"/>
      </w:r>
    </w:p>
    <w:p w14:paraId="76540BB0" w14:textId="6E772724" w:rsidR="001B4A30" w:rsidRDefault="001B4A30">
      <w:r>
        <w:fldChar w:fldCharType="begin"/>
      </w:r>
      <w:r>
        <w:instrText xml:space="preserve"> ADDIN ZOTERO_ITEM CSL_CITATION {"citationID":"hqJYlaiC","properties":{"unsorted":false,"formattedCitation":"(Houlgreave et al., 2025)","plainCitation":"(Houlgreave et al., 2025)","noteIndex":0},"citationItems":[{"id":31967,"uris":["http://zotero.org/users/local/dfgFbn5u/items/BAPNAP3Y"],"itemData":{"id":31967,"type":"article-journal","abstract":"Neuroimaging plays a significant role in understanding the neurophysiology of Tourette syndrome (TS), in particular the main symptom, tics, and the urges associated with them. Premonitory urge is thought to be a negative reinforcer of tic expression in TS. Tic expression during neuroimaging is most often required as an overt marker of increased urge-to-tic, which can lead to considerable head movement, and thus data loss. This study aims to identify the brain regions involved in urge in healthy subjects using multi-echo functional magnetic resonance imaging (fMRI) and a timing-free approach to localise the blood-oxygen level-dependent (BOLD) response associated with the urge-to-act without information of when these events occur. Blink suppression is an analogous behaviour that can be expressed overtly in the MRI scanner which gives rise to an urge like those described by individuals with TS. We examined the urge-to-blink in 20 healthy volunteers with an experimental paradigm including two conditions, “Okay to blink” and “Suppress blinking”, to identify brain regions involved in blink suppression. Multi-echo fMRI data were analysed using a novel approach to investigate the BOLD signal correlated with the build-up of the urge-to-blink that participants continuously reported using a rollerball device. In addition, we used the method of multi-echo paradigm free mapping (MESPFM) to identify these regions without prior specification of task timings. Subjective urge scores were correlated with activity in the right posterior and ventral-anterior insula as well as the mid-cingulate and occipital cortices. Whereas blink suppression was associated with activation in the dorsolateral prefrontal cortex, cerebellum, right dorsal-anterior insula, mid-cingulate cortex, and thalamus. These findings illustrate that different insula subregions contribute to the urge-for-action and suppression networks. The MESPFM approach showed co-activation of the right insula and cingulate cortex. The MESPFM activation maps showed the highest overlap with activation associated with blink suppression, as identified using general linear model analysis, demonstrating that activity associated with suppression can be determined without prior knowledge of task timings.","citation-key":"houlgreave2025","container-title":"Imaging Neuroscience","DOI":"10.1162/IMAG.a.84","ISSN":"2837-6056","page":"IMAG.a.84","source":"Silverchair","title":"Uncovering the neural correlates of the urge-to-blink: A study utilising subjective urge ratings and paradigm free mapping","title-short":"Uncovering the neural correlates of the urge-to-blink","URL":"https://doi.org/10.1162/IMAG.a.84","volume":"3","author":[{"family":"Houlgreave","given":"Mairi S."},{"family":"Uruñuela","given":"Eneko"},{"family":"Caballero-Gaudes","given":"César"},{"family":"Gowland","given":"Penny"},{"family":"Dyke","given":"Katherine"},{"family":"Brandt","given":"Valerie"},{"family":"Mohammed","given":"Imaan"},{"family":"Panchuelo","given":"Rosa Sanchez"},{"family":"Jackson","given":"Stephen"}],"accessed":{"date-parts":[["2026",1,16]]},"issued":{"date-parts":[["2025",7,18]]}}}],"schema":"https://github.com/citation-style-language/schema/raw/master/csl-citation.json"} </w:instrText>
      </w:r>
      <w:r>
        <w:fldChar w:fldCharType="separate"/>
      </w:r>
      <w:r>
        <w:rPr>
          <w:noProof/>
        </w:rPr>
        <w:t>(Houlgreave et al., 2025)</w:t>
      </w:r>
      <w:r>
        <w:fldChar w:fldCharType="end"/>
      </w:r>
    </w:p>
    <w:p w14:paraId="743A58A6" w14:textId="2441F373" w:rsidR="001B4A30" w:rsidRDefault="001B4A30">
      <w:r>
        <w:fldChar w:fldCharType="begin"/>
      </w:r>
      <w:r>
        <w:instrText xml:space="preserve"> ADDIN ZOTERO_ITEM CSL_CITATION {"citationID":"qgwdYcK3","properties":{"unsorted":false,"formattedCitation":"(Erb et al., 2025)","plainCitation":"(Erb et al., 2025)","noteIndex":0},"citationItems":[{"id":31875,"uris":["http://zotero.org/users/local/dfgFbn5u/items/V4UDG4QZ"],"itemData":{"id":31875,"type":"article-journal","abstract":"Developmental and individual differences in conflict processing are commonly assessed with button-press measures of response time and accuracy in congruency tasks such as the Eriksen flanker task. However, when the reliability of response time and accuracy congruency effects are reported, the measures frequently fall short of the reliability levels needed to draw firm conclusions. In Study 1, we re-analyzed data from nine hand-tracking experiments. We found that reaching behavior generated high congruency effect reliabilities across different age groups (children, young adults, and older adults) in arrow versions of the flanker task, with split-half reliabilities often above .85 in response time, initiation time, movement time, or movement curvature. Adult performance of the Stroop task revealed congruency effect reliabilities ranging from .76 in movement curvature to .89 in initiation time. In contrast, the Simon task revealed a good reliability estimate in movement curvature for children (.84) and acceptable estimates in response time (.72), movement time (.76), and curvature (.75) for adults. Study 2 tested the reliability of a release-and-press version of the arrow flanker task using a keyboard in one condition and a touchscreen in another condition (N</w:instrText>
      </w:r>
      <w:r>
        <w:rPr>
          <w:rFonts w:ascii="Arial" w:hAnsi="Arial" w:cs="Arial"/>
        </w:rPr>
        <w:instrText> </w:instrText>
      </w:r>
      <w:r>
        <w:instrText>=</w:instrText>
      </w:r>
      <w:r>
        <w:rPr>
          <w:rFonts w:ascii="Arial" w:hAnsi="Arial" w:cs="Arial"/>
        </w:rPr>
        <w:instrText> </w:instrText>
      </w:r>
      <w:r>
        <w:instrText xml:space="preserve">51). The keyboard condition generated high congruency effect reliability estimates in response time (.91), initiation time (.94), and movement time (.88), while the touchscreen condition generated high-reliability estimates in response time (.85) and initiation time (.94), and a lower estimate for movement time (.78). These results indicate that the reliability of congruency tasks can be enhanced by moving beyond traditional button-press measures of performance.","citation-key":"erb2025","container-title":"Behavior Research Methods","DOI":"10.3758/s13428-025-02740-0","ISSN":"1554-3528","issue":"8","journalAbbreviation":"Behav Res","language":"en","page":"215","source":"Springer Link","title":"Moving beyond button presses to enhance the reliability of congruency tasks","URL":"https://doi.org/10.3758/s13428-025-02740-0","volume":"57","author":[{"family":"Erb","given":"Christopher D."},{"family":"Morrison","given":"Samara"},{"family":"Nicholson-Brown","given":"Alexandra"}],"accessed":{"date-parts":[["2025",10,8]]},"issued":{"date-parts":[["2025",7,2]]}}}],"schema":"https://github.com/citation-style-language/schema/raw/master/csl-citation.json"} </w:instrText>
      </w:r>
      <w:r>
        <w:fldChar w:fldCharType="separate"/>
      </w:r>
      <w:r>
        <w:rPr>
          <w:noProof/>
        </w:rPr>
        <w:t>(Erb et al., 2025)</w:t>
      </w:r>
      <w:r>
        <w:fldChar w:fldCharType="end"/>
      </w:r>
    </w:p>
    <w:p w14:paraId="101E30B0" w14:textId="58CF57E6" w:rsidR="001B4A30" w:rsidRDefault="001B4A30">
      <w:r>
        <w:fldChar w:fldCharType="begin"/>
      </w:r>
      <w:r>
        <w:instrText xml:space="preserve"> ADDIN ZOTERO_ITEM CSL_CITATION {"citationID":"11Y0YPUZ","properties":{"unsorted":false,"formattedCitation":"(B. A. Eriksen &amp; Eriksen, 1974)","plainCitation":"(B. A. Eriksen &amp; Eriksen, 1974)","noteIndex":0},"citationItems":[{"id":4143,"uris":["http://zotero.org/users/local/dfgFbn5u/items/W487UWKN"],"itemData":{"id":4143,"type":"article-journal","abstract":"During a 1-sec tachistoscopic exposure, Ss responded with a right or left leverpress to a single target letter from the sets Hand K or Sand C. The target always appeared directly above the fixation cross. Experimentally varied were the types of noise letters (response compatible or incompatible) flanking the target and the spacing between the letters in the display. In all noise conditions, reaction time (RT) decreased as between-letter spacing increased. However, noise letters of the opposite response set were found to impair RT significantly more than same response set noise, while mixed noise letters belonging to neither set but having set-related features produced intermediate impairment. Differences between two target-alone control conditions, one presented intermixed with noise-condition trials and one presented separately in blocks, gave evidence of a preparatory set on the part of Ss to inhibit responses to the noise letters. It was concluded that S cannot prevent processing of noise letters occurring within about 1 deg of the target due to the nature of processing channel capacity and must inhibit his response until he is able to discriminate exactly which letter is in the target position. This discrimination is more difficult and time consuming at closer spacings, and inhibition is more difficult when noise letters indicate the opposite response from the target.","citation-key":"eriksen1974","container-title":"Perception &amp; Psychophysics","DOI":"10.3758/BF03203267","issue":"1","journalAbbreviation":"Percept Psychophys","language":"English","page":"143-149","title":"Effects of noise letters upon the identification of a target letter in a nonsearch task","volume":"16","author":[{"family":"Eriksen","given":"Barbara A."},{"family":"Eriksen","given":"Charles W."}],"issued":{"date-parts":[["1974",1]]}}}],"schema":"https://github.com/citation-style-language/schema/raw/master/csl-citation.json"} </w:instrText>
      </w:r>
      <w:r>
        <w:fldChar w:fldCharType="separate"/>
      </w:r>
      <w:r>
        <w:rPr>
          <w:noProof/>
        </w:rPr>
        <w:t>(B. A. Eriksen &amp; Eriksen, 1974)</w:t>
      </w:r>
      <w:r>
        <w:fldChar w:fldCharType="end"/>
      </w:r>
    </w:p>
    <w:p w14:paraId="09076B5F" w14:textId="44C391AA" w:rsidR="001B4A30" w:rsidRDefault="001B4A30">
      <w:r>
        <w:fldChar w:fldCharType="begin"/>
      </w:r>
      <w:r>
        <w:instrText xml:space="preserve"> ADDIN ZOTERO_ITEM CSL_CITATION {"citationID":"HuIxFe43","properties":{"unsorted":false,"formattedCitation":"(C. W. Eriksen &amp; Hoffman, 1973)","plainCitation":"(C. W. Eriksen &amp; Hoffman, 1973)","noteIndex":0},"citationItems":[{"id":30019,"uris":["http://zotero.org/users/local/dfgFbn5u/items/ADXALU79"],"itemData":{"id":30019,"type":"article-journal","abstract":"Circular visual displays of 12 elements, consisting of A, H, M, and U, were presented to S. She responded with a lever movement in one direction if a given letter designated by a bar indicator was a member of the set A-U and in the opposite direction if it was from the other set. The principal experimental variables were the SOA by which the indicator preceded the display and whether the target letter was flanked by letters of the same or opposite set. The results indicated that the interference produced by noise letters is primarily on the response as opposed to the processing side. Also, there is a limit to the precision of selective attention in the visual field. The interference of opposite-set letters was inversely proportional to their distance from the target.","citation-key":"eriksen1973","container-title":"Perception &amp; Psychophysics","DOI":"10.3758/BF03198630","ISSN":"1532-5962","issue":"1","journalAbbreviation":"Perception &amp; Psychophysics","language":"en","page":"155-160","source":"Springer Link","title":"The extent of processing of noise elements during selective encoding from visual displays","URL":"https://doi.org/10.3758/BF03198630","volume":"14","author":[{"family":"Eriksen","given":"Charles W."},{"family":"Hoffman","given":"James E."}],"accessed":{"date-parts":[["2023",4,6]]},"issued":{"date-parts":[["1973",2,1]]}}}],"schema":"https://github.com/citation-style-language/schema/raw/master/csl-citation.json"} </w:instrText>
      </w:r>
      <w:r>
        <w:fldChar w:fldCharType="separate"/>
      </w:r>
      <w:r>
        <w:rPr>
          <w:noProof/>
        </w:rPr>
        <w:t>(C. W. Eriksen &amp; Hoffman, 1973)</w:t>
      </w:r>
      <w:r>
        <w:fldChar w:fldCharType="end"/>
      </w:r>
    </w:p>
    <w:p w14:paraId="38642FD9" w14:textId="77777777" w:rsidR="001B4A30" w:rsidRDefault="001B4A30"/>
    <w:p w14:paraId="02680263" w14:textId="77777777" w:rsidR="001B4A30" w:rsidRDefault="001B4A30"/>
    <w:sectPr w:rsidR="001B4A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A30"/>
    <w:rsid w:val="00006070"/>
    <w:rsid w:val="00022BA9"/>
    <w:rsid w:val="000279BC"/>
    <w:rsid w:val="000317A3"/>
    <w:rsid w:val="00031F42"/>
    <w:rsid w:val="000335FF"/>
    <w:rsid w:val="00064DB1"/>
    <w:rsid w:val="00082CCF"/>
    <w:rsid w:val="00091A9F"/>
    <w:rsid w:val="000A0F23"/>
    <w:rsid w:val="000A5A1D"/>
    <w:rsid w:val="000B1193"/>
    <w:rsid w:val="000B2440"/>
    <w:rsid w:val="000B5C8C"/>
    <w:rsid w:val="000C1873"/>
    <w:rsid w:val="000C4922"/>
    <w:rsid w:val="000D0628"/>
    <w:rsid w:val="000E24C4"/>
    <w:rsid w:val="000E4A22"/>
    <w:rsid w:val="000F59DE"/>
    <w:rsid w:val="00104E52"/>
    <w:rsid w:val="00104F21"/>
    <w:rsid w:val="0011198A"/>
    <w:rsid w:val="00112047"/>
    <w:rsid w:val="00127C32"/>
    <w:rsid w:val="00140372"/>
    <w:rsid w:val="00154A72"/>
    <w:rsid w:val="00165A56"/>
    <w:rsid w:val="0017036B"/>
    <w:rsid w:val="001A128C"/>
    <w:rsid w:val="001A4379"/>
    <w:rsid w:val="001A60EB"/>
    <w:rsid w:val="001A7CC5"/>
    <w:rsid w:val="001B4A30"/>
    <w:rsid w:val="001B59C0"/>
    <w:rsid w:val="001B7046"/>
    <w:rsid w:val="001C05BB"/>
    <w:rsid w:val="001C0685"/>
    <w:rsid w:val="001D1EAF"/>
    <w:rsid w:val="001E59AB"/>
    <w:rsid w:val="001F16E1"/>
    <w:rsid w:val="0020755C"/>
    <w:rsid w:val="002143A3"/>
    <w:rsid w:val="00240862"/>
    <w:rsid w:val="00241EEB"/>
    <w:rsid w:val="0025206D"/>
    <w:rsid w:val="0025288E"/>
    <w:rsid w:val="00260C9D"/>
    <w:rsid w:val="00262204"/>
    <w:rsid w:val="00274A01"/>
    <w:rsid w:val="00277352"/>
    <w:rsid w:val="00296B5F"/>
    <w:rsid w:val="002A5E8C"/>
    <w:rsid w:val="002A65AB"/>
    <w:rsid w:val="002C5001"/>
    <w:rsid w:val="002D7C85"/>
    <w:rsid w:val="002F759A"/>
    <w:rsid w:val="00303321"/>
    <w:rsid w:val="00313CDE"/>
    <w:rsid w:val="00321D6A"/>
    <w:rsid w:val="0032354D"/>
    <w:rsid w:val="00332111"/>
    <w:rsid w:val="003424D9"/>
    <w:rsid w:val="00351C3A"/>
    <w:rsid w:val="00352427"/>
    <w:rsid w:val="00383314"/>
    <w:rsid w:val="0038361C"/>
    <w:rsid w:val="003A1095"/>
    <w:rsid w:val="003A1446"/>
    <w:rsid w:val="003A3F31"/>
    <w:rsid w:val="003A6683"/>
    <w:rsid w:val="003B0620"/>
    <w:rsid w:val="003D67A3"/>
    <w:rsid w:val="003E3C96"/>
    <w:rsid w:val="003F05B6"/>
    <w:rsid w:val="003F61A1"/>
    <w:rsid w:val="00416749"/>
    <w:rsid w:val="004404A9"/>
    <w:rsid w:val="00443E39"/>
    <w:rsid w:val="004522EC"/>
    <w:rsid w:val="00453346"/>
    <w:rsid w:val="00490ACB"/>
    <w:rsid w:val="004C3D8D"/>
    <w:rsid w:val="004D2F6E"/>
    <w:rsid w:val="004D79AC"/>
    <w:rsid w:val="004E4D37"/>
    <w:rsid w:val="004F051F"/>
    <w:rsid w:val="004F3300"/>
    <w:rsid w:val="004F4777"/>
    <w:rsid w:val="00521497"/>
    <w:rsid w:val="0053052E"/>
    <w:rsid w:val="00530EFE"/>
    <w:rsid w:val="00533391"/>
    <w:rsid w:val="0053587F"/>
    <w:rsid w:val="00544747"/>
    <w:rsid w:val="005516E8"/>
    <w:rsid w:val="005579B3"/>
    <w:rsid w:val="00562C2F"/>
    <w:rsid w:val="00574D4B"/>
    <w:rsid w:val="00575D3F"/>
    <w:rsid w:val="00583652"/>
    <w:rsid w:val="005852B0"/>
    <w:rsid w:val="00590F79"/>
    <w:rsid w:val="005919E1"/>
    <w:rsid w:val="00594979"/>
    <w:rsid w:val="0059548B"/>
    <w:rsid w:val="005A15E5"/>
    <w:rsid w:val="005B7B24"/>
    <w:rsid w:val="005C27E5"/>
    <w:rsid w:val="005C6717"/>
    <w:rsid w:val="005E4311"/>
    <w:rsid w:val="005F72B2"/>
    <w:rsid w:val="00603250"/>
    <w:rsid w:val="00606E32"/>
    <w:rsid w:val="00610083"/>
    <w:rsid w:val="00612459"/>
    <w:rsid w:val="006622F7"/>
    <w:rsid w:val="00672340"/>
    <w:rsid w:val="00674DE7"/>
    <w:rsid w:val="00675344"/>
    <w:rsid w:val="006955AA"/>
    <w:rsid w:val="006A37D3"/>
    <w:rsid w:val="006A7DD0"/>
    <w:rsid w:val="006C4B88"/>
    <w:rsid w:val="006D3388"/>
    <w:rsid w:val="006E0CB2"/>
    <w:rsid w:val="006E7538"/>
    <w:rsid w:val="006E767F"/>
    <w:rsid w:val="006F42D7"/>
    <w:rsid w:val="007062CE"/>
    <w:rsid w:val="00712064"/>
    <w:rsid w:val="00724A20"/>
    <w:rsid w:val="00740967"/>
    <w:rsid w:val="00745DD6"/>
    <w:rsid w:val="007505B3"/>
    <w:rsid w:val="00755AA4"/>
    <w:rsid w:val="00755E73"/>
    <w:rsid w:val="00756D32"/>
    <w:rsid w:val="00756FE6"/>
    <w:rsid w:val="00772907"/>
    <w:rsid w:val="0079647E"/>
    <w:rsid w:val="00797D69"/>
    <w:rsid w:val="007A0316"/>
    <w:rsid w:val="007A0B30"/>
    <w:rsid w:val="007B7DD7"/>
    <w:rsid w:val="007C3F08"/>
    <w:rsid w:val="007D7FB7"/>
    <w:rsid w:val="007E0013"/>
    <w:rsid w:val="007E6372"/>
    <w:rsid w:val="00807CF4"/>
    <w:rsid w:val="00810DF8"/>
    <w:rsid w:val="00813A87"/>
    <w:rsid w:val="00824EA2"/>
    <w:rsid w:val="00830A0C"/>
    <w:rsid w:val="0083541C"/>
    <w:rsid w:val="00835AD5"/>
    <w:rsid w:val="0085293F"/>
    <w:rsid w:val="0085407D"/>
    <w:rsid w:val="008645C9"/>
    <w:rsid w:val="00874239"/>
    <w:rsid w:val="00885257"/>
    <w:rsid w:val="00890C1C"/>
    <w:rsid w:val="008B206A"/>
    <w:rsid w:val="008B60EC"/>
    <w:rsid w:val="008B753F"/>
    <w:rsid w:val="008C2002"/>
    <w:rsid w:val="008D3FA3"/>
    <w:rsid w:val="00906190"/>
    <w:rsid w:val="009213BA"/>
    <w:rsid w:val="00923BD3"/>
    <w:rsid w:val="009240C6"/>
    <w:rsid w:val="0093143D"/>
    <w:rsid w:val="0093788F"/>
    <w:rsid w:val="00947868"/>
    <w:rsid w:val="00962B22"/>
    <w:rsid w:val="00965E16"/>
    <w:rsid w:val="009836B0"/>
    <w:rsid w:val="009851D1"/>
    <w:rsid w:val="00991A34"/>
    <w:rsid w:val="00994D35"/>
    <w:rsid w:val="009A3215"/>
    <w:rsid w:val="009A469B"/>
    <w:rsid w:val="009C0758"/>
    <w:rsid w:val="009C0F22"/>
    <w:rsid w:val="009C29B3"/>
    <w:rsid w:val="009C517A"/>
    <w:rsid w:val="009D2298"/>
    <w:rsid w:val="009D467F"/>
    <w:rsid w:val="009F5F05"/>
    <w:rsid w:val="00A10A9E"/>
    <w:rsid w:val="00A13235"/>
    <w:rsid w:val="00A14299"/>
    <w:rsid w:val="00A4220A"/>
    <w:rsid w:val="00A45C6E"/>
    <w:rsid w:val="00A626B2"/>
    <w:rsid w:val="00A87681"/>
    <w:rsid w:val="00A927EC"/>
    <w:rsid w:val="00A93045"/>
    <w:rsid w:val="00A945DC"/>
    <w:rsid w:val="00A949C2"/>
    <w:rsid w:val="00A96ECE"/>
    <w:rsid w:val="00AB4826"/>
    <w:rsid w:val="00AC53E3"/>
    <w:rsid w:val="00AD4CF4"/>
    <w:rsid w:val="00AF2625"/>
    <w:rsid w:val="00AF4757"/>
    <w:rsid w:val="00B03778"/>
    <w:rsid w:val="00B2537F"/>
    <w:rsid w:val="00B43F49"/>
    <w:rsid w:val="00B64BC5"/>
    <w:rsid w:val="00B65B9D"/>
    <w:rsid w:val="00B65C00"/>
    <w:rsid w:val="00B8213C"/>
    <w:rsid w:val="00B86D09"/>
    <w:rsid w:val="00B92589"/>
    <w:rsid w:val="00BB2641"/>
    <w:rsid w:val="00BB63F6"/>
    <w:rsid w:val="00BD2805"/>
    <w:rsid w:val="00BD7AEC"/>
    <w:rsid w:val="00BE065B"/>
    <w:rsid w:val="00BE41EE"/>
    <w:rsid w:val="00BE77DD"/>
    <w:rsid w:val="00C02733"/>
    <w:rsid w:val="00C1569F"/>
    <w:rsid w:val="00C2418E"/>
    <w:rsid w:val="00C24194"/>
    <w:rsid w:val="00C3122F"/>
    <w:rsid w:val="00C41044"/>
    <w:rsid w:val="00C4185F"/>
    <w:rsid w:val="00C53C41"/>
    <w:rsid w:val="00C87E45"/>
    <w:rsid w:val="00C917D9"/>
    <w:rsid w:val="00C920F1"/>
    <w:rsid w:val="00CA378D"/>
    <w:rsid w:val="00CB7561"/>
    <w:rsid w:val="00CD0C13"/>
    <w:rsid w:val="00CD65C0"/>
    <w:rsid w:val="00CE594D"/>
    <w:rsid w:val="00D266E5"/>
    <w:rsid w:val="00D300D2"/>
    <w:rsid w:val="00D3087F"/>
    <w:rsid w:val="00D46AE3"/>
    <w:rsid w:val="00D53056"/>
    <w:rsid w:val="00D53462"/>
    <w:rsid w:val="00D60ED7"/>
    <w:rsid w:val="00D614F7"/>
    <w:rsid w:val="00D674E8"/>
    <w:rsid w:val="00D84802"/>
    <w:rsid w:val="00D948E0"/>
    <w:rsid w:val="00DA31CD"/>
    <w:rsid w:val="00DA6C8C"/>
    <w:rsid w:val="00DC03EA"/>
    <w:rsid w:val="00DC1EDB"/>
    <w:rsid w:val="00DD23B2"/>
    <w:rsid w:val="00DE7ED4"/>
    <w:rsid w:val="00E100A4"/>
    <w:rsid w:val="00E55F1F"/>
    <w:rsid w:val="00E633FC"/>
    <w:rsid w:val="00E85381"/>
    <w:rsid w:val="00E93995"/>
    <w:rsid w:val="00E9490E"/>
    <w:rsid w:val="00E968D3"/>
    <w:rsid w:val="00EB2ED2"/>
    <w:rsid w:val="00EB66A3"/>
    <w:rsid w:val="00EC173B"/>
    <w:rsid w:val="00EC1E7E"/>
    <w:rsid w:val="00ED0CCB"/>
    <w:rsid w:val="00ED69A3"/>
    <w:rsid w:val="00ED7311"/>
    <w:rsid w:val="00EE2690"/>
    <w:rsid w:val="00EF3E04"/>
    <w:rsid w:val="00EF4243"/>
    <w:rsid w:val="00F003DD"/>
    <w:rsid w:val="00F4192F"/>
    <w:rsid w:val="00F43F1E"/>
    <w:rsid w:val="00F456A7"/>
    <w:rsid w:val="00F64F8C"/>
    <w:rsid w:val="00F6580E"/>
    <w:rsid w:val="00F73A76"/>
    <w:rsid w:val="00F8085F"/>
    <w:rsid w:val="00F82C26"/>
    <w:rsid w:val="00F837AE"/>
    <w:rsid w:val="00FB1676"/>
    <w:rsid w:val="00FB6F43"/>
    <w:rsid w:val="00FD2B6B"/>
    <w:rsid w:val="00FF3E41"/>
    <w:rsid w:val="00FF50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F6D35B"/>
  <w15:chartTrackingRefBased/>
  <w15:docId w15:val="{F2970965-14CB-A840-B036-21C9F5D02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F64F8C"/>
    <w:pPr>
      <w:spacing w:after="120"/>
    </w:pPr>
    <w:rPr>
      <w:sz w:val="22"/>
    </w:rPr>
  </w:style>
  <w:style w:type="paragraph" w:styleId="Heading1">
    <w:name w:val="heading 1"/>
    <w:basedOn w:val="Normal"/>
    <w:next w:val="Normal"/>
    <w:link w:val="Heading1Char"/>
    <w:uiPriority w:val="9"/>
    <w:qFormat/>
    <w:rsid w:val="001B4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CC5"/>
    <w:pPr>
      <w:keepNext/>
      <w:keepLines/>
      <w:spacing w:before="120" w:after="6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B4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7CC5"/>
    <w:rPr>
      <w:rFonts w:asciiTheme="majorHAnsi" w:eastAsiaTheme="majorEastAsia" w:hAnsiTheme="majorHAnsi" w:cstheme="majorBidi"/>
      <w:color w:val="0F4761" w:themeColor="accent1" w:themeShade="BF"/>
      <w:sz w:val="26"/>
      <w:szCs w:val="26"/>
    </w:rPr>
  </w:style>
  <w:style w:type="paragraph" w:styleId="CommentText">
    <w:name w:val="annotation text"/>
    <w:basedOn w:val="Normal"/>
    <w:link w:val="CommentTextChar"/>
    <w:uiPriority w:val="99"/>
    <w:semiHidden/>
    <w:unhideWhenUsed/>
    <w:rsid w:val="00F003DD"/>
    <w:pPr>
      <w:pBdr>
        <w:top w:val="nil"/>
        <w:left w:val="nil"/>
        <w:bottom w:val="nil"/>
        <w:right w:val="nil"/>
        <w:between w:val="nil"/>
        <w:bar w:val="nil"/>
      </w:pBdr>
    </w:pPr>
    <w:rPr>
      <w:rFonts w:ascii="Calibri" w:hAnsi="Calibri"/>
    </w:rPr>
  </w:style>
  <w:style w:type="character" w:customStyle="1" w:styleId="CommentTextChar">
    <w:name w:val="Comment Text Char"/>
    <w:basedOn w:val="DefaultParagraphFont"/>
    <w:link w:val="CommentText"/>
    <w:uiPriority w:val="99"/>
    <w:semiHidden/>
    <w:rsid w:val="00F003DD"/>
    <w:rPr>
      <w:rFonts w:ascii="Calibri" w:hAnsi="Calibri"/>
      <w:sz w:val="22"/>
    </w:rPr>
  </w:style>
  <w:style w:type="character" w:customStyle="1" w:styleId="Heading1Char">
    <w:name w:val="Heading 1 Char"/>
    <w:basedOn w:val="DefaultParagraphFont"/>
    <w:link w:val="Heading1"/>
    <w:uiPriority w:val="9"/>
    <w:rsid w:val="001B4A3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B4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A30"/>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1B4A30"/>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1B4A30"/>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B4A30"/>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B4A30"/>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B4A30"/>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1B4A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A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A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4A30"/>
    <w:rPr>
      <w:i/>
      <w:iCs/>
      <w:color w:val="404040" w:themeColor="text1" w:themeTint="BF"/>
      <w:sz w:val="22"/>
    </w:rPr>
  </w:style>
  <w:style w:type="paragraph" w:styleId="ListParagraph">
    <w:name w:val="List Paragraph"/>
    <w:basedOn w:val="Normal"/>
    <w:uiPriority w:val="34"/>
    <w:qFormat/>
    <w:rsid w:val="001B4A30"/>
    <w:pPr>
      <w:ind w:left="720"/>
      <w:contextualSpacing/>
    </w:pPr>
  </w:style>
  <w:style w:type="character" w:styleId="IntenseEmphasis">
    <w:name w:val="Intense Emphasis"/>
    <w:basedOn w:val="DefaultParagraphFont"/>
    <w:uiPriority w:val="21"/>
    <w:qFormat/>
    <w:rsid w:val="001B4A30"/>
    <w:rPr>
      <w:i/>
      <w:iCs/>
      <w:color w:val="0F4761" w:themeColor="accent1" w:themeShade="BF"/>
    </w:rPr>
  </w:style>
  <w:style w:type="paragraph" w:styleId="IntenseQuote">
    <w:name w:val="Intense Quote"/>
    <w:basedOn w:val="Normal"/>
    <w:next w:val="Normal"/>
    <w:link w:val="IntenseQuoteChar"/>
    <w:uiPriority w:val="30"/>
    <w:qFormat/>
    <w:rsid w:val="001B4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A30"/>
    <w:rPr>
      <w:i/>
      <w:iCs/>
      <w:color w:val="0F4761" w:themeColor="accent1" w:themeShade="BF"/>
      <w:sz w:val="22"/>
    </w:rPr>
  </w:style>
  <w:style w:type="character" w:styleId="IntenseReference">
    <w:name w:val="Intense Reference"/>
    <w:basedOn w:val="DefaultParagraphFont"/>
    <w:uiPriority w:val="32"/>
    <w:qFormat/>
    <w:rsid w:val="001B4A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1716</Words>
  <Characters>11449</Characters>
  <Application>Microsoft Office Word</Application>
  <DocSecurity>0</DocSecurity>
  <Lines>220</Lines>
  <Paragraphs>58</Paragraphs>
  <ScaleCrop>false</ScaleCrop>
  <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dc:creator>
  <cp:keywords/>
  <dc:description/>
  <cp:lastModifiedBy>JD</cp:lastModifiedBy>
  <cp:revision>1</cp:revision>
  <dcterms:created xsi:type="dcterms:W3CDTF">2026-09-15T20:22:00Z</dcterms:created>
  <dcterms:modified xsi:type="dcterms:W3CDTF">2026-09-15T20:30:00Z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zotero-version="10.0.2"&gt;&lt;session id="2B64moG6"/&gt;&lt;style id="http://www.zotero.org/styles/apa" locale="en-GB"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